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rPr>
          <w:bCs/>
          <w:szCs w:val="21"/>
        </w:rPr>
      </w:pPr>
      <w:r>
        <w:rPr>
          <w:rFonts w:hint="eastAsia"/>
          <w:bCs/>
          <w:szCs w:val="21"/>
        </w:rPr>
        <w:t>公司代码：</w:t>
      </w:r>
      <w:sdt>
        <w:sdtPr>
          <w:rPr>
            <w:rFonts w:hint="eastAsia" w:ascii="宋体" w:hAnsi="宋体" w:eastAsia="宋体" w:cs="宋体"/>
            <w:bCs/>
            <w:szCs w:val="21"/>
          </w:rPr>
          <w:alias w:val="公司代码"/>
          <w:tag w:val="_GBC_704b7b03ea3f4a93b8d4655a09b2ff61"/>
          <w:id w:val="25460"/>
          <w:placeholder>
            <w:docPart w:val="GBC22222222222222222222222222222"/>
          </w:placeholder>
        </w:sdtPr>
        <w:sdtEndPr>
          <w:rPr>
            <w:rFonts w:hint="default" w:ascii="Times New Roman" w:hAnsi="Times New Roman" w:eastAsia="宋体" w:cs="Times New Roman"/>
            <w:bCs/>
            <w:szCs w:val="21"/>
          </w:rPr>
        </w:sdtEndPr>
        <w:sdtContent>
          <w:r>
            <w:rPr>
              <w:rFonts w:hint="default" w:ascii="Times New Roman" w:hAnsi="Times New Roman" w:eastAsia="宋体" w:cs="Times New Roman"/>
              <w:bCs/>
              <w:szCs w:val="21"/>
            </w:rPr>
            <w:t>600249</w:t>
          </w:r>
        </w:sdtContent>
      </w:sdt>
      <w:r>
        <w:rPr>
          <w:rFonts w:hint="default" w:ascii="Times New Roman" w:hAnsi="Times New Roman" w:eastAsia="宋体" w:cs="Times New Roman"/>
          <w:bCs/>
          <w:szCs w:val="21"/>
        </w:rPr>
        <w:t xml:space="preserve"> </w:t>
      </w:r>
      <w:r>
        <w:rPr>
          <w:rFonts w:hint="eastAsia"/>
          <w:bCs/>
          <w:szCs w:val="21"/>
        </w:rPr>
        <w:t xml:space="preserve">                                    </w:t>
      </w:r>
      <w:r>
        <w:rPr>
          <w:rFonts w:hint="eastAsia"/>
          <w:bCs/>
          <w:szCs w:val="21"/>
          <w:lang w:val="en-US" w:eastAsia="zh-CN"/>
        </w:rPr>
        <w:t xml:space="preserve"> </w:t>
      </w:r>
      <w:r>
        <w:rPr>
          <w:rFonts w:hint="eastAsia"/>
          <w:bCs/>
          <w:szCs w:val="21"/>
        </w:rPr>
        <w:t xml:space="preserve">   </w:t>
      </w:r>
      <w:r>
        <w:rPr>
          <w:rFonts w:hint="eastAsia"/>
          <w:bCs/>
          <w:szCs w:val="21"/>
          <w:lang w:val="en-US" w:eastAsia="zh-CN"/>
        </w:rPr>
        <w:t xml:space="preserve">       </w:t>
      </w:r>
      <w:r>
        <w:rPr>
          <w:rFonts w:hint="eastAsia"/>
          <w:bCs/>
          <w:szCs w:val="21"/>
        </w:rPr>
        <w:t xml:space="preserve">   公司简称：</w:t>
      </w:r>
      <w:sdt>
        <w:sdtPr>
          <w:rPr>
            <w:rFonts w:hint="eastAsia"/>
            <w:bCs/>
            <w:szCs w:val="21"/>
          </w:rPr>
          <w:alias w:val="公司简称"/>
          <w:tag w:val="_GBC_0384ae715a1e4b4894a29e4d27f5bef4"/>
          <w:id w:val="25461"/>
          <w:placeholder>
            <w:docPart w:val="GBC22222222222222222222222222222"/>
          </w:placeholder>
        </w:sdtPr>
        <w:sdtEndPr>
          <w:rPr>
            <w:rFonts w:hint="eastAsia"/>
            <w:bCs/>
            <w:szCs w:val="21"/>
          </w:rPr>
        </w:sdtEndPr>
        <w:sdtContent>
          <w:r>
            <w:rPr>
              <w:rFonts w:hint="eastAsia"/>
              <w:bCs/>
              <w:szCs w:val="21"/>
            </w:rPr>
            <w:t>两面针</w:t>
          </w:r>
        </w:sdtContent>
      </w:sdt>
    </w:p>
    <w:p/>
    <w:p/>
    <w:p/>
    <w:p/>
    <w:p/>
    <w:p/>
    <w:p>
      <w:pPr>
        <w:rPr>
          <w:b/>
          <w:bCs/>
          <w:szCs w:val="21"/>
        </w:rPr>
      </w:pPr>
    </w:p>
    <w:p>
      <w:pPr>
        <w:rPr>
          <w:b/>
          <w:bCs/>
          <w:szCs w:val="21"/>
        </w:rPr>
      </w:pPr>
    </w:p>
    <w:p>
      <w:pPr>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25462"/>
          <w:placeholder>
            <w:docPart w:val="GBC22222222222222222222222222222"/>
          </w:placeholder>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柳州两面针股份有限公司</w:t>
          </w:r>
        </w:sdtContent>
      </w:sdt>
    </w:p>
    <w:p>
      <w:pPr>
        <w:jc w:val="center"/>
        <w:rPr>
          <w:rFonts w:ascii="黑体" w:hAnsi="黑体" w:eastAsia="黑体"/>
          <w:b/>
          <w:bCs/>
          <w:color w:val="FF0000"/>
          <w:sz w:val="44"/>
          <w:szCs w:val="44"/>
        </w:rPr>
      </w:pPr>
      <w:r>
        <w:rPr>
          <w:rFonts w:ascii="黑体" w:hAnsi="黑体" w:eastAsia="黑体"/>
          <w:b/>
          <w:bCs/>
          <w:color w:val="FF0000"/>
          <w:sz w:val="44"/>
          <w:szCs w:val="44"/>
        </w:rPr>
        <w:t>2023</w:t>
      </w:r>
      <w:r>
        <w:rPr>
          <w:rFonts w:hint="eastAsia" w:ascii="黑体" w:hAnsi="黑体" w:eastAsia="黑体"/>
          <w:b/>
          <w:bCs/>
          <w:color w:val="FF0000"/>
          <w:sz w:val="44"/>
          <w:szCs w:val="44"/>
        </w:rPr>
        <w:t>年年度报告</w:t>
      </w:r>
    </w:p>
    <w:p/>
    <w:p/>
    <w:p/>
    <w:p/>
    <w:p/>
    <w:p/>
    <w:p/>
    <w:p/>
    <w:p>
      <w:pPr>
        <w:rPr>
          <w:rFonts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pPr>
        <w:pStyle w:val="32"/>
        <w:spacing w:after="280" w:afterAutospacing="0"/>
        <w:jc w:val="center"/>
        <w:rPr>
          <w:rFonts w:ascii="黑体" w:eastAsia="黑体"/>
          <w:b/>
          <w:bCs/>
          <w:sz w:val="28"/>
          <w:szCs w:val="28"/>
        </w:rPr>
      </w:pPr>
      <w:bookmarkStart w:id="0" w:name="_Toc387656034"/>
      <w:r>
        <w:rPr>
          <w:rFonts w:hint="eastAsia" w:ascii="黑体" w:eastAsia="黑体"/>
          <w:b/>
          <w:bCs/>
          <w:sz w:val="28"/>
          <w:szCs w:val="28"/>
        </w:rPr>
        <w:t>重要提示</w:t>
      </w:r>
      <w:bookmarkEnd w:id="0"/>
    </w:p>
    <w:sdt>
      <w:sdtPr>
        <w:rPr>
          <w:rFonts w:hint="eastAsia" w:ascii="宋体" w:hAnsi="宋体" w:cs="宋体"/>
          <w:b w:val="0"/>
          <w:bCs w:val="0"/>
          <w:kern w:val="0"/>
          <w:szCs w:val="24"/>
        </w:rPr>
        <w:alias w:val="选项模块:董事会及董事声明"/>
        <w:tag w:val="_SEC_7d2cef92505949c6b5bd6a9bd88e1b07"/>
        <w:id w:val="25465"/>
        <w:placeholder>
          <w:docPart w:val="GBC22222222222222222222222222222"/>
        </w:placeholder>
      </w:sdtPr>
      <w:sdtEndPr>
        <w:rPr>
          <w:rFonts w:hint="default" w:ascii="宋体" w:hAnsi="宋体" w:cs="宋体"/>
          <w:b w:val="0"/>
          <w:bCs w:val="0"/>
          <w:kern w:val="0"/>
          <w:szCs w:val="24"/>
        </w:rPr>
      </w:sdtEndPr>
      <w:sdtContent>
        <w:p>
          <w:pPr>
            <w:pStyle w:val="3"/>
            <w:numPr>
              <w:ilvl w:val="0"/>
              <w:numId w:val="1"/>
            </w:numPr>
            <w:tabs>
              <w:tab w:val="left" w:pos="434"/>
            </w:tabs>
            <w:spacing w:before="0" w:after="0" w:line="360" w:lineRule="auto"/>
            <w:ind w:left="368" w:hanging="367" w:hangingChars="175"/>
          </w:pPr>
          <w:sdt>
            <w:sdtPr>
              <w:rPr>
                <w:rFonts w:hint="eastAsia"/>
              </w:rPr>
              <w:alias w:val="董事会及董事声明"/>
              <w:tag w:val="_GBC_7a4abe6548364d7e8583e54b6ff64105"/>
              <w:id w:val="25466"/>
              <w:placeholder>
                <w:docPart w:val="GBC22222222222222222222222222222"/>
              </w:placeholder>
            </w:sdtPr>
            <w:sdtEndPr>
              <w:rPr>
                <w:rFonts w:hint="eastAsia"/>
              </w:rPr>
            </w:sdtEndPr>
            <w:sdtContent>
              <w:r>
                <w:rPr>
                  <w:rFonts w:ascii="Times New Roman" w:hAnsi="宋体" w:cs="宋体"/>
                  <w:bCs w:val="0"/>
                </w:rPr>
                <w:t>本公司董事会、监事会及董事、监事、高级管理人员保证年度报告内容的真实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sdtContent>
          </w:sdt>
        </w:p>
        <w:p/>
      </w:sdtContent>
    </w:sdt>
    <w:sdt>
      <w:sdtPr>
        <w:rPr>
          <w:rFonts w:hint="eastAsia" w:ascii="Calibri" w:hAnsi="Calibri" w:cs="宋体"/>
          <w:b w:val="0"/>
          <w:bCs w:val="0"/>
          <w:kern w:val="0"/>
          <w:sz w:val="24"/>
          <w:szCs w:val="22"/>
        </w:rPr>
        <w:alias w:val="选项模块:公司全体董事出席董事会会议。"/>
        <w:tag w:val="_SEC_22f2821f4b8f443f90d5135b8aaff83a"/>
        <w:id w:val="25467"/>
        <w:placeholder>
          <w:docPart w:val="GBC22222222222222222222222222222"/>
        </w:placeholder>
      </w:sdtPr>
      <w:sdtEndPr>
        <w:rPr>
          <w:rFonts w:hint="default" w:ascii="宋体" w:hAnsi="宋体" w:cs="宋体"/>
          <w:b w:val="0"/>
          <w:bCs w:val="0"/>
          <w:kern w:val="0"/>
          <w:sz w:val="21"/>
          <w:szCs w:val="21"/>
        </w:rPr>
      </w:sdtEndPr>
      <w:sdtContent>
        <w:p>
          <w:pPr>
            <w:pStyle w:val="3"/>
            <w:numPr>
              <w:ilvl w:val="0"/>
              <w:numId w:val="1"/>
            </w:numPr>
            <w:tabs>
              <w:tab w:val="left" w:pos="448"/>
            </w:tabs>
            <w:spacing w:before="0" w:after="0" w:line="360" w:lineRule="auto"/>
            <w:ind w:left="420" w:hangingChars="175"/>
          </w:pPr>
          <w:r>
            <w:rPr>
              <w:rFonts w:hint="eastAsia"/>
            </w:rPr>
            <w:t>公司</w:t>
          </w:r>
          <w:sdt>
            <w:sdtPr>
              <w:rPr>
                <w:rFonts w:hint="eastAsia"/>
              </w:rPr>
              <w:tag w:val="_PLD_67dfe594d3e24f69b6f9757d86ded61b"/>
              <w:id w:val="25468"/>
              <w:placeholder>
                <w:docPart w:val="GBC22222222222222222222222222222"/>
              </w:placeholder>
            </w:sdtPr>
            <w:sdtEndPr>
              <w:rPr>
                <w:rFonts w:hint="eastAsia"/>
              </w:rPr>
            </w:sdtEndPr>
            <w:sdtContent>
              <w:r>
                <w:rPr>
                  <w:rFonts w:hint="eastAsia"/>
                </w:rPr>
                <w:t>全体董事出席</w:t>
              </w:r>
            </w:sdtContent>
          </w:sdt>
          <w:r>
            <w:rPr>
              <w:rFonts w:hint="eastAsia"/>
            </w:rPr>
            <w:t>董事会会议。</w:t>
          </w:r>
        </w:p>
        <w:p>
          <w:pPr>
            <w:rPr>
              <w:szCs w:val="21"/>
            </w:rPr>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25469"/>
        <w:placeholder>
          <w:docPart w:val="GBC22222222222222222222222222222"/>
        </w:placeholder>
      </w:sdtPr>
      <w:sdtEndPr>
        <w:rPr>
          <w:rFonts w:hint="default" w:ascii="宋体" w:hAnsi="宋体" w:cs="宋体"/>
          <w:b w:val="0"/>
          <w:bCs w:val="0"/>
          <w:kern w:val="0"/>
          <w:sz w:val="21"/>
          <w:szCs w:val="24"/>
        </w:rPr>
      </w:sdtEndPr>
      <w:sdtContent>
        <w:p>
          <w:pPr>
            <w:pStyle w:val="3"/>
            <w:numPr>
              <w:ilvl w:val="0"/>
              <w:numId w:val="1"/>
            </w:numPr>
            <w:tabs>
              <w:tab w:val="left" w:pos="518"/>
            </w:tabs>
            <w:spacing w:before="0" w:after="0" w:line="360" w:lineRule="auto"/>
            <w:ind w:left="420" w:hangingChars="175"/>
            <w:jc w:val="left"/>
            <w:rPr>
              <w:rFonts w:ascii="宋体" w:hAnsi="宋体"/>
            </w:rPr>
          </w:pPr>
          <w:sdt>
            <w:sdtPr>
              <w:rPr>
                <w:rFonts w:hint="eastAsia" w:ascii="宋体" w:hAnsi="宋体"/>
              </w:rPr>
              <w:alias w:val="公司聘请的境内会计师事务所名称"/>
              <w:tag w:val="_GBC_ad504284986e4ab994733d7125ba1c33"/>
              <w:id w:val="25470"/>
              <w:placeholder>
                <w:docPart w:val="GBC22222222222222222222222222222"/>
              </w:placeholder>
            </w:sdtPr>
            <w:sdtEndPr>
              <w:rPr>
                <w:rFonts w:hint="eastAsia" w:ascii="宋体" w:hAnsi="宋体"/>
              </w:rPr>
            </w:sdtEndPr>
            <w:sdtContent>
              <w:r>
                <w:rPr>
                  <w:rFonts w:hint="eastAsia" w:ascii="宋体" w:hAnsi="宋体"/>
                  <w:lang w:val="en-US" w:eastAsia="zh-CN"/>
                </w:rPr>
                <w:t>中喜会计师事务所（特殊普通合伙）</w:t>
              </w:r>
            </w:sdtContent>
          </w:sdt>
          <w:r>
            <w:rPr>
              <w:rFonts w:hint="eastAsia" w:ascii="宋体" w:hAnsi="宋体"/>
            </w:rPr>
            <w:t>为本公司出具了</w:t>
          </w:r>
          <w:sdt>
            <w:sdtPr>
              <w:rPr>
                <w:rFonts w:hint="eastAsia" w:ascii="宋体" w:hAnsi="宋体"/>
              </w:rPr>
              <w:alias w:val="会计师事务所审计意见类型"/>
              <w:tag w:val="_GBC_fc66ac35f9514436909a413223854389"/>
              <w:id w:val="25471"/>
              <w:placeholder>
                <w:docPart w:val="GBC22222222222222222222222222222"/>
              </w:placeholder>
            </w:sdtPr>
            <w:sdtEndPr>
              <w:rPr>
                <w:rFonts w:hint="eastAsia" w:ascii="宋体" w:hAnsi="宋体"/>
              </w:rPr>
            </w:sdtEndPr>
            <w:sdtContent>
              <w:r>
                <w:rPr>
                  <w:rFonts w:hint="eastAsia" w:ascii="宋体" w:hAnsi="宋体"/>
                </w:rPr>
                <w:t>标准无保留意见</w:t>
              </w:r>
            </w:sdtContent>
          </w:sdt>
          <w:r>
            <w:rPr>
              <w:rFonts w:hint="eastAsia" w:ascii="宋体" w:hAnsi="宋体"/>
            </w:rPr>
            <w:t>的审计报告。</w:t>
          </w:r>
        </w:p>
        <w:p>
          <w:pPr>
            <w:rPr>
              <w:szCs w:val="21"/>
            </w:rPr>
          </w:pPr>
        </w:p>
      </w:sdtContent>
    </w:sdt>
    <w:p>
      <w:pPr>
        <w:pStyle w:val="3"/>
        <w:numPr>
          <w:ilvl w:val="0"/>
          <w:numId w:val="1"/>
        </w:numPr>
        <w:tabs>
          <w:tab w:val="left" w:pos="434"/>
        </w:tabs>
        <w:spacing w:before="0" w:after="0" w:line="360" w:lineRule="auto"/>
        <w:ind w:left="368" w:hanging="369" w:hangingChars="175"/>
        <w:rPr>
          <w:rFonts w:ascii="宋体" w:hAnsi="宋体"/>
        </w:rPr>
      </w:pPr>
      <w:r>
        <w:rPr>
          <w:rFonts w:hint="eastAsia" w:ascii="宋体" w:hAnsi="宋体"/>
        </w:rPr>
        <w:t>公司负责人</w:t>
      </w:r>
      <w:sdt>
        <w:sdtPr>
          <w:rPr>
            <w:rFonts w:ascii="宋体" w:hAnsi="宋体"/>
          </w:rPr>
          <w:alias w:val="公司负责人姓名"/>
          <w:tag w:val="_GBC_ba0728eaa9a342098d20addcde59ed31"/>
          <w:id w:val="25472"/>
          <w:placeholder>
            <w:docPart w:val="GBC22222222222222222222222222222"/>
          </w:placeholder>
          <w:text/>
        </w:sdtPr>
        <w:sdtEndPr>
          <w:rPr>
            <w:rFonts w:ascii="宋体" w:hAnsi="宋体"/>
          </w:rPr>
        </w:sdtEndPr>
        <w:sdtContent>
          <w:r>
            <w:rPr>
              <w:rFonts w:hint="eastAsia" w:ascii="宋体" w:hAnsi="宋体"/>
              <w:lang w:val="en-US" w:eastAsia="zh-CN"/>
            </w:rPr>
            <w:t>林钻煌</w:t>
          </w:r>
        </w:sdtContent>
      </w:sdt>
      <w:r>
        <w:rPr>
          <w:rFonts w:hint="eastAsia" w:ascii="宋体" w:hAnsi="宋体"/>
        </w:rPr>
        <w:t>、主管会计工作负责人</w:t>
      </w:r>
      <w:sdt>
        <w:sdtPr>
          <w:rPr>
            <w:rFonts w:ascii="宋体" w:hAnsi="宋体"/>
          </w:rPr>
          <w:alias w:val="主管会计工作负责人姓名"/>
          <w:tag w:val="_GBC_9ac791ae357946e68402505d2aa6b3b9"/>
          <w:id w:val="25473"/>
          <w:placeholder>
            <w:docPart w:val="GBC22222222222222222222222222222"/>
          </w:placeholder>
          <w:text/>
        </w:sdtPr>
        <w:sdtEndPr>
          <w:rPr>
            <w:rFonts w:ascii="宋体" w:hAnsi="宋体"/>
          </w:rPr>
        </w:sdtEndPr>
        <w:sdtContent>
          <w:r>
            <w:rPr>
              <w:rFonts w:hint="eastAsia" w:ascii="宋体" w:hAnsi="宋体"/>
              <w:lang w:val="en-US" w:eastAsia="zh-CN"/>
            </w:rPr>
            <w:t>王为民</w:t>
          </w:r>
        </w:sdtContent>
      </w:sdt>
      <w:r>
        <w:rPr>
          <w:rFonts w:hint="eastAsia" w:ascii="宋体" w:hAnsi="宋体"/>
        </w:rPr>
        <w:t>及会计机构负责人（会计主管人员）</w:t>
      </w:r>
      <w:sdt>
        <w:sdtPr>
          <w:rPr>
            <w:rFonts w:ascii="宋体" w:hAnsi="宋体"/>
          </w:rPr>
          <w:alias w:val="会计机构负责人姓名"/>
          <w:tag w:val="_GBC_c6edcd184788428d9dc08d896d5d98a9"/>
          <w:id w:val="25474"/>
          <w:placeholder>
            <w:docPart w:val="GBC22222222222222222222222222222"/>
          </w:placeholder>
          <w:text/>
        </w:sdtPr>
        <w:sdtEndPr>
          <w:rPr>
            <w:rFonts w:ascii="宋体" w:hAnsi="宋体"/>
          </w:rPr>
        </w:sdtEndPr>
        <w:sdtContent>
          <w:r>
            <w:rPr>
              <w:rFonts w:hint="eastAsia" w:ascii="宋体" w:hAnsi="宋体"/>
              <w:lang w:val="en-US" w:eastAsia="zh-CN"/>
            </w:rPr>
            <w:t>游发禄</w:t>
          </w:r>
        </w:sdtContent>
      </w:sdt>
      <w:r>
        <w:rPr>
          <w:rFonts w:hint="eastAsia" w:ascii="宋体" w:hAnsi="宋体"/>
        </w:rPr>
        <w:t>声明：保证年度报告中财务报告的真实、准确、完整。</w:t>
      </w:r>
    </w:p>
    <w:p/>
    <w:p>
      <w:pPr>
        <w:pStyle w:val="3"/>
        <w:numPr>
          <w:ilvl w:val="0"/>
          <w:numId w:val="1"/>
        </w:numPr>
        <w:tabs>
          <w:tab w:val="left" w:pos="490"/>
        </w:tabs>
        <w:spacing w:before="0" w:after="0" w:line="360" w:lineRule="auto"/>
        <w:ind w:left="420" w:hangingChars="175"/>
        <w:rPr>
          <w:rFonts w:ascii="宋体" w:hAnsi="宋体"/>
        </w:rPr>
      </w:pPr>
      <w:r>
        <w:rPr>
          <w:rFonts w:hint="eastAsia" w:ascii="Calibri" w:hAnsi="Calibri" w:cs="宋体"/>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25475"/>
        <w:placeholder>
          <w:docPart w:val="GBC22222222222222222222222222222"/>
        </w:placeholder>
      </w:sdtPr>
      <w:sdtEndPr>
        <w:rPr>
          <w:rFonts w:hint="eastAsia"/>
          <w:szCs w:val="21"/>
          <w:shd w:val="pct10" w:color="auto" w:fill="FFFFFF"/>
        </w:rPr>
      </w:sdtEndPr>
      <w:sdtContent>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szCs w:val="21"/>
            </w:rPr>
          </w:pPr>
          <w:r>
            <w:rPr>
              <w:rFonts w:hint="eastAsia" w:ascii="宋体" w:hAnsi="宋体" w:eastAsia="宋体" w:cs="宋体"/>
              <w:kern w:val="0"/>
              <w:sz w:val="21"/>
              <w:szCs w:val="21"/>
              <w:lang w:val="en-US" w:eastAsia="zh-CN" w:bidi="ar"/>
            </w:rPr>
            <w:t>经中喜会计师事务所（特殊普通合伙）审计，</w:t>
          </w:r>
          <w:r>
            <w:rPr>
              <w:rFonts w:hint="default" w:ascii="Times New Roman" w:hAnsi="Times New Roman" w:eastAsia="宋体" w:cs="Times New Roman"/>
              <w:kern w:val="0"/>
              <w:sz w:val="21"/>
              <w:szCs w:val="21"/>
              <w:lang w:val="en-US" w:eastAsia="zh-CN" w:bidi="ar"/>
            </w:rPr>
            <w:t xml:space="preserve">2023 </w:t>
          </w:r>
          <w:r>
            <w:rPr>
              <w:rFonts w:hint="eastAsia" w:ascii="宋体" w:hAnsi="宋体" w:eastAsia="宋体" w:cs="宋体"/>
              <w:kern w:val="0"/>
              <w:sz w:val="21"/>
              <w:szCs w:val="21"/>
              <w:lang w:val="en-US" w:eastAsia="zh-CN" w:bidi="ar"/>
            </w:rPr>
            <w:t>年度公司合并报表实现归属于上市公司股 东的净利润</w:t>
          </w:r>
          <w:r>
            <w:rPr>
              <w:rFonts w:hint="default" w:ascii="Times New Roman" w:hAnsi="Times New Roman" w:eastAsia="宋体" w:cs="Times New Roman"/>
              <w:kern w:val="0"/>
              <w:sz w:val="21"/>
              <w:szCs w:val="21"/>
              <w:highlight w:val="none"/>
              <w:lang w:val="en-US" w:eastAsia="zh-CN" w:bidi="ar"/>
            </w:rPr>
            <w:t>为22,806,658.88元，其中母公司实现净利润为772,159.01元，根据《公司法》和《公司章程》规定提取10%的法定盈余公积金77</w:t>
          </w:r>
          <w:r>
            <w:rPr>
              <w:rFonts w:hint="eastAsia" w:ascii="Times New Roman" w:hAnsi="Times New Roman"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215.90元后，2023年末母公司未分配的利润为660,948,470.73元。公</w:t>
          </w:r>
          <w:r>
            <w:rPr>
              <w:rFonts w:hint="eastAsia" w:ascii="宋体" w:hAnsi="宋体" w:eastAsia="宋体" w:cs="宋体"/>
              <w:kern w:val="0"/>
              <w:sz w:val="21"/>
              <w:szCs w:val="21"/>
              <w:lang w:val="en-US" w:eastAsia="zh-CN" w:bidi="ar"/>
            </w:rPr>
            <w:t>司拟以</w:t>
          </w:r>
          <w:r>
            <w:rPr>
              <w:rFonts w:hint="default" w:ascii="Times New Roman" w:hAnsi="Times New Roman" w:eastAsia="宋体" w:cs="Times New Roman"/>
              <w:kern w:val="0"/>
              <w:sz w:val="21"/>
              <w:szCs w:val="21"/>
              <w:lang w:val="en-US" w:eastAsia="zh-CN" w:bidi="ar"/>
            </w:rPr>
            <w:t>2023</w:t>
          </w:r>
          <w:r>
            <w:rPr>
              <w:rFonts w:hint="eastAsia" w:ascii="宋体" w:hAnsi="宋体" w:eastAsia="宋体" w:cs="宋体"/>
              <w:kern w:val="0"/>
              <w:sz w:val="21"/>
              <w:szCs w:val="21"/>
              <w:lang w:val="en-US" w:eastAsia="zh-CN" w:bidi="ar"/>
            </w:rPr>
            <w:t>年</w:t>
          </w:r>
          <w:r>
            <w:rPr>
              <w:rFonts w:hint="default" w:ascii="Times New Roman" w:hAnsi="Times New Roman" w:eastAsia="宋体" w:cs="Times New Roman"/>
              <w:kern w:val="0"/>
              <w:sz w:val="21"/>
              <w:szCs w:val="21"/>
              <w:lang w:val="en-US" w:eastAsia="zh-CN" w:bidi="ar"/>
            </w:rPr>
            <w:t>12</w:t>
          </w:r>
          <w:r>
            <w:rPr>
              <w:rFonts w:hint="eastAsia" w:ascii="宋体" w:hAnsi="宋体" w:eastAsia="宋体" w:cs="宋体"/>
              <w:kern w:val="0"/>
              <w:sz w:val="21"/>
              <w:szCs w:val="21"/>
              <w:lang w:val="en-US" w:eastAsia="zh-CN" w:bidi="ar"/>
            </w:rPr>
            <w:t>月</w:t>
          </w:r>
          <w:r>
            <w:rPr>
              <w:rFonts w:hint="default" w:ascii="Times New Roman" w:hAnsi="Times New Roman" w:eastAsia="宋体" w:cs="Times New Roman"/>
              <w:kern w:val="0"/>
              <w:sz w:val="21"/>
              <w:szCs w:val="21"/>
              <w:lang w:val="en-US" w:eastAsia="zh-CN" w:bidi="ar"/>
            </w:rPr>
            <w:t>31</w:t>
          </w:r>
          <w:r>
            <w:rPr>
              <w:rFonts w:hint="eastAsia" w:ascii="宋体" w:hAnsi="宋体" w:eastAsia="宋体" w:cs="宋体"/>
              <w:kern w:val="0"/>
              <w:sz w:val="21"/>
              <w:szCs w:val="21"/>
              <w:lang w:val="en-US" w:eastAsia="zh-CN" w:bidi="ar"/>
            </w:rPr>
            <w:t xml:space="preserve">日公司总股本 </w:t>
          </w:r>
          <w:r>
            <w:rPr>
              <w:rFonts w:hint="default" w:ascii="Times New Roman" w:hAnsi="Times New Roman" w:eastAsia="宋体" w:cs="Times New Roman"/>
              <w:kern w:val="0"/>
              <w:sz w:val="21"/>
              <w:szCs w:val="21"/>
              <w:lang w:val="en-US" w:eastAsia="zh-CN" w:bidi="ar"/>
            </w:rPr>
            <w:t xml:space="preserve">550,000,000 </w:t>
          </w:r>
          <w:r>
            <w:rPr>
              <w:rFonts w:hint="eastAsia" w:ascii="宋体" w:hAnsi="宋体" w:eastAsia="宋体" w:cs="宋体"/>
              <w:kern w:val="0"/>
              <w:sz w:val="21"/>
              <w:szCs w:val="21"/>
              <w:lang w:val="en-US" w:eastAsia="zh-CN" w:bidi="ar"/>
            </w:rPr>
            <w:t>股为基数，向全体股东每</w:t>
          </w:r>
          <w:r>
            <w:rPr>
              <w:rFonts w:hint="default" w:ascii="Times New Roman" w:hAnsi="Times New Roman" w:eastAsia="宋体" w:cs="Times New Roman"/>
              <w:kern w:val="0"/>
              <w:sz w:val="21"/>
              <w:szCs w:val="21"/>
              <w:lang w:val="en-US" w:eastAsia="zh-CN" w:bidi="ar"/>
            </w:rPr>
            <w:t>10</w:t>
          </w:r>
          <w:r>
            <w:rPr>
              <w:rFonts w:hint="eastAsia" w:ascii="宋体" w:hAnsi="宋体" w:eastAsia="宋体" w:cs="宋体"/>
              <w:kern w:val="0"/>
              <w:sz w:val="21"/>
              <w:szCs w:val="21"/>
              <w:lang w:val="en-US" w:eastAsia="zh-CN" w:bidi="ar"/>
            </w:rPr>
            <w:t>股派发现金红利</w:t>
          </w:r>
          <w:r>
            <w:rPr>
              <w:rFonts w:hint="default" w:ascii="Times New Roman" w:hAnsi="Times New Roman" w:eastAsia="宋体" w:cs="Times New Roman"/>
              <w:kern w:val="0"/>
              <w:sz w:val="21"/>
              <w:szCs w:val="21"/>
              <w:lang w:val="en-US" w:eastAsia="zh-CN" w:bidi="ar"/>
            </w:rPr>
            <w:t>0.3</w:t>
          </w:r>
          <w:r>
            <w:rPr>
              <w:rFonts w:hint="eastAsia" w:ascii="宋体" w:hAnsi="宋体" w:eastAsia="宋体" w:cs="宋体"/>
              <w:kern w:val="0"/>
              <w:sz w:val="21"/>
              <w:szCs w:val="21"/>
              <w:lang w:val="en-US" w:eastAsia="zh-CN" w:bidi="ar"/>
            </w:rPr>
            <w:t>元（含税），合计拟派发现金红利</w:t>
          </w:r>
          <w:r>
            <w:rPr>
              <w:rFonts w:hint="default" w:ascii="Times New Roman" w:hAnsi="Times New Roman" w:eastAsia="宋体" w:cs="Times New Roman"/>
              <w:kern w:val="0"/>
              <w:sz w:val="21"/>
              <w:szCs w:val="21"/>
              <w:lang w:val="en-US" w:eastAsia="zh-CN" w:bidi="ar"/>
            </w:rPr>
            <w:t xml:space="preserve">16,500,000 </w:t>
          </w:r>
          <w:r>
            <w:rPr>
              <w:rFonts w:hint="eastAsia" w:ascii="宋体" w:hAnsi="宋体" w:eastAsia="宋体" w:cs="宋体"/>
              <w:kern w:val="0"/>
              <w:sz w:val="21"/>
              <w:szCs w:val="21"/>
              <w:lang w:val="en-US" w:eastAsia="zh-CN" w:bidi="ar"/>
            </w:rPr>
            <w:t>元（含税）。公司剩余未分配利润结转以后年度，本年度不送股，也不进行资本公积金转增股本。</w:t>
          </w:r>
        </w:p>
      </w:sdtContent>
    </w:sdt>
    <w:p>
      <w:pPr>
        <w:kinsoku w:val="0"/>
        <w:overflowPunct w:val="0"/>
        <w:autoSpaceDE w:val="0"/>
        <w:autoSpaceDN w:val="0"/>
        <w:adjustRightInd w:val="0"/>
        <w:snapToGrid w:val="0"/>
        <w:spacing w:line="360" w:lineRule="exact"/>
        <w:rPr>
          <w:shd w:val="pct10" w:color="auto" w:fill="FFFFFF"/>
        </w:rPr>
      </w:pPr>
    </w:p>
    <w:p>
      <w:pPr>
        <w:pStyle w:val="3"/>
        <w:numPr>
          <w:ilvl w:val="0"/>
          <w:numId w:val="1"/>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2547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25477"/>
        <w:placeholder>
          <w:docPart w:val="GBC22222222222222222222222222222"/>
        </w:placeholder>
      </w:sdtPr>
      <w:sdtEndPr>
        <w:rPr>
          <w:rFonts w:hint="eastAsia"/>
          <w:szCs w:val="21"/>
          <w:shd w:val="pct10" w:color="auto" w:fill="FFFFFF"/>
        </w:rPr>
      </w:sdtEndPr>
      <w:sdtContent>
        <w:p>
          <w:pPr>
            <w:keepNext w:val="0"/>
            <w:keepLines w:val="0"/>
            <w:pageBreakBefore w:val="0"/>
            <w:widowControl/>
            <w:kinsoku w:val="0"/>
            <w:wordWrap/>
            <w:overflowPunct w:val="0"/>
            <w:topLinePunct w:val="0"/>
            <w:autoSpaceDE w:val="0"/>
            <w:autoSpaceDN w:val="0"/>
            <w:bidi w:val="0"/>
            <w:adjustRightInd w:val="0"/>
            <w:snapToGrid w:val="0"/>
            <w:spacing w:line="400" w:lineRule="exact"/>
            <w:ind w:firstLine="420" w:firstLineChars="200"/>
            <w:textAlignment w:val="auto"/>
            <w:rPr>
              <w:szCs w:val="21"/>
            </w:rPr>
          </w:pPr>
          <w:r>
            <w:rPr>
              <w:rFonts w:hint="eastAsia"/>
              <w:szCs w:val="21"/>
            </w:rPr>
            <w:t>本年度报告中涉及未来计划等前瞻性陈述，不构成公司对投资者的实质承诺，请投资者注意投资风险。</w:t>
          </w:r>
        </w:p>
      </w:sdtContent>
    </w:sdt>
    <w:p>
      <w:pPr>
        <w:pStyle w:val="3"/>
        <w:numPr>
          <w:ilvl w:val="0"/>
          <w:numId w:val="1"/>
        </w:numPr>
        <w:tabs>
          <w:tab w:val="left" w:pos="434"/>
          <w:tab w:val="left" w:pos="644"/>
        </w:tabs>
        <w:spacing w:before="0" w:after="0" w:line="360" w:lineRule="auto"/>
        <w:ind w:left="420" w:hangingChars="175"/>
      </w:pPr>
      <w:r>
        <w:t>是否存在被控股股东及其</w:t>
      </w:r>
      <w:r>
        <w:rPr>
          <w:rFonts w:hint="eastAsia"/>
        </w:rPr>
        <w:t>他</w:t>
      </w:r>
      <w:r>
        <w:t>关联方非经营性占用资金情况</w:t>
      </w:r>
    </w:p>
    <w:sdt>
      <w:sdtPr>
        <w:rPr>
          <w:rFonts w:hint="eastAsia" w:ascii="Arial" w:hAnsi="Arial"/>
          <w:bCs/>
          <w:szCs w:val="21"/>
        </w:rPr>
        <w:alias w:val="本公司是否存在大股东占用资金情况"/>
        <w:tag w:val="_GBC_a9b8d3170fbb4d50a645223c117f8b30"/>
        <w:id w:val="25478"/>
        <w:placeholder>
          <w:docPart w:val="GBC22222222222222222222222222222"/>
        </w:placeholder>
        <w:comboBox>
          <w:listItem w:displayText="是" w:value="true"/>
          <w:listItem w:displayText="否" w:value="false"/>
        </w:comboBox>
      </w:sdtPr>
      <w:sdtEndPr>
        <w:rPr>
          <w:rFonts w:hint="eastAsia" w:ascii="Arial" w:hAnsi="Arial"/>
          <w:bCs/>
          <w:szCs w:val="21"/>
        </w:rPr>
      </w:sdtEndPr>
      <w:sdtContent>
        <w:p>
          <w:pPr>
            <w:kinsoku w:val="0"/>
            <w:overflowPunct w:val="0"/>
            <w:autoSpaceDE w:val="0"/>
            <w:autoSpaceDN w:val="0"/>
            <w:adjustRightInd w:val="0"/>
            <w:snapToGrid w:val="0"/>
            <w:spacing w:line="360" w:lineRule="exact"/>
            <w:rPr>
              <w:rFonts w:ascii="Arial" w:hAnsi="Arial"/>
              <w:bCs/>
              <w:szCs w:val="21"/>
            </w:rPr>
          </w:pPr>
          <w:r>
            <w:rPr>
              <w:rFonts w:hint="eastAsia" w:ascii="Arial" w:hAnsi="Arial" w:eastAsia="宋体" w:cs="宋体"/>
              <w:bCs/>
              <w:sz w:val="21"/>
              <w:szCs w:val="21"/>
              <w:lang w:val="en-US" w:eastAsia="zh-CN" w:bidi="ar-SA"/>
            </w:rPr>
            <w:t>否</w:t>
          </w:r>
        </w:p>
      </w:sdtContent>
    </w:sdt>
    <w:p>
      <w:pPr>
        <w:pStyle w:val="3"/>
        <w:numPr>
          <w:ilvl w:val="0"/>
          <w:numId w:val="1"/>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25479"/>
        <w:placeholder>
          <w:docPart w:val="GBC22222222222222222222222222222"/>
        </w:placeholder>
        <w:comboBox>
          <w:listItem w:displayText="是" w:value="true"/>
          <w:listItem w:displayText="否" w:value="false"/>
        </w:comboBox>
      </w:sdtPr>
      <w:sdtEndPr>
        <w:rPr>
          <w:rFonts w:hint="eastAsia"/>
          <w:szCs w:val="21"/>
        </w:rPr>
      </w:sdtEndPr>
      <w:sdtContent>
        <w:p>
          <w:pPr>
            <w:rPr>
              <w:szCs w:val="21"/>
            </w:rPr>
          </w:pPr>
          <w:r>
            <w:rPr>
              <w:rFonts w:hint="eastAsia" w:ascii="宋体" w:hAnsi="宋体" w:eastAsia="宋体" w:cs="宋体"/>
              <w:sz w:val="21"/>
              <w:szCs w:val="21"/>
              <w:lang w:val="en-US" w:eastAsia="zh-CN" w:bidi="ar-SA"/>
            </w:rPr>
            <w:t>否</w:t>
          </w:r>
        </w:p>
      </w:sdtContent>
    </w:sdt>
    <w:p>
      <w:pPr>
        <w:pStyle w:val="3"/>
        <w:numPr>
          <w:ilvl w:val="0"/>
          <w:numId w:val="1"/>
        </w:numPr>
        <w:tabs>
          <w:tab w:val="left" w:pos="644"/>
        </w:tabs>
        <w:spacing w:before="0" w:after="0" w:line="360" w:lineRule="auto"/>
        <w:ind w:left="368" w:hanging="369" w:hangingChars="175"/>
        <w:rPr>
          <w:rFonts w:ascii="Calibri" w:hAnsi="Calibri" w:cs="宋体"/>
          <w:kern w:val="0"/>
        </w:rPr>
      </w:pPr>
      <w:bookmarkStart w:id="1" w:name="_Hlk61881950"/>
      <w:r>
        <w:rPr>
          <w:rFonts w:ascii="Calibri" w:hAnsi="Calibri" w:cs="宋体"/>
          <w:kern w:val="0"/>
        </w:rPr>
        <w:t>是否存在半数</w:t>
      </w:r>
      <w:r>
        <w:rPr>
          <w:rFonts w:hint="eastAsia" w:ascii="Calibri" w:hAnsi="Calibri" w:cs="宋体"/>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25480"/>
        <w:placeholder>
          <w:docPart w:val="GBC22222222222222222222222222222"/>
        </w:placeholder>
        <w:comboBox>
          <w:listItem w:displayText="是" w:value="是"/>
          <w:listItem w:displayText="否" w:value="否"/>
        </w:comboBox>
      </w:sdtPr>
      <w:sdtEndPr>
        <w:rPr>
          <w:rFonts w:hint="eastAsia"/>
        </w:rPr>
      </w:sdtEndPr>
      <w:sdtContent>
        <w:p>
          <w:pPr>
            <w:keepNext w:val="0"/>
            <w:keepLines w:val="0"/>
            <w:pageBreakBefore w:val="0"/>
            <w:widowControl/>
            <w:kinsoku/>
            <w:wordWrap/>
            <w:overflowPunct/>
            <w:topLinePunct w:val="0"/>
            <w:autoSpaceDE/>
            <w:autoSpaceDN/>
            <w:bidi w:val="0"/>
            <w:adjustRightInd/>
            <w:snapToGrid/>
            <w:ind w:firstLine="0" w:firstLineChars="0"/>
            <w:textAlignment w:val="auto"/>
            <w:rPr>
              <w:szCs w:val="21"/>
            </w:rPr>
          </w:pPr>
          <w:r>
            <w:rPr>
              <w:rFonts w:hint="eastAsia" w:ascii="宋体" w:hAnsi="宋体" w:eastAsia="宋体" w:cs="宋体"/>
              <w:sz w:val="21"/>
              <w:szCs w:val="24"/>
              <w:lang w:val="en-US" w:eastAsia="zh-CN" w:bidi="ar-SA"/>
            </w:rPr>
            <w:t>否</w:t>
          </w:r>
        </w:p>
      </w:sdtContent>
    </w:sdt>
    <w:p>
      <w:pPr>
        <w:pStyle w:val="3"/>
        <w:numPr>
          <w:ilvl w:val="0"/>
          <w:numId w:val="1"/>
        </w:numPr>
        <w:tabs>
          <w:tab w:val="left" w:pos="644"/>
        </w:tabs>
        <w:spacing w:before="0" w:after="0" w:line="360" w:lineRule="auto"/>
        <w:ind w:left="368" w:hanging="369" w:hangingChars="175"/>
      </w:pPr>
      <w:r>
        <w:rPr>
          <w:rFonts w:hint="eastAsia"/>
        </w:rPr>
        <w:t>重大风险提示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sdt>
        <w:sdtPr>
          <w:alias w:val="重大风险提示"/>
          <w:tag w:val="_GBC_43a6b8847e0241f1af5326af848c7cec"/>
          <w:id w:val="25481"/>
          <w:placeholder>
            <w:docPart w:val="GBC22222222222222222222222222222"/>
          </w:placeholder>
        </w:sdtPr>
        <w:sdtContent>
          <w:r>
            <w:rPr>
              <w:rFonts w:hint="eastAsia"/>
            </w:rPr>
            <w:t>公司已在本报告中详细描述了存在的行业风险、市场风险、经营风险等，敬请查阅“第三节 管理层讨论与分析”之“六、公司关于公司未来发展的讨论与分析”之“（四）可能面对的风险”。</w:t>
          </w:r>
        </w:sdtContent>
      </w:sdt>
    </w:p>
    <w:p/>
    <w:p>
      <w:pPr>
        <w:pStyle w:val="3"/>
        <w:numPr>
          <w:ilvl w:val="0"/>
          <w:numId w:val="1"/>
        </w:numPr>
        <w:tabs>
          <w:tab w:val="left" w:pos="588"/>
          <w:tab w:val="left" w:pos="644"/>
          <w:tab w:val="left" w:pos="672"/>
        </w:tabs>
        <w:spacing w:before="0" w:after="0" w:line="360" w:lineRule="auto"/>
        <w:ind w:left="368" w:hanging="369" w:hangingChars="175"/>
      </w:pPr>
      <w:r>
        <w:rPr>
          <w:rFonts w:hint="eastAsia"/>
        </w:rPr>
        <w:t>其他</w:t>
      </w:r>
    </w:p>
    <w:sdt>
      <w:sdtPr>
        <w:alias w:val="是否适用：其他重要提示[双击切换]"/>
        <w:tag w:val="_GBC_0eafa210a73340628544c13dacbc7643"/>
        <w:id w:val="25482"/>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r>
        <w:rPr>
          <w:szCs w:val="21"/>
        </w:rPr>
        <w:br w:type="page"/>
      </w:r>
    </w:p>
    <w:p>
      <w:pPr>
        <w:spacing w:line="480" w:lineRule="auto"/>
        <w:jc w:val="center"/>
        <w:rPr>
          <w:b/>
          <w:sz w:val="28"/>
          <w:szCs w:val="28"/>
        </w:rPr>
      </w:pPr>
      <w:r>
        <w:rPr>
          <w:rFonts w:hint="eastAsia"/>
          <w:b/>
          <w:sz w:val="28"/>
          <w:szCs w:val="28"/>
        </w:rPr>
        <w:t>目录</w:t>
      </w:r>
    </w:p>
    <w:p>
      <w:pPr>
        <w:pStyle w:val="27"/>
        <w:rPr>
          <w:rFonts w:asciiTheme="minorHAnsi" w:hAnsiTheme="minorHAnsi" w:eastAsiaTheme="minorEastAsia" w:cstheme="minorBidi"/>
          <w:b/>
          <w:bCs/>
          <w:szCs w:val="22"/>
        </w:rPr>
      </w:pPr>
      <w:r>
        <w:rPr>
          <w:b/>
          <w:bCs/>
        </w:rPr>
        <w:fldChar w:fldCharType="begin"/>
      </w:r>
      <w:r>
        <w:rPr>
          <w:b/>
          <w:bCs/>
        </w:rPr>
        <w:instrText xml:space="preserve"> TOC \o "1-1" \h \z \u </w:instrText>
      </w:r>
      <w:r>
        <w:rPr>
          <w:b/>
          <w:bCs/>
        </w:rPr>
        <w:fldChar w:fldCharType="separate"/>
      </w:r>
      <w:r>
        <w:fldChar w:fldCharType="begin"/>
      </w:r>
      <w:r>
        <w:instrText xml:space="preserve"> HYPERLINK \l "_Toc89790248" </w:instrText>
      </w:r>
      <w:r>
        <w:fldChar w:fldCharType="separate"/>
      </w:r>
      <w:r>
        <w:rPr>
          <w:rStyle w:val="41"/>
          <w:b/>
          <w:bCs/>
        </w:rPr>
        <w:t>第一节</w:t>
      </w:r>
      <w:r>
        <w:rPr>
          <w:rFonts w:asciiTheme="minorHAnsi" w:hAnsiTheme="minorHAnsi" w:eastAsiaTheme="minorEastAsia" w:cstheme="minorBidi"/>
          <w:b/>
          <w:bCs/>
          <w:szCs w:val="22"/>
        </w:rPr>
        <w:tab/>
      </w:r>
      <w:r>
        <w:rPr>
          <w:rStyle w:val="41"/>
          <w:b/>
          <w:bCs/>
        </w:rPr>
        <w:t>释义</w:t>
      </w:r>
      <w:r>
        <w:rPr>
          <w:b/>
          <w:bCs/>
        </w:rPr>
        <w:tab/>
      </w:r>
      <w:r>
        <w:rPr>
          <w:b/>
          <w:bCs/>
        </w:rPr>
        <w:fldChar w:fldCharType="begin"/>
      </w:r>
      <w:r>
        <w:rPr>
          <w:b/>
          <w:bCs/>
        </w:rPr>
        <w:instrText xml:space="preserve"> PAGEREF _Toc89790248 \h </w:instrText>
      </w:r>
      <w:r>
        <w:rPr>
          <w:b/>
          <w:bCs/>
        </w:rPr>
        <w:fldChar w:fldCharType="separate"/>
      </w:r>
      <w:r>
        <w:rPr>
          <w:b/>
          <w:bCs/>
        </w:rPr>
        <w:t>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"_Toc89790249" </w:instrText>
      </w:r>
      <w:r>
        <w:fldChar w:fldCharType="separate"/>
      </w:r>
      <w:r>
        <w:rPr>
          <w:rStyle w:val="41"/>
          <w:b/>
          <w:bCs/>
        </w:rPr>
        <w:t>第二节</w:t>
      </w:r>
      <w:r>
        <w:rPr>
          <w:rFonts w:asciiTheme="minorHAnsi" w:hAnsiTheme="minorHAnsi" w:eastAsiaTheme="minorEastAsia" w:cstheme="minorBidi"/>
          <w:b/>
          <w:bCs/>
          <w:szCs w:val="22"/>
        </w:rPr>
        <w:tab/>
      </w:r>
      <w:r>
        <w:rPr>
          <w:rStyle w:val="41"/>
          <w:b/>
          <w:bCs/>
        </w:rPr>
        <w:t>公司简介和主要财务指标</w:t>
      </w:r>
      <w:r>
        <w:rPr>
          <w:b/>
          <w:bCs/>
        </w:rPr>
        <w:tab/>
      </w:r>
      <w:r>
        <w:rPr>
          <w:b/>
          <w:bCs/>
        </w:rPr>
        <w:fldChar w:fldCharType="begin"/>
      </w:r>
      <w:r>
        <w:rPr>
          <w:b/>
          <w:bCs/>
        </w:rPr>
        <w:instrText xml:space="preserve"> PAGEREF _Toc89790249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"_Toc89790250" </w:instrText>
      </w:r>
      <w:r>
        <w:fldChar w:fldCharType="separate"/>
      </w:r>
      <w:r>
        <w:rPr>
          <w:rStyle w:val="41"/>
          <w:b/>
          <w:bCs/>
        </w:rPr>
        <w:t>第三节</w:t>
      </w:r>
      <w:r>
        <w:rPr>
          <w:rFonts w:asciiTheme="minorHAnsi" w:hAnsiTheme="minorHAnsi" w:eastAsiaTheme="minorEastAsia" w:cstheme="minorBidi"/>
          <w:b/>
          <w:bCs/>
          <w:szCs w:val="22"/>
        </w:rPr>
        <w:tab/>
      </w:r>
      <w:r>
        <w:rPr>
          <w:rStyle w:val="41"/>
          <w:b/>
          <w:bCs/>
        </w:rPr>
        <w:t>管理层讨论与分析</w:t>
      </w:r>
      <w:r>
        <w:rPr>
          <w:b/>
          <w:bCs/>
        </w:rPr>
        <w:tab/>
      </w:r>
      <w:r>
        <w:rPr>
          <w:b/>
          <w:bCs/>
        </w:rPr>
        <w:fldChar w:fldCharType="begin"/>
      </w:r>
      <w:r>
        <w:rPr>
          <w:b/>
          <w:bCs/>
        </w:rPr>
        <w:instrText xml:space="preserve"> PAGEREF _Toc89790250 \h </w:instrText>
      </w:r>
      <w:r>
        <w:rPr>
          <w:b/>
          <w:bCs/>
        </w:rPr>
        <w:fldChar w:fldCharType="separate"/>
      </w:r>
      <w:r>
        <w:rPr>
          <w:b/>
          <w:bCs/>
        </w:rPr>
        <w:t>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"_Toc89790251" </w:instrText>
      </w:r>
      <w:r>
        <w:fldChar w:fldCharType="separate"/>
      </w:r>
      <w:r>
        <w:rPr>
          <w:rStyle w:val="41"/>
          <w:b/>
          <w:bCs/>
        </w:rPr>
        <w:t>第四节</w:t>
      </w:r>
      <w:r>
        <w:rPr>
          <w:rFonts w:asciiTheme="minorHAnsi" w:hAnsiTheme="minorHAnsi" w:eastAsiaTheme="minorEastAsia" w:cstheme="minorBidi"/>
          <w:b/>
          <w:bCs/>
          <w:szCs w:val="22"/>
        </w:rPr>
        <w:tab/>
      </w:r>
      <w:r>
        <w:rPr>
          <w:rStyle w:val="41"/>
          <w:b/>
          <w:bCs/>
        </w:rPr>
        <w:t>公司治理</w:t>
      </w:r>
      <w:r>
        <w:rPr>
          <w:b/>
          <w:bCs/>
        </w:rPr>
        <w:tab/>
      </w:r>
      <w:r>
        <w:rPr>
          <w:b/>
          <w:bCs/>
        </w:rPr>
        <w:fldChar w:fldCharType="begin"/>
      </w:r>
      <w:r>
        <w:rPr>
          <w:b/>
          <w:bCs/>
        </w:rPr>
        <w:instrText xml:space="preserve"> PAGEREF _Toc89790251 \h </w:instrText>
      </w:r>
      <w:r>
        <w:rPr>
          <w:b/>
          <w:bCs/>
        </w:rPr>
        <w:fldChar w:fldCharType="separate"/>
      </w:r>
      <w:r>
        <w:rPr>
          <w:b/>
          <w:bCs/>
        </w:rPr>
        <w:t>28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"_Toc89790252" </w:instrText>
      </w:r>
      <w:r>
        <w:fldChar w:fldCharType="separate"/>
      </w:r>
      <w:r>
        <w:rPr>
          <w:rStyle w:val="41"/>
          <w:b/>
          <w:bCs/>
        </w:rPr>
        <w:t>第五节</w:t>
      </w:r>
      <w:r>
        <w:rPr>
          <w:rFonts w:asciiTheme="minorHAnsi" w:hAnsiTheme="minorHAnsi" w:eastAsiaTheme="minorEastAsia" w:cstheme="minorBidi"/>
          <w:b/>
          <w:bCs/>
          <w:szCs w:val="22"/>
        </w:rPr>
        <w:tab/>
      </w:r>
      <w:r>
        <w:rPr>
          <w:rStyle w:val="41"/>
          <w:b/>
          <w:bCs/>
        </w:rPr>
        <w:t>环境与社会责任</w:t>
      </w:r>
      <w:r>
        <w:rPr>
          <w:b/>
          <w:bCs/>
        </w:rPr>
        <w:tab/>
      </w:r>
      <w:r>
        <w:rPr>
          <w:b/>
          <w:bCs/>
        </w:rPr>
        <w:fldChar w:fldCharType="begin"/>
      </w:r>
      <w:r>
        <w:rPr>
          <w:b/>
          <w:bCs/>
        </w:rPr>
        <w:instrText xml:space="preserve"> PAGEREF _Toc89790252 \h </w:instrText>
      </w:r>
      <w:r>
        <w:rPr>
          <w:b/>
          <w:bCs/>
        </w:rPr>
        <w:fldChar w:fldCharType="separate"/>
      </w:r>
      <w:r>
        <w:rPr>
          <w:b/>
          <w:bCs/>
        </w:rPr>
        <w:t>43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"_Toc89790253" </w:instrText>
      </w:r>
      <w:r>
        <w:fldChar w:fldCharType="separate"/>
      </w:r>
      <w:r>
        <w:rPr>
          <w:rStyle w:val="41"/>
          <w:b/>
          <w:bCs/>
        </w:rPr>
        <w:t>第六节</w:t>
      </w:r>
      <w:r>
        <w:rPr>
          <w:rFonts w:asciiTheme="minorHAnsi" w:hAnsiTheme="minorHAnsi" w:eastAsiaTheme="minorEastAsia" w:cstheme="minorBidi"/>
          <w:b/>
          <w:bCs/>
          <w:szCs w:val="22"/>
        </w:rPr>
        <w:tab/>
      </w:r>
      <w:r>
        <w:rPr>
          <w:rStyle w:val="41"/>
          <w:b/>
          <w:bCs/>
        </w:rPr>
        <w:t>重要事项</w:t>
      </w:r>
      <w:r>
        <w:rPr>
          <w:b/>
          <w:bCs/>
        </w:rPr>
        <w:tab/>
      </w:r>
      <w:r>
        <w:rPr>
          <w:b/>
          <w:bCs/>
        </w:rPr>
        <w:fldChar w:fldCharType="begin"/>
      </w:r>
      <w:r>
        <w:rPr>
          <w:b/>
          <w:bCs/>
        </w:rPr>
        <w:instrText xml:space="preserve"> PAGEREF _Toc89790253 \h </w:instrText>
      </w:r>
      <w:r>
        <w:rPr>
          <w:b/>
          <w:bCs/>
        </w:rPr>
        <w:fldChar w:fldCharType="separate"/>
      </w:r>
      <w:r>
        <w:rPr>
          <w:b/>
          <w:bCs/>
        </w:rPr>
        <w:t>48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"_Toc89790254" </w:instrText>
      </w:r>
      <w:r>
        <w:fldChar w:fldCharType="separate"/>
      </w:r>
      <w:r>
        <w:rPr>
          <w:rStyle w:val="41"/>
          <w:b/>
          <w:bCs/>
        </w:rPr>
        <w:t>第七节</w:t>
      </w:r>
      <w:r>
        <w:rPr>
          <w:rFonts w:asciiTheme="minorHAnsi" w:hAnsiTheme="minorHAnsi" w:eastAsiaTheme="minorEastAsia" w:cstheme="minorBidi"/>
          <w:b/>
          <w:bCs/>
          <w:szCs w:val="22"/>
        </w:rPr>
        <w:tab/>
      </w:r>
      <w:r>
        <w:rPr>
          <w:rStyle w:val="41"/>
          <w:b/>
          <w:bCs/>
        </w:rPr>
        <w:t>股份变动及股东情况</w:t>
      </w:r>
      <w:r>
        <w:rPr>
          <w:b/>
          <w:bCs/>
        </w:rPr>
        <w:tab/>
      </w:r>
      <w:r>
        <w:rPr>
          <w:b/>
          <w:bCs/>
        </w:rPr>
        <w:fldChar w:fldCharType="begin"/>
      </w:r>
      <w:r>
        <w:rPr>
          <w:b/>
          <w:bCs/>
        </w:rPr>
        <w:instrText xml:space="preserve"> PAGEREF _Toc89790254 \h </w:instrText>
      </w:r>
      <w:r>
        <w:rPr>
          <w:b/>
          <w:bCs/>
        </w:rPr>
        <w:fldChar w:fldCharType="separate"/>
      </w:r>
      <w:r>
        <w:rPr>
          <w:b/>
          <w:bCs/>
        </w:rPr>
        <w:t>58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"_Toc89790255" </w:instrText>
      </w:r>
      <w:r>
        <w:fldChar w:fldCharType="separate"/>
      </w:r>
      <w:r>
        <w:rPr>
          <w:rStyle w:val="41"/>
          <w:b/>
          <w:bCs/>
        </w:rPr>
        <w:t>第八节</w:t>
      </w:r>
      <w:r>
        <w:rPr>
          <w:rFonts w:asciiTheme="minorHAnsi" w:hAnsiTheme="minorHAnsi" w:eastAsiaTheme="minorEastAsia" w:cstheme="minorBidi"/>
          <w:b/>
          <w:bCs/>
          <w:szCs w:val="22"/>
        </w:rPr>
        <w:tab/>
      </w:r>
      <w:r>
        <w:rPr>
          <w:rStyle w:val="41"/>
          <w:b/>
          <w:bCs/>
        </w:rPr>
        <w:t>优先股相关情况</w:t>
      </w:r>
      <w:r>
        <w:rPr>
          <w:b/>
          <w:bCs/>
        </w:rPr>
        <w:tab/>
      </w:r>
      <w:r>
        <w:rPr>
          <w:b/>
          <w:bCs/>
        </w:rPr>
        <w:fldChar w:fldCharType="begin"/>
      </w:r>
      <w:r>
        <w:rPr>
          <w:b/>
          <w:bCs/>
        </w:rPr>
        <w:instrText xml:space="preserve"> PAGEREF _Toc89790255 \h </w:instrText>
      </w:r>
      <w:r>
        <w:rPr>
          <w:b/>
          <w:bCs/>
        </w:rPr>
        <w:fldChar w:fldCharType="separate"/>
      </w:r>
      <w:r>
        <w:rPr>
          <w:b/>
          <w:bCs/>
        </w:rPr>
        <w:t>63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"_Toc89790256" </w:instrText>
      </w:r>
      <w:r>
        <w:fldChar w:fldCharType="separate"/>
      </w:r>
      <w:r>
        <w:rPr>
          <w:rStyle w:val="41"/>
          <w:b/>
          <w:bCs/>
        </w:rPr>
        <w:t>第九节</w:t>
      </w:r>
      <w:r>
        <w:rPr>
          <w:rFonts w:asciiTheme="minorHAnsi" w:hAnsiTheme="minorHAnsi" w:eastAsiaTheme="minorEastAsia" w:cstheme="minorBidi"/>
          <w:b/>
          <w:bCs/>
          <w:szCs w:val="22"/>
        </w:rPr>
        <w:tab/>
      </w:r>
      <w:r>
        <w:rPr>
          <w:rStyle w:val="41"/>
          <w:b/>
          <w:bCs/>
        </w:rPr>
        <w:t>债券相关情况</w:t>
      </w:r>
      <w:r>
        <w:rPr>
          <w:b/>
          <w:bCs/>
        </w:rPr>
        <w:tab/>
      </w:r>
      <w:r>
        <w:rPr>
          <w:b/>
          <w:bCs/>
        </w:rPr>
        <w:fldChar w:fldCharType="begin"/>
      </w:r>
      <w:r>
        <w:rPr>
          <w:b/>
          <w:bCs/>
        </w:rPr>
        <w:instrText xml:space="preserve"> PAGEREF _Toc89790256 \h </w:instrText>
      </w:r>
      <w:r>
        <w:rPr>
          <w:b/>
          <w:bCs/>
        </w:rPr>
        <w:fldChar w:fldCharType="separate"/>
      </w:r>
      <w:r>
        <w:rPr>
          <w:b/>
          <w:bCs/>
        </w:rPr>
        <w:t>63</w:t>
      </w:r>
      <w:r>
        <w:rPr>
          <w:b/>
          <w:bCs/>
        </w:rPr>
        <w:fldChar w:fldCharType="end"/>
      </w:r>
      <w:r>
        <w:rPr>
          <w:b/>
          <w:bCs/>
        </w:rPr>
        <w:fldChar w:fldCharType="end"/>
      </w:r>
    </w:p>
    <w:p>
      <w:pPr>
        <w:pStyle w:val="27"/>
        <w:rPr>
          <w:rStyle w:val="41"/>
          <w:b/>
          <w:bCs/>
        </w:rPr>
      </w:pPr>
      <w:r>
        <w:fldChar w:fldCharType="begin"/>
      </w:r>
      <w:r>
        <w:instrText xml:space="preserve"> HYPERLINK \l "_Toc89790257" </w:instrText>
      </w:r>
      <w:r>
        <w:fldChar w:fldCharType="separate"/>
      </w:r>
      <w:r>
        <w:rPr>
          <w:rStyle w:val="41"/>
          <w:rFonts w:ascii="宋体" w:hAnsi="宋体"/>
          <w:b/>
          <w:bCs/>
        </w:rPr>
        <w:t>第十节</w:t>
      </w:r>
      <w:r>
        <w:rPr>
          <w:rFonts w:asciiTheme="minorHAnsi" w:hAnsiTheme="minorHAnsi" w:eastAsiaTheme="minorEastAsia" w:cstheme="minorBidi"/>
          <w:b/>
          <w:bCs/>
          <w:szCs w:val="22"/>
        </w:rPr>
        <w:tab/>
      </w:r>
      <w:r>
        <w:rPr>
          <w:rStyle w:val="41"/>
          <w:rFonts w:ascii="宋体" w:hAnsi="宋体"/>
          <w:b/>
          <w:bCs/>
        </w:rPr>
        <w:t>财务报告</w:t>
      </w:r>
      <w:r>
        <w:rPr>
          <w:b/>
          <w:bCs/>
        </w:rPr>
        <w:tab/>
      </w:r>
      <w:r>
        <w:rPr>
          <w:b/>
          <w:bCs/>
        </w:rPr>
        <w:fldChar w:fldCharType="begin"/>
      </w:r>
      <w:r>
        <w:rPr>
          <w:b/>
          <w:bCs/>
        </w:rPr>
        <w:instrText xml:space="preserve"> PAGEREF _Toc89790257 \h </w:instrText>
      </w:r>
      <w:r>
        <w:rPr>
          <w:b/>
          <w:bCs/>
        </w:rPr>
        <w:fldChar w:fldCharType="separate"/>
      </w:r>
      <w:r>
        <w:rPr>
          <w:b/>
          <w:bCs/>
        </w:rPr>
        <w:t>63</w:t>
      </w:r>
      <w:r>
        <w:rPr>
          <w:b/>
          <w:bCs/>
        </w:rPr>
        <w:fldChar w:fldCharType="end"/>
      </w:r>
      <w:r>
        <w:rPr>
          <w:b/>
          <w:bCs/>
        </w:rPr>
        <w:fldChar w:fldCharType="end"/>
      </w:r>
    </w:p>
    <w:p/>
    <w:p>
      <w:r>
        <w:rPr>
          <w:b/>
          <w:bCs/>
        </w:rPr>
        <w:fldChar w:fldCharType="end"/>
      </w:r>
      <w:bookmarkStart w:id="2" w:name="_Toc89790248"/>
      <w:bookmarkStart w:id="3" w:name="_Toc407111354"/>
      <w:bookmarkStart w:id="4" w:name="_Toc436392761"/>
      <w:bookmarkStart w:id="5" w:name="_Toc437440708"/>
    </w:p>
    <w:p>
      <w:pPr>
        <w:spacing w:line="360" w:lineRule="exact"/>
        <w:ind w:right="5"/>
        <w:rPr>
          <w:b/>
          <w:bCs/>
          <w:sz w:val="24"/>
        </w:rPr>
      </w:pPr>
      <w:bookmarkStart w:id="6" w:name="_Hlk90893687"/>
      <w:bookmarkStart w:id="7" w:name="_Hlk90888086"/>
      <w:bookmarkStart w:id="8" w:name="_Hlk90891770"/>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27"/>
        <w:gridCol w:w="7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432" w:hRule="atLeast"/>
        </w:trPr>
        <w:tc>
          <w:tcPr>
            <w:tcW w:w="802" w:type="pct"/>
            <w:vMerge w:val="restart"/>
            <w:tcBorders>
              <w:top w:val="single" w:color="auto" w:sz="4" w:space="0"/>
              <w:left w:val="single" w:color="auto" w:sz="4" w:space="0"/>
              <w:bottom w:val="single" w:color="auto" w:sz="4" w:space="0"/>
              <w:right w:val="single" w:color="auto" w:sz="4" w:space="0"/>
            </w:tcBorders>
            <w:vAlign w:val="center"/>
          </w:tcPr>
          <w:sdt>
            <w:sdtPr>
              <w:tag w:val="_PLD_a77548a64feb4f70a4cecbb587219734"/>
              <w:id w:val="25483"/>
            </w:sdtPr>
            <w:sdtContent>
              <w:p>
                <w:pPr>
                  <w:autoSpaceDE w:val="0"/>
                  <w:autoSpaceDN w:val="0"/>
                  <w:adjustRightInd w:val="0"/>
                  <w:jc w:val="center"/>
                </w:pPr>
                <w:r>
                  <w:t>备查文件目录</w:t>
                </w:r>
              </w:p>
            </w:sdtContent>
          </w:sdt>
        </w:tc>
        <w:tc>
          <w:tcPr>
            <w:tcW w:w="419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both"/>
            </w:pPr>
            <w:r>
              <w:rPr>
                <w:rFonts w:hint="eastAsia"/>
              </w:rPr>
              <w:t>载有公司负责人、主管会计工作负责人、会计机构负责人签名并盖章的财务报表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432" w:hRule="atLeast"/>
        </w:trPr>
        <w:tc>
          <w:tcPr>
            <w:tcW w:w="802" w:type="pct"/>
            <w:vMerge w:val="continue"/>
            <w:tcBorders>
              <w:top w:val="single" w:color="auto" w:sz="4" w:space="0"/>
              <w:left w:val="single" w:color="auto" w:sz="4" w:space="0"/>
              <w:bottom w:val="single" w:color="auto" w:sz="4" w:space="0"/>
              <w:right w:val="single" w:color="auto" w:sz="4" w:space="0"/>
            </w:tcBorders>
            <w:vAlign w:val="center"/>
          </w:tcPr>
          <w:p/>
        </w:tc>
        <w:tc>
          <w:tcPr>
            <w:tcW w:w="4197" w:type="pct"/>
            <w:tcBorders>
              <w:top w:val="single" w:color="auto" w:sz="4" w:space="0"/>
              <w:left w:val="single" w:color="auto" w:sz="4" w:space="0"/>
              <w:bottom w:val="single" w:color="auto" w:sz="4" w:space="0"/>
              <w:right w:val="single" w:color="auto" w:sz="4" w:space="0"/>
            </w:tcBorders>
            <w:vAlign w:val="center"/>
          </w:tcPr>
          <w:sdt>
            <w:sdtPr>
              <w:alias w:val="备查文件目录"/>
              <w:tag w:val="_GBC_0c6e892b0eee4faaa5b2883811d0eed4"/>
              <w:id w:val="25484"/>
            </w:sdtPr>
            <w:sdtEndPr>
              <w:rPr>
                <w:rFonts w:hint="eastAsia"/>
              </w:rPr>
            </w:sdtEndPr>
            <w:sdtContent>
              <w:p>
                <w:pPr>
                  <w:autoSpaceDE w:val="0"/>
                  <w:autoSpaceDN w:val="0"/>
                  <w:adjustRightInd w:val="0"/>
                  <w:rPr>
                    <w:rFonts w:hint="eastAsia"/>
                  </w:rPr>
                </w:pPr>
                <w:r>
                  <w:rPr>
                    <w:rFonts w:hint="eastAsia"/>
                  </w:rPr>
                  <w:t>载有会计师事务所盖章、中国注册会计师签名（并盖章）的审计报告原稿</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432" w:hRule="atLeast"/>
        </w:trPr>
        <w:tc>
          <w:tcPr>
            <w:tcW w:w="802" w:type="pct"/>
            <w:vMerge w:val="continue"/>
            <w:tcBorders>
              <w:top w:val="single" w:color="auto" w:sz="4" w:space="0"/>
              <w:left w:val="single" w:color="auto" w:sz="4" w:space="0"/>
              <w:bottom w:val="single" w:color="auto" w:sz="4" w:space="0"/>
              <w:right w:val="single" w:color="auto" w:sz="4" w:space="0"/>
            </w:tcBorders>
            <w:vAlign w:val="center"/>
          </w:tcPr>
          <w:p/>
        </w:tc>
        <w:tc>
          <w:tcPr>
            <w:tcW w:w="4197" w:type="pct"/>
            <w:tcBorders>
              <w:top w:val="single" w:color="auto" w:sz="4" w:space="0"/>
              <w:left w:val="single" w:color="auto" w:sz="4" w:space="0"/>
              <w:bottom w:val="single" w:color="auto" w:sz="4" w:space="0"/>
              <w:right w:val="single" w:color="auto" w:sz="4" w:space="0"/>
            </w:tcBorders>
            <w:vAlign w:val="center"/>
          </w:tcPr>
          <w:sdt>
            <w:sdtPr>
              <w:alias w:val="备查文件目录"/>
              <w:tag w:val="_GBC_0c6e892b0eee4faaa5b2883811d0eed4"/>
              <w:id w:val="25485"/>
            </w:sdtPr>
            <w:sdtEndPr>
              <w:rPr>
                <w:rFonts w:hint="eastAsia"/>
              </w:rPr>
            </w:sdtEndPr>
            <w:sdtContent>
              <w:p>
                <w:pPr>
                  <w:autoSpaceDE w:val="0"/>
                  <w:autoSpaceDN w:val="0"/>
                  <w:adjustRightInd w:val="0"/>
                  <w:rPr>
                    <w:rFonts w:hint="eastAsia"/>
                  </w:rPr>
                </w:pPr>
                <w:r>
                  <w:rPr>
                    <w:rFonts w:hint="eastAsia"/>
                  </w:rPr>
                  <w:t>报告期内在中国证监会指定报刊公开披露过的所有公司文件的正文及公告的原稿</w:t>
                </w:r>
              </w:p>
            </w:sdtContent>
          </w:sdt>
        </w:tc>
      </w:tr>
    </w:tbl>
    <w:p>
      <w:pPr>
        <w:spacing w:line="360" w:lineRule="exact"/>
        <w:jc w:val="right"/>
      </w:pPr>
    </w:p>
    <w:bookmarkEnd w:id="6"/>
    <w:bookmarkEnd w:id="7"/>
    <w:p/>
    <w:p/>
    <w:bookmarkEnd w:id="8"/>
    <w:p>
      <w:pPr>
        <w:sectPr>
          <w:pgSz w:w="11906" w:h="16838"/>
          <w:pgMar w:top="1440" w:right="1797" w:bottom="1525" w:left="1276" w:header="855" w:footer="992" w:gutter="0"/>
          <w:cols w:space="425" w:num="1"/>
          <w:docGrid w:linePitch="312" w:charSpace="0"/>
        </w:sectPr>
      </w:pPr>
    </w:p>
    <w:p>
      <w:pPr>
        <w:pStyle w:val="2"/>
        <w:numPr>
          <w:ilvl w:val="0"/>
          <w:numId w:val="2"/>
        </w:numPr>
      </w:pPr>
      <w:r>
        <w:rPr>
          <w:rFonts w:hint="eastAsia"/>
        </w:rPr>
        <w:t>释义</w:t>
      </w:r>
      <w:bookmarkEnd w:id="2"/>
      <w:bookmarkEnd w:id="3"/>
      <w:bookmarkEnd w:id="4"/>
      <w:bookmarkEnd w:id="5"/>
    </w:p>
    <w:p>
      <w:pPr>
        <w:pStyle w:val="3"/>
        <w:numPr>
          <w:ilvl w:val="0"/>
          <w:numId w:val="3"/>
        </w:numPr>
        <w:tabs>
          <w:tab w:val="left" w:pos="588"/>
        </w:tabs>
        <w:ind w:hangingChars="175"/>
      </w:pPr>
      <w:r>
        <w:t>释义</w:t>
      </w:r>
    </w:p>
    <w:p>
      <w:pPr>
        <w:rPr>
          <w:szCs w:val="21"/>
        </w:rPr>
      </w:pPr>
      <w:r>
        <w:rPr>
          <w:szCs w:val="21"/>
        </w:rPr>
        <w:t>在本报告书中，除非文义另有所指，下列词语具有如下含义：</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851"/>
        <w:gridCol w:w="5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37a984a1d34209a94aac58652eb6b9"/>
            <w:id w:val="25486"/>
          </w:sdtPr>
          <w:sdtContent>
            <w:tc>
              <w:tcPr>
                <w:tcW w:w="9048" w:type="dxa"/>
                <w:gridSpan w:val="3"/>
                <w:vAlign w:val="center"/>
              </w:tcPr>
              <w:p>
                <w:pPr>
                  <w:widowControl w:val="0"/>
                  <w:jc w:val="center"/>
                  <w:rPr>
                    <w:szCs w:val="21"/>
                  </w:rPr>
                </w:pPr>
                <w:r>
                  <w:rPr>
                    <w:szCs w:val="21"/>
                  </w:rPr>
                  <w:t>常用词语释义</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rPr>
                <w:szCs w:val="21"/>
              </w:rPr>
            </w:pPr>
            <w:r>
              <w:t>公司、母公司或本公司</w:t>
            </w:r>
          </w:p>
        </w:tc>
        <w:tc>
          <w:tcPr>
            <w:tcW w:w="851" w:type="dxa"/>
            <w:vAlign w:val="center"/>
          </w:tcPr>
          <w:p>
            <w:pPr>
              <w:widowControl w:val="0"/>
              <w:jc w:val="center"/>
              <w:rPr>
                <w:szCs w:val="21"/>
                <w:highlight w:val="lightGray"/>
              </w:rPr>
            </w:pPr>
            <w:r>
              <w:rPr>
                <w:rFonts w:hint="eastAsia"/>
                <w:szCs w:val="21"/>
              </w:rPr>
              <w:t>指</w:t>
            </w:r>
          </w:p>
        </w:tc>
        <w:tc>
          <w:tcPr>
            <w:tcW w:w="5181" w:type="dxa"/>
            <w:vAlign w:val="center"/>
          </w:tcPr>
          <w:p>
            <w:pPr>
              <w:widowControl w:val="0"/>
              <w:jc w:val="center"/>
              <w:rPr>
                <w:szCs w:val="21"/>
              </w:rPr>
            </w:pPr>
            <w:r>
              <w:rPr>
                <w:rFonts w:hint="eastAsia"/>
                <w:color w:val="auto"/>
              </w:rPr>
              <w:t>柳州两面针股份有限公司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rPr>
                <w:szCs w:val="21"/>
              </w:rPr>
            </w:pPr>
            <w:r>
              <w:t>江苏实业公司</w:t>
            </w:r>
          </w:p>
        </w:tc>
        <w:tc>
          <w:tcPr>
            <w:tcW w:w="851" w:type="dxa"/>
            <w:vAlign w:val="center"/>
          </w:tcPr>
          <w:p>
            <w:pPr>
              <w:widowControl w:val="0"/>
              <w:jc w:val="center"/>
              <w:rPr>
                <w:szCs w:val="21"/>
                <w:highlight w:val="lightGray"/>
              </w:rPr>
            </w:pPr>
            <w:r>
              <w:rPr>
                <w:rFonts w:hint="eastAsia"/>
                <w:szCs w:val="21"/>
              </w:rPr>
              <w:t>指</w:t>
            </w:r>
          </w:p>
        </w:tc>
        <w:tc>
          <w:tcPr>
            <w:tcW w:w="5181" w:type="dxa"/>
            <w:vAlign w:val="center"/>
          </w:tcPr>
          <w:p>
            <w:pPr>
              <w:widowControl w:val="0"/>
              <w:jc w:val="center"/>
              <w:rPr>
                <w:szCs w:val="21"/>
              </w:rPr>
            </w:pPr>
            <w:r>
              <w:rPr>
                <w:rFonts w:hint="eastAsia"/>
                <w:color w:val="auto"/>
              </w:rPr>
              <w:t>两面针（江苏）实业有限公司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亿康药业</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t>广西两面针亿康药业股份有限公司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芳草公司</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t>安徽两面针·芳草日化有限公司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rPr>
                <w:rFonts w:hint="eastAsia"/>
                <w:lang w:val="en-US" w:eastAsia="zh-CN"/>
              </w:rPr>
              <w:t>中喜</w:t>
            </w:r>
            <w:r>
              <w:t>所</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rPr>
                <w:rFonts w:hint="eastAsia"/>
                <w:lang w:val="en-US" w:eastAsia="zh-CN"/>
              </w:rPr>
              <w:t>中喜</w:t>
            </w:r>
            <w:r>
              <w:t>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证监局</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t>中国证券监督管理委员会广西监管局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上交所</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t>上海证券交易所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证监会</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t>中国证券监督管理委员会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报告期</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rPr>
                <w:rFonts w:hint="default" w:ascii="Times New Roman" w:hAnsi="Times New Roman" w:cs="Times New Roman"/>
              </w:rPr>
              <w:t>202</w:t>
            </w:r>
            <w:r>
              <w:rPr>
                <w:rFonts w:hint="default" w:ascii="Times New Roman" w:hAnsi="Times New Roman" w:cs="Times New Roman"/>
                <w:lang w:val="en-US" w:eastAsia="zh-CN"/>
              </w:rPr>
              <w:t>3</w:t>
            </w:r>
            <w:r>
              <w:rPr>
                <w:rFonts w:hint="default" w:ascii="Times New Roman" w:hAnsi="Times New Roman" w:cs="Times New Roman"/>
              </w:rPr>
              <w:t>年1月1日至202</w:t>
            </w:r>
            <w:r>
              <w:rPr>
                <w:rFonts w:hint="default" w:ascii="Times New Roman" w:hAnsi="Times New Roman" w:cs="Times New Roman"/>
                <w:lang w:val="en-US" w:eastAsia="zh-CN"/>
              </w:rPr>
              <w:t>3</w:t>
            </w:r>
            <w:r>
              <w:rPr>
                <w:rFonts w:hint="default" w:ascii="Times New Roman" w:hAnsi="Times New Roman" w:cs="Times New Roman"/>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center"/>
            </w:pPr>
            <w:r>
              <w:t>元、万元、亿元</w:t>
            </w:r>
          </w:p>
        </w:tc>
        <w:tc>
          <w:tcPr>
            <w:tcW w:w="851" w:type="dxa"/>
            <w:vAlign w:val="center"/>
          </w:tcPr>
          <w:p>
            <w:pPr>
              <w:widowControl w:val="0"/>
              <w:jc w:val="center"/>
              <w:rPr>
                <w:rFonts w:hint="eastAsia"/>
                <w:szCs w:val="21"/>
              </w:rPr>
            </w:pPr>
            <w:r>
              <w:t>指</w:t>
            </w:r>
          </w:p>
        </w:tc>
        <w:tc>
          <w:tcPr>
            <w:tcW w:w="5181" w:type="dxa"/>
            <w:vAlign w:val="center"/>
          </w:tcPr>
          <w:p>
            <w:pPr>
              <w:widowControl w:val="0"/>
              <w:jc w:val="center"/>
              <w:rPr>
                <w:rFonts w:hint="eastAsia"/>
              </w:rPr>
            </w:pPr>
            <w:r>
              <w:t>人民币元、万元、亿元，中国法定流通货币单位</w:t>
            </w:r>
          </w:p>
        </w:tc>
      </w:tr>
    </w:tbl>
    <w:p/>
    <w:p/>
    <w:p/>
    <w:p/>
    <w:p>
      <w:pPr>
        <w:pStyle w:val="2"/>
        <w:numPr>
          <w:ilvl w:val="0"/>
          <w:numId w:val="2"/>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p>
      <w:pPr>
        <w:pStyle w:val="3"/>
        <w:numPr>
          <w:ilvl w:val="1"/>
          <w:numId w:val="4"/>
        </w:numPr>
        <w:ind w:left="566" w:hanging="498" w:hangingChars="236"/>
        <w:rPr>
          <w:color w:val="FF0000"/>
          <w:u w:val="single"/>
        </w:rPr>
      </w:pPr>
      <w:bookmarkStart w:id="13" w:name="_Toc342565881"/>
      <w:bookmarkStart w:id="14" w:name="_Toc342051041"/>
      <w:r>
        <w:rPr>
          <w:rFonts w:hint="eastAsia"/>
        </w:rPr>
        <w:t>公司信息</w:t>
      </w:r>
      <w:bookmarkEnd w:id="13"/>
      <w:bookmarkEnd w:id="14"/>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hint="default" w:ascii="Times New Roman" w:hAnsi="Times New Roman" w:cs="Times New Roman"/>
            </w:rPr>
            <w:tag w:val="_PLD_76a4e08611bc46959c5497248a51b877"/>
            <w:id w:val="25487"/>
          </w:sdtPr>
          <w:sdtEndPr>
            <w:rPr>
              <w:rFonts w:hint="default"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公司的中文名称</w:t>
                </w:r>
              </w:p>
            </w:tc>
          </w:sdtContent>
        </w:sdt>
        <w:sdt>
          <w:sdtPr>
            <w:rPr>
              <w:rFonts w:hint="default" w:ascii="Times New Roman" w:hAnsi="Times New Roman" w:cs="Times New Roman"/>
              <w:szCs w:val="21"/>
            </w:rPr>
            <w:alias w:val="公司法定中文名称"/>
            <w:tag w:val="_GBC_7adfc39908d049d2970c391497a360e4"/>
            <w:id w:val="25488"/>
            <w:text/>
          </w:sdtPr>
          <w:sdtEndPr>
            <w:rPr>
              <w:rFonts w:hint="default" w:ascii="Times New Roman" w:hAnsi="Times New Roman" w:cs="Times New Roman"/>
              <w:szCs w:val="21"/>
            </w:rPr>
          </w:sdtEndPr>
          <w:sdtContent>
            <w:tc>
              <w:tcPr>
                <w:tcW w:w="283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color w:val="FFC000"/>
                    <w:szCs w:val="21"/>
                  </w:rPr>
                </w:pPr>
                <w:r>
                  <w:rPr>
                    <w:rFonts w:hint="eastAsia" w:ascii="Times New Roman" w:hAnsi="Times New Roman" w:cs="Times New Roman"/>
                    <w:szCs w:val="21"/>
                    <w:lang w:eastAsia="zh-CN"/>
                  </w:rPr>
                  <w:t>柳州两面针股份有限公司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公司的中文简称</w:t>
            </w:r>
          </w:p>
        </w:tc>
        <w:tc>
          <w:tcPr>
            <w:tcW w:w="283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两面针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公司的外文名称</w:t>
            </w:r>
          </w:p>
        </w:tc>
        <w:tc>
          <w:tcPr>
            <w:tcW w:w="283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LIUZHOU LIANGMIANZHEN Co.,Ltd.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公司的外文名称缩写</w:t>
            </w:r>
          </w:p>
        </w:tc>
        <w:tc>
          <w:tcPr>
            <w:tcW w:w="283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LMZ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公司的法定代表人</w:t>
            </w:r>
          </w:p>
        </w:tc>
        <w:tc>
          <w:tcPr>
            <w:tcW w:w="283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color w:val="auto"/>
                <w:szCs w:val="21"/>
              </w:rPr>
              <w:t>林钻煌</w:t>
            </w:r>
          </w:p>
        </w:tc>
      </w:tr>
    </w:tbl>
    <w:p/>
    <w:p/>
    <w:p/>
    <w:p>
      <w:pPr>
        <w:pStyle w:val="3"/>
        <w:numPr>
          <w:ilvl w:val="1"/>
          <w:numId w:val="4"/>
        </w:numPr>
        <w:ind w:left="566" w:hanging="498" w:hangingChars="236"/>
      </w:pPr>
      <w:bookmarkStart w:id="15" w:name="_Toc342565882"/>
      <w:bookmarkStart w:id="16" w:name="_Toc342051042"/>
      <w:r>
        <w:rPr>
          <w:rFonts w:hint="eastAsia"/>
        </w:rPr>
        <w:t>联系人和联系方式</w:t>
      </w:r>
      <w:bookmarkEnd w:id="15"/>
      <w:bookmarkEnd w:id="16"/>
    </w:p>
    <w:tbl>
      <w:tblPr>
        <w:tblStyle w:val="37"/>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3867"/>
        <w:gridCol w:w="50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75"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p>
        </w:tc>
        <w:tc>
          <w:tcPr>
            <w:tcW w:w="282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5"/>
              <w:kinsoku w:val="0"/>
              <w:overflowPunct w:val="0"/>
              <w:autoSpaceDE w:val="0"/>
              <w:autoSpaceDN w:val="0"/>
              <w:adjustRightInd w:val="0"/>
              <w:snapToGrid w:val="0"/>
              <w:jc w:val="center"/>
              <w:rPr>
                <w:rFonts w:hint="default" w:ascii="Times New Roman" w:hAnsi="Times New Roman" w:cs="Times New Roman"/>
                <w:color w:val="008000"/>
              </w:rPr>
            </w:pPr>
            <w:sdt>
              <w:sdtPr>
                <w:rPr>
                  <w:rFonts w:hint="default" w:ascii="Times New Roman" w:hAnsi="Times New Roman" w:cs="Times New Roman"/>
                </w:rPr>
                <w:tag w:val="_PLD_e3b56ea4d9044947a48312d084d6e0c4"/>
                <w:id w:val="25489"/>
              </w:sdtPr>
              <w:sdtEndPr>
                <w:rPr>
                  <w:rFonts w:hint="default" w:ascii="Times New Roman" w:hAnsi="Times New Roman" w:cs="Times New Roman"/>
                </w:rPr>
              </w:sdtEndPr>
              <w:sdtContent>
                <w:r>
                  <w:rPr>
                    <w:rFonts w:hint="default" w:ascii="Times New Roman" w:hAnsi="Times New Roman" w:cs="Times New Roman"/>
                  </w:rPr>
                  <w:t>董事会秘书</w:t>
                </w:r>
              </w:sdtContent>
            </w:sdt>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75"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姓名</w:t>
            </w:r>
          </w:p>
        </w:tc>
        <w:tc>
          <w:tcPr>
            <w:tcW w:w="2824"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韦元贤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75"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联系地址</w:t>
            </w:r>
          </w:p>
        </w:tc>
        <w:tc>
          <w:tcPr>
            <w:tcW w:w="2824"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广西柳州市东环大道282号柳州两面针股份有限公司董事会办公室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75"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电话</w:t>
            </w:r>
          </w:p>
        </w:tc>
        <w:tc>
          <w:tcPr>
            <w:tcW w:w="2824"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0772-2506159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75"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传真</w:t>
            </w:r>
          </w:p>
        </w:tc>
        <w:tc>
          <w:tcPr>
            <w:tcW w:w="2824"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0772-2506158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175"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电子信箱</w:t>
            </w:r>
          </w:p>
        </w:tc>
        <w:tc>
          <w:tcPr>
            <w:tcW w:w="2824"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lmzstock@lmz.com.cn</w:t>
            </w:r>
          </w:p>
        </w:tc>
      </w:tr>
    </w:tbl>
    <w:p/>
    <w:p/>
    <w:p/>
    <w:p>
      <w:pPr>
        <w:pStyle w:val="3"/>
        <w:numPr>
          <w:ilvl w:val="1"/>
          <w:numId w:val="4"/>
        </w:numPr>
        <w:ind w:left="496" w:hanging="498" w:hangingChars="236"/>
        <w:rPr>
          <w:rFonts w:ascii="宋体" w:hAnsi="宋体"/>
        </w:rPr>
      </w:pPr>
      <w:r>
        <w:t>基本情况</w:t>
      </w:r>
      <w:r>
        <w:rPr>
          <w:rFonts w:hint="eastAsia"/>
        </w:rPr>
        <w:t>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hint="default" w:ascii="Times New Roman" w:hAnsi="Times New Roman" w:cs="Times New Roman"/>
            </w:rPr>
            <w:tag w:val="_PLD_65800154c9f246eeaabfb6d49f89b105"/>
            <w:id w:val="25490"/>
          </w:sdtPr>
          <w:sdtEndPr>
            <w:rPr>
              <w:rFonts w:hint="default"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公司注册地址</w:t>
                </w:r>
              </w:p>
            </w:tc>
          </w:sdtContent>
        </w:sdt>
        <w:sdt>
          <w:sdtPr>
            <w:rPr>
              <w:rFonts w:hint="default" w:ascii="Times New Roman" w:hAnsi="Times New Roman" w:cs="Times New Roman"/>
              <w:szCs w:val="21"/>
            </w:rPr>
            <w:alias w:val="公司注册地址"/>
            <w:tag w:val="_GBC_89833c4f8593417f8d5751e5d0001721"/>
            <w:id w:val="25491"/>
          </w:sdtPr>
          <w:sdtEndPr>
            <w:rPr>
              <w:rFonts w:hint="default" w:ascii="Times New Roman" w:hAnsi="Times New Roman" w:cs="Times New Roman"/>
              <w:szCs w:val="21"/>
            </w:rPr>
          </w:sdtEndPr>
          <w:sdtConten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color w:val="auto"/>
                    <w:szCs w:val="21"/>
                  </w:rPr>
                  <w:t>广西柳州市东环大道282号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rPr>
            </w:pPr>
            <w:r>
              <w:rPr>
                <w:rFonts w:hint="default" w:ascii="Times New Roman" w:hAnsi="Times New Roman" w:cs="Times New Roman"/>
              </w:rPr>
              <w:t>公司注册地址的历史变更情况</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2015年10月15日将注册地址由“广西柳州市柳北区长风路2号”变更为“广西柳州市东环大道282号”，详见公告临2015-038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公司办公地址</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广西柳州市东环大道282号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公司办公地址的邮政编码</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545006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公司网址</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www.lmz.com.cn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90"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电子信箱</w:t>
            </w:r>
          </w:p>
        </w:tc>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lmzstock@lmz.com.cn</w:t>
            </w:r>
          </w:p>
        </w:tc>
      </w:tr>
    </w:tbl>
    <w:p/>
    <w:p/>
    <w:p/>
    <w:p>
      <w:pPr>
        <w:pStyle w:val="3"/>
        <w:numPr>
          <w:ilvl w:val="1"/>
          <w:numId w:val="4"/>
        </w:numPr>
        <w:ind w:left="496" w:hanging="498" w:hangingChars="236"/>
        <w:rPr>
          <w:rFonts w:ascii="宋体" w:hAnsi="宋体"/>
        </w:rPr>
      </w:pPr>
      <w:r>
        <w:t>信息披露及备置地点</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141"/>
        <w:gridCol w:w="47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hint="default" w:ascii="Times New Roman" w:hAnsi="Times New Roman" w:cs="Times New Roman"/>
            </w:rPr>
            <w:tag w:val="_PLD_bbba55a3ebda46da946a09caf15c63b6"/>
            <w:id w:val="25492"/>
          </w:sdtPr>
          <w:sdtEndPr>
            <w:rPr>
              <w:rFonts w:hint="default" w:ascii="Times New Roman" w:hAnsi="Times New Roman" w:cs="Times New Roman"/>
            </w:rPr>
          </w:sdtEndPr>
          <w:sdtContent>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公司披露年度报告的媒体名称及网址</w:t>
                </w:r>
              </w:p>
            </w:tc>
          </w:sdtContent>
        </w:sdt>
        <w:sdt>
          <w:sdtPr>
            <w:rPr>
              <w:rFonts w:hint="default" w:ascii="Times New Roman" w:hAnsi="Times New Roman" w:cs="Times New Roman"/>
              <w:szCs w:val="21"/>
            </w:rPr>
            <w:alias w:val="公司选定的信息披露报纸名称"/>
            <w:tag w:val="_GBC_001b00e5e370415c93177612f89840ec"/>
            <w:id w:val="25493"/>
          </w:sdtPr>
          <w:sdtEndPr>
            <w:rPr>
              <w:rFonts w:hint="default" w:ascii="Times New Roman" w:hAnsi="Times New Roman" w:cs="Times New Roman"/>
              <w:szCs w:val="21"/>
            </w:rPr>
          </w:sdtEndPr>
          <w:sdtContent>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color w:val="auto"/>
                    <w:szCs w:val="21"/>
                  </w:rPr>
                  <w:t>《中国证券报》《上海证券报》《证券日报》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公司披露年度报告的证券交易所网址</w:t>
            </w:r>
          </w:p>
        </w:tc>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公司年度报告备置地点</w:t>
            </w:r>
          </w:p>
        </w:tc>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本公司董事会办公室</w:t>
            </w:r>
          </w:p>
        </w:tc>
      </w:tr>
    </w:tbl>
    <w:p/>
    <w:p/>
    <w:p/>
    <w:p>
      <w:pPr>
        <w:pStyle w:val="3"/>
        <w:numPr>
          <w:ilvl w:val="1"/>
          <w:numId w:val="4"/>
        </w:numPr>
        <w:ind w:left="566" w:hanging="498" w:hangingChars="236"/>
      </w:pPr>
      <w:bookmarkStart w:id="17" w:name="_Toc342565885"/>
      <w:bookmarkStart w:id="18" w:name="_Toc342051045"/>
      <w:r>
        <w:rPr>
          <w:rFonts w:hint="eastAsia"/>
        </w:rPr>
        <w:t>公司股票简况</w:t>
      </w:r>
      <w:bookmarkEnd w:id="17"/>
      <w:bookmarkEnd w:id="18"/>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8"/>
        <w:gridCol w:w="1778"/>
        <w:gridCol w:w="1779"/>
        <w:gridCol w:w="1779"/>
        <w:gridCol w:w="17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hint="default" w:ascii="Times New Roman" w:hAnsi="Times New Roman" w:cs="Times New Roman"/>
            </w:rPr>
            <w:tag w:val="_PLD_71e874b79d5946dfbee802d1ebcf10a8"/>
            <w:id w:val="25494"/>
          </w:sdtPr>
          <w:sdtEndPr>
            <w:rPr>
              <w:rFonts w:hint="default" w:ascii="Times New Roman" w:hAnsi="Times New Roman" w:cs="Times New Roman"/>
            </w:rPr>
          </w:sdtEndPr>
          <w:sdtContent>
            <w:tc>
              <w:tcPr>
                <w:tcW w:w="5000" w:type="pct"/>
                <w:gridSpan w:val="5"/>
                <w:tcBorders>
                  <w:top w:val="single" w:color="auto" w:sz="4" w:space="0"/>
                  <w:bottom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公司股票简况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sdt>
          <w:sdtPr>
            <w:rPr>
              <w:rFonts w:hint="default" w:ascii="Times New Roman" w:hAnsi="Times New Roman" w:cs="Times New Roman"/>
            </w:rPr>
            <w:tag w:val="_PLD_8c7d8e96d5f4491aa9e7c3c601503603"/>
            <w:id w:val="25495"/>
          </w:sdtPr>
          <w:sdtEndPr>
            <w:rPr>
              <w:rFonts w:hint="default" w:ascii="Times New Roman" w:hAnsi="Times New Roman" w:cs="Times New Roman"/>
            </w:rPr>
          </w:sdtEndPr>
          <w:sdtContent>
            <w:tc>
              <w:tcPr>
                <w:tcW w:w="99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股票种类</w:t>
                </w:r>
              </w:p>
            </w:tc>
          </w:sdtContent>
        </w:sdt>
        <w:sdt>
          <w:sdtPr>
            <w:rPr>
              <w:rFonts w:hint="default" w:ascii="Times New Roman" w:hAnsi="Times New Roman" w:cs="Times New Roman"/>
            </w:rPr>
            <w:tag w:val="_PLD_b56a72f5279041b38925f5228f2089f6"/>
            <w:id w:val="25496"/>
          </w:sdtPr>
          <w:sdtEndPr>
            <w:rPr>
              <w:rFonts w:hint="default" w:ascii="Times New Roman" w:hAnsi="Times New Roman" w:cs="Times New Roman"/>
            </w:rPr>
          </w:sdtEndPr>
          <w:sdtContent>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股票上市交易所</w:t>
                </w:r>
              </w:p>
            </w:tc>
          </w:sdtContent>
        </w:sdt>
        <w:sdt>
          <w:sdtPr>
            <w:rPr>
              <w:rFonts w:hint="default" w:ascii="Times New Roman" w:hAnsi="Times New Roman" w:cs="Times New Roman"/>
            </w:rPr>
            <w:tag w:val="_PLD_6dd4e584e21c4367b3dfe6f7f5c64696"/>
            <w:id w:val="25497"/>
          </w:sdtPr>
          <w:sdtEndPr>
            <w:rPr>
              <w:rFonts w:hint="default" w:ascii="Times New Roman" w:hAnsi="Times New Roman" w:cs="Times New Roman"/>
            </w:rPr>
          </w:sdtEndPr>
          <w:sdtContent>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股票简称</w:t>
                </w:r>
              </w:p>
            </w:tc>
          </w:sdtContent>
        </w:sdt>
        <w:sdt>
          <w:sdtPr>
            <w:rPr>
              <w:rFonts w:hint="default" w:ascii="Times New Roman" w:hAnsi="Times New Roman" w:cs="Times New Roman"/>
            </w:rPr>
            <w:tag w:val="_PLD_e6f819a9bdc4409c94aa103da8c19dc3"/>
            <w:id w:val="25498"/>
          </w:sdtPr>
          <w:sdtEndPr>
            <w:rPr>
              <w:rFonts w:hint="default" w:ascii="Times New Roman" w:hAnsi="Times New Roman" w:cs="Times New Roman"/>
            </w:rPr>
          </w:sdtEndPr>
          <w:sdtContent>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股票代码</w:t>
                </w:r>
              </w:p>
            </w:tc>
          </w:sdtContent>
        </w:sdt>
        <w:sdt>
          <w:sdtPr>
            <w:rPr>
              <w:rFonts w:hint="default" w:ascii="Times New Roman" w:hAnsi="Times New Roman" w:cs="Times New Roman"/>
            </w:rPr>
            <w:tag w:val="_PLD_ca5cfb3ed3b74ffa856f651b379dc207"/>
            <w:id w:val="25499"/>
          </w:sdtPr>
          <w:sdtEndPr>
            <w:rPr>
              <w:rFonts w:hint="default" w:ascii="Times New Roman" w:hAnsi="Times New Roman" w:cs="Times New Roman"/>
            </w:rPr>
          </w:sdtEndPr>
          <w:sdtContent>
            <w:tc>
              <w:tcPr>
                <w:tcW w:w="1000" w:type="pct"/>
                <w:tcBorders>
                  <w:top w:val="single" w:color="auto" w:sz="4" w:space="0"/>
                  <w:left w:val="single" w:color="auto" w:sz="4" w:space="0"/>
                  <w:bottom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变更前股票简称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tc>
          <w:tcPr>
            <w:tcW w:w="99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A股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上海证券交易所</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两面针</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600249</w:t>
            </w:r>
          </w:p>
        </w:tc>
        <w:tc>
          <w:tcPr>
            <w:tcW w:w="1000" w:type="pct"/>
            <w:tcBorders>
              <w:top w:val="single" w:color="auto" w:sz="4" w:space="0"/>
              <w:left w:val="single" w:color="auto" w:sz="4" w:space="0"/>
              <w:bottom w:val="single" w:color="auto" w:sz="4" w:space="0"/>
            </w:tcBorders>
            <w:shd w:val="clear" w:color="auto" w:fill="auto"/>
            <w:vAlign w:val="center"/>
          </w:tcPr>
          <w:p>
            <w:pPr>
              <w:kinsoku w:val="0"/>
              <w:overflowPunct w:val="0"/>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rPr>
              <w:t>/</w:t>
            </w:r>
          </w:p>
        </w:tc>
      </w:tr>
    </w:tbl>
    <w:p/>
    <w:p>
      <w:pPr>
        <w:rPr>
          <w:color w:val="0070C0"/>
        </w:rPr>
      </w:pPr>
    </w:p>
    <w:p>
      <w:pPr>
        <w:pStyle w:val="3"/>
        <w:numPr>
          <w:ilvl w:val="1"/>
          <w:numId w:val="4"/>
        </w:numPr>
        <w:ind w:left="496" w:hanging="498" w:hangingChars="236"/>
      </w:pPr>
      <w:r>
        <w:t>其他</w:t>
      </w:r>
      <w:r>
        <w:rPr>
          <w:rFonts w:hint="eastAsia"/>
        </w:rPr>
        <w:t>相</w:t>
      </w:r>
      <w:r>
        <w:t>关资料</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6"/>
        <w:gridCol w:w="1881"/>
        <w:gridCol w:w="4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hint="default" w:ascii="Times New Roman" w:hAnsi="Times New Roman" w:cs="Times New Roman"/>
            </w:rPr>
            <w:tag w:val="_PLD_e6bf57c678134e2ab9f21f313ee3de3c"/>
            <w:id w:val="25500"/>
          </w:sdtPr>
          <w:sdtEndPr>
            <w:rPr>
              <w:rFonts w:hint="default" w:ascii="Times New Roman" w:hAnsi="Times New Roman" w:cs="Times New Roman"/>
            </w:rPr>
          </w:sdtEndPr>
          <w:sdtContent>
            <w:tc>
              <w:tcPr>
                <w:tcW w:w="1412"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公司聘请的会计师事务所（境内）</w:t>
                </w:r>
              </w:p>
            </w:tc>
          </w:sdtContent>
        </w:sdt>
        <w:sdt>
          <w:sdtPr>
            <w:rPr>
              <w:rFonts w:hint="default" w:ascii="Times New Roman" w:hAnsi="Times New Roman" w:cs="Times New Roman"/>
            </w:rPr>
            <w:tag w:val="_PLD_8ca47cc04c324c599365d04f46dbfb0f"/>
            <w:id w:val="25501"/>
          </w:sdtPr>
          <w:sdtEndPr>
            <w:rPr>
              <w:rFonts w:hint="default" w:ascii="Times New Roman" w:hAnsi="Times New Roman" w:cs="Times New Roman"/>
            </w:rPr>
          </w:sdtEndPr>
          <w:sdtContent>
            <w:tc>
              <w:tcPr>
                <w:tcW w:w="10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名称</w:t>
                </w:r>
              </w:p>
            </w:tc>
          </w:sdtContent>
        </w:sdt>
        <w:sdt>
          <w:sdtPr>
            <w:rPr>
              <w:rFonts w:hint="default" w:ascii="Times New Roman" w:hAnsi="Times New Roman" w:cs="Times New Roman"/>
              <w:szCs w:val="21"/>
            </w:rPr>
            <w:alias w:val="公司聘请的境内会计师事务所明细-名称"/>
            <w:tag w:val="_GBC_5e101497eaf44ba79cb610647f4aa3d5"/>
            <w:id w:val="25502"/>
          </w:sdtPr>
          <w:sdtEndPr>
            <w:rPr>
              <w:rFonts w:hint="default" w:ascii="Times New Roman" w:hAnsi="Times New Roman" w:cs="Times New Roman"/>
              <w:szCs w:val="21"/>
            </w:rPr>
          </w:sdtEndPr>
          <w:sdtContent>
            <w:tc>
              <w:tcPr>
                <w:tcW w:w="254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中喜</w:t>
                </w:r>
                <w:r>
                  <w:rPr>
                    <w:rFonts w:hint="default" w:ascii="Times New Roman" w:hAnsi="Times New Roman" w:cs="Times New Roman"/>
                    <w:szCs w:val="21"/>
                  </w:rPr>
                  <w:t>会计师事务所（特殊普通合伙）</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2" w:type="pct"/>
            <w:vMerge w:val="continue"/>
            <w:vAlign w:val="center"/>
          </w:tcPr>
          <w:p>
            <w:pPr>
              <w:widowControl w:val="0"/>
              <w:jc w:val="center"/>
              <w:rPr>
                <w:rFonts w:hint="default" w:ascii="Times New Roman" w:hAnsi="Times New Roman" w:cs="Times New Roman"/>
                <w:szCs w:val="21"/>
              </w:rPr>
            </w:pPr>
          </w:p>
        </w:tc>
        <w:tc>
          <w:tcPr>
            <w:tcW w:w="10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办公地址</w:t>
            </w:r>
          </w:p>
        </w:tc>
        <w:tc>
          <w:tcPr>
            <w:tcW w:w="2548"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北京市东城区崇文门外大街11号11层1101室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12" w:type="pct"/>
            <w:vMerge w:val="continue"/>
            <w:vAlign w:val="center"/>
          </w:tcPr>
          <w:p>
            <w:pPr>
              <w:widowControl w:val="0"/>
              <w:jc w:val="center"/>
              <w:rPr>
                <w:rFonts w:hint="default" w:ascii="Times New Roman" w:hAnsi="Times New Roman" w:cs="Times New Roman"/>
                <w:szCs w:val="21"/>
              </w:rPr>
            </w:pPr>
          </w:p>
        </w:tc>
        <w:tc>
          <w:tcPr>
            <w:tcW w:w="103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签字会计师姓名</w:t>
            </w:r>
          </w:p>
        </w:tc>
        <w:tc>
          <w:tcPr>
            <w:tcW w:w="2548"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szCs w:val="21"/>
              </w:rPr>
              <w:t>饶世旗</w:t>
            </w:r>
            <w:r>
              <w:rPr>
                <w:rFonts w:hint="default" w:ascii="Times New Roman" w:hAnsi="Times New Roman" w:cs="Times New Roman"/>
                <w:szCs w:val="21"/>
                <w:lang w:eastAsia="zh-CN"/>
              </w:rPr>
              <w:t>、周香萍</w:t>
            </w:r>
          </w:p>
        </w:tc>
      </w:tr>
    </w:tbl>
    <w:p/>
    <w:p>
      <w:pPr>
        <w:pStyle w:val="3"/>
        <w:numPr>
          <w:ilvl w:val="1"/>
          <w:numId w:val="4"/>
        </w:numPr>
        <w:ind w:left="498" w:hanging="498" w:hangingChars="236"/>
      </w:pPr>
      <w:bookmarkStart w:id="19" w:name="_Toc342056397"/>
      <w:bookmarkStart w:id="20" w:name="_Toc342565889"/>
      <w:r>
        <w:rPr>
          <w:rFonts w:hint="eastAsia"/>
        </w:rPr>
        <w:t>近三年主要会计数据和财务指标</w:t>
      </w:r>
      <w:bookmarkEnd w:id="19"/>
      <w:bookmarkEnd w:id="20"/>
    </w:p>
    <w:p>
      <w:pPr>
        <w:pStyle w:val="4"/>
        <w:numPr>
          <w:ilvl w:val="1"/>
          <w:numId w:val="5"/>
        </w:numPr>
      </w:pPr>
      <w:r>
        <w:rPr>
          <w:rFonts w:hint="eastAsia"/>
        </w:rPr>
        <w:t>主要会计数据</w:t>
      </w:r>
    </w:p>
    <w:p>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5503"/>
          <w:placeholder>
            <w:docPart w:val="{af6e73c4-dfdc-4e95-bfaf-ea80f170669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5504"/>
          <w:placeholder>
            <w:docPart w:val="{af6e73c4-dfdc-4e95-bfaf-ea80f170669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pPr w:leftFromText="180" w:rightFromText="180" w:vertAnchor="text" w:horzAnchor="page" w:tblpX="677" w:tblpY="264"/>
        <w:tblOverlap w:val="never"/>
        <w:tblW w:w="58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759"/>
        <w:gridCol w:w="1758"/>
        <w:gridCol w:w="1706"/>
        <w:gridCol w:w="750"/>
        <w:gridCol w:w="1691"/>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60" w:type="pct"/>
            <w:vMerge w:val="restar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sdt>
              <w:sdtPr>
                <w:rPr>
                  <w:rFonts w:hint="eastAsia" w:ascii="Times New Roman" w:hAnsi="Times New Roman"/>
                  <w:kern w:val="0"/>
                  <w:szCs w:val="21"/>
                  <w14:ligatures w14:val="none"/>
                </w:rPr>
                <w:tag w:val="_PLD_fff44820de414373a75fb70cbf2af0b0"/>
                <w:id w:val="3306"/>
              </w:sdtPr>
              <w:sdtEndPr>
                <w:rPr>
                  <w:rFonts w:hint="default" w:ascii="Times New Roman" w:hAnsi="Times New Roman"/>
                  <w:kern w:val="0"/>
                  <w:szCs w:val="20"/>
                  <w14:ligatures w14:val="none"/>
                </w:rPr>
              </w:sdtEndPr>
              <w:sdtContent>
                <w:r>
                  <w:rPr>
                    <w:rFonts w:hint="eastAsia" w:ascii="Times New Roman" w:hAnsi="Times New Roman"/>
                    <w:kern w:val="0"/>
                    <w:szCs w:val="21"/>
                    <w14:ligatures w14:val="none"/>
                  </w:rPr>
                  <w:t>主要会计数据</w:t>
                </w:r>
              </w:sdtContent>
            </w:sdt>
          </w:p>
        </w:tc>
        <w:sdt>
          <w:sdtPr>
            <w:rPr>
              <w:rFonts w:ascii="Times New Roman" w:hAnsi="Times New Roman"/>
            </w:rPr>
            <w:tag w:val="_PLD_5660e2f873534d9bb6df13aaf36f1007"/>
            <w:id w:val="3307"/>
          </w:sdtPr>
          <w:sdtEndPr>
            <w:rPr>
              <w:rFonts w:ascii="Times New Roman" w:hAnsi="Times New Roman"/>
            </w:rPr>
          </w:sdtEndPr>
          <w:sdtContent>
            <w:tc>
              <w:tcPr>
                <w:tcW w:w="831" w:type="pct"/>
                <w:vMerge w:val="restar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2023年</w:t>
                </w:r>
              </w:p>
            </w:tc>
          </w:sdtContent>
        </w:sdt>
        <w:sdt>
          <w:sdtPr>
            <w:rPr>
              <w:rFonts w:ascii="Times New Roman" w:hAnsi="Times New Roman"/>
            </w:rPr>
            <w:tag w:val="_PLD_35c8944b2ec84dd7a07dfbd2f24dab65"/>
            <w:id w:val="3308"/>
          </w:sdtPr>
          <w:sdtEndPr>
            <w:rPr>
              <w:rFonts w:ascii="Times New Roman" w:hAnsi="Times New Roman"/>
            </w:rPr>
          </w:sdtEndPr>
          <w:sdtContent>
            <w:tc>
              <w:tcPr>
                <w:tcW w:w="1636" w:type="pct"/>
                <w:gridSpan w:val="2"/>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2022年</w:t>
                </w:r>
              </w:p>
            </w:tc>
          </w:sdtContent>
        </w:sdt>
        <w:sdt>
          <w:sdtPr>
            <w:rPr>
              <w:rFonts w:ascii="Times New Roman" w:hAnsi="Times New Roman"/>
            </w:rPr>
            <w:tag w:val="_PLD_583df07a088a4940ae6cf5c51744af19"/>
            <w:id w:val="3309"/>
          </w:sdtPr>
          <w:sdtEndPr>
            <w:rPr>
              <w:rFonts w:ascii="Times New Roman" w:hAnsi="Times New Roman"/>
            </w:rPr>
          </w:sdtEndPr>
          <w:sdtContent>
            <w:tc>
              <w:tcPr>
                <w:tcW w:w="354" w:type="pct"/>
                <w:vMerge w:val="restar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本期比上年同期增减</w:t>
                </w:r>
                <w:r>
                  <w:rPr>
                    <w:rFonts w:ascii="Times New Roman" w:hAnsi="Times New Roman"/>
                    <w:kern w:val="0"/>
                    <w:szCs w:val="21"/>
                    <w14:ligatures w14:val="none"/>
                  </w:rPr>
                  <w:t>(%)</w:t>
                </w:r>
              </w:p>
            </w:tc>
          </w:sdtContent>
        </w:sdt>
        <w:sdt>
          <w:sdtPr>
            <w:rPr>
              <w:rFonts w:ascii="Times New Roman" w:hAnsi="Times New Roman"/>
            </w:rPr>
            <w:tag w:val="_PLD_edf90a7d6f3a41d99bbbb81245a79f6d"/>
            <w:id w:val="3310"/>
          </w:sdtPr>
          <w:sdtEndPr>
            <w:rPr>
              <w:rFonts w:ascii="Times New Roman" w:hAnsi="Times New Roman"/>
            </w:rPr>
          </w:sdtEndPr>
          <w:sdtContent>
            <w:tc>
              <w:tcPr>
                <w:tcW w:w="1617" w:type="pct"/>
                <w:gridSpan w:val="2"/>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2021年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vMerge w:val="continue"/>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tc>
          <w:tcPr>
            <w:tcW w:w="831" w:type="pct"/>
            <w:vMerge w:val="continue"/>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sdt>
          <w:sdtPr>
            <w:rPr>
              <w:rFonts w:ascii="Times New Roman" w:hAnsi="Times New Roman"/>
            </w:rPr>
            <w:tag w:val="_PLD_b03487562c5a4780869d0645d00e4bbb"/>
            <w:id w:val="3311"/>
          </w:sdtPr>
          <w:sdtEndPr>
            <w:rPr>
              <w:rFonts w:ascii="Times New Roman" w:hAnsi="Times New Roman"/>
            </w:rPr>
          </w:sdtEndPr>
          <w:sdtContent>
            <w:tc>
              <w:tcPr>
                <w:tcW w:w="830"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调整后</w:t>
                </w:r>
              </w:p>
            </w:tc>
          </w:sdtContent>
        </w:sdt>
        <w:sdt>
          <w:sdtPr>
            <w:rPr>
              <w:rFonts w:ascii="Times New Roman" w:hAnsi="Times New Roman"/>
            </w:rPr>
            <w:tag w:val="_PLD_d0d8cd2f11004c2e9d9e3e62579bd79d"/>
            <w:id w:val="3312"/>
          </w:sdtPr>
          <w:sdtEndPr>
            <w:rPr>
              <w:rFonts w:ascii="Times New Roman" w:hAnsi="Times New Roman"/>
            </w:rPr>
          </w:sdtEndPr>
          <w:sdtContent>
            <w:tc>
              <w:tcPr>
                <w:tcW w:w="806"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调整前</w:t>
                </w:r>
              </w:p>
            </w:tc>
          </w:sdtContent>
        </w:sdt>
        <w:tc>
          <w:tcPr>
            <w:tcW w:w="354" w:type="pct"/>
            <w:vMerge w:val="continue"/>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sdt>
          <w:sdtPr>
            <w:rPr>
              <w:rFonts w:ascii="Times New Roman" w:hAnsi="Times New Roman"/>
            </w:rPr>
            <w:tag w:val="_PLD_dce37bb9485d446f92500166831b0f20"/>
            <w:id w:val="3313"/>
          </w:sdtPr>
          <w:sdtEndPr>
            <w:rPr>
              <w:rFonts w:ascii="Times New Roman" w:hAnsi="Times New Roman"/>
            </w:rPr>
          </w:sdtEndPr>
          <w:sdtContent>
            <w:tc>
              <w:tcPr>
                <w:tcW w:w="798"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调整后</w:t>
                </w:r>
              </w:p>
            </w:tc>
          </w:sdtContent>
        </w:sdt>
        <w:sdt>
          <w:sdtPr>
            <w:rPr>
              <w:rFonts w:ascii="Times New Roman" w:hAnsi="Times New Roman"/>
            </w:rPr>
            <w:tag w:val="_PLD_ab84bbd7163a4789942bff3e5bb6438a"/>
            <w:id w:val="3314"/>
          </w:sdtPr>
          <w:sdtEndPr>
            <w:rPr>
              <w:rFonts w:ascii="Times New Roman" w:hAnsi="Times New Roman"/>
            </w:rPr>
          </w:sdtEndPr>
          <w:sdtContent>
            <w:tc>
              <w:tcPr>
                <w:tcW w:w="818"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调整前</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6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hint="eastAsia" w:ascii="Times New Roman" w:hAnsi="Times New Roman"/>
                <w:kern w:val="0"/>
                <w:szCs w:val="21"/>
                <w14:ligatures w14:val="none"/>
              </w:rPr>
              <w:t>营业收入</w:t>
            </w:r>
          </w:p>
        </w:tc>
        <w:tc>
          <w:tcPr>
            <w:tcW w:w="831"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995,136,283.16</w:t>
            </w:r>
          </w:p>
        </w:tc>
        <w:tc>
          <w:tcPr>
            <w:tcW w:w="830"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669,192,032.18</w:t>
            </w:r>
          </w:p>
        </w:tc>
        <w:tc>
          <w:tcPr>
            <w:tcW w:w="806"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669,192,032.18</w:t>
            </w:r>
          </w:p>
        </w:tc>
        <w:tc>
          <w:tcPr>
            <w:tcW w:w="354" w:type="pct"/>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48.71</w:t>
            </w:r>
          </w:p>
        </w:tc>
        <w:tc>
          <w:tcPr>
            <w:tcW w:w="79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717,526,128.25</w:t>
            </w:r>
          </w:p>
        </w:tc>
        <w:tc>
          <w:tcPr>
            <w:tcW w:w="81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717,526,128.25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6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hint="eastAsia" w:ascii="Times New Roman" w:hAnsi="Times New Roman"/>
                <w:kern w:val="0"/>
                <w:szCs w:val="21"/>
                <w14:ligatures w14:val="none"/>
              </w:rPr>
              <w:t>归属于上市公司股东的净利润</w:t>
            </w:r>
          </w:p>
        </w:tc>
        <w:tc>
          <w:tcPr>
            <w:tcW w:w="831"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22,806,658.88</w:t>
            </w:r>
          </w:p>
        </w:tc>
        <w:tc>
          <w:tcPr>
            <w:tcW w:w="830"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-38,589,058.32</w:t>
            </w:r>
          </w:p>
        </w:tc>
        <w:tc>
          <w:tcPr>
            <w:tcW w:w="806"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-38,586,366.09</w:t>
            </w:r>
          </w:p>
        </w:tc>
        <w:tc>
          <w:tcPr>
            <w:tcW w:w="354"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rPr>
              <w:t>不适用</w:t>
            </w:r>
          </w:p>
        </w:tc>
        <w:tc>
          <w:tcPr>
            <w:tcW w:w="79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8,657,432.57</w:t>
            </w:r>
          </w:p>
        </w:tc>
        <w:tc>
          <w:tcPr>
            <w:tcW w:w="81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8,658,258.15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6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hint="eastAsia" w:ascii="Times New Roman" w:hAnsi="Times New Roman"/>
                <w:kern w:val="0"/>
                <w:szCs w:val="21"/>
                <w14:ligatures w14:val="none"/>
              </w:rPr>
              <w:t>归属于上市公司股东的扣除非经常性损益的净利润</w:t>
            </w:r>
          </w:p>
        </w:tc>
        <w:tc>
          <w:tcPr>
            <w:tcW w:w="831"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14,231,151.55</w:t>
            </w:r>
          </w:p>
        </w:tc>
        <w:tc>
          <w:tcPr>
            <w:tcW w:w="830"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-2,80</w:t>
            </w:r>
            <w:r>
              <w:rPr>
                <w:rFonts w:hint="eastAsia" w:ascii="Times New Roman" w:hAnsi="Times New Roman"/>
                <w:lang w:val="en-US" w:eastAsia="zh-CN"/>
              </w:rPr>
              <w:t>6,708.42</w:t>
            </w:r>
          </w:p>
        </w:tc>
        <w:tc>
          <w:tcPr>
            <w:tcW w:w="806"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-2,804,016.19</w:t>
            </w:r>
          </w:p>
        </w:tc>
        <w:tc>
          <w:tcPr>
            <w:tcW w:w="354"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rPr>
              <w:t>不适用</w:t>
            </w:r>
          </w:p>
        </w:tc>
        <w:tc>
          <w:tcPr>
            <w:tcW w:w="79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1,699,018.30</w:t>
            </w:r>
          </w:p>
        </w:tc>
        <w:tc>
          <w:tcPr>
            <w:tcW w:w="81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1,699,843.88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tcPr>
          <w:p>
            <w:pPr>
              <w:widowControl w:val="0"/>
              <w:kinsoku w:val="0"/>
              <w:overflowPunct w:val="0"/>
              <w:autoSpaceDE w:val="0"/>
              <w:autoSpaceDN w:val="0"/>
              <w:adjustRightInd w:val="0"/>
              <w:snapToGrid w:val="0"/>
              <w:jc w:val="both"/>
              <w:rPr>
                <w:rFonts w:ascii="Times New Roman" w:hAnsi="Times New Roman"/>
                <w:kern w:val="0"/>
                <w:szCs w:val="21"/>
                <w:highlight w:val="magenta"/>
                <w14:ligatures w14:val="none"/>
              </w:rPr>
            </w:pPr>
            <w:r>
              <w:rPr>
                <w:rFonts w:hint="eastAsia" w:ascii="Times New Roman" w:hAnsi="Times New Roman"/>
                <w:kern w:val="0"/>
                <w:szCs w:val="21"/>
                <w14:ligatures w14:val="none"/>
              </w:rPr>
              <w:t>经营活动产生的现金流量净额</w:t>
            </w:r>
          </w:p>
        </w:tc>
        <w:tc>
          <w:tcPr>
            <w:tcW w:w="831"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38,368,320.17</w:t>
            </w:r>
          </w:p>
        </w:tc>
        <w:tc>
          <w:tcPr>
            <w:tcW w:w="830"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27,580,148.16</w:t>
            </w:r>
          </w:p>
        </w:tc>
        <w:tc>
          <w:tcPr>
            <w:tcW w:w="806"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27,580,148.16</w:t>
            </w:r>
          </w:p>
        </w:tc>
        <w:tc>
          <w:tcPr>
            <w:tcW w:w="354"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39.12</w:t>
            </w:r>
          </w:p>
        </w:tc>
        <w:tc>
          <w:tcPr>
            <w:tcW w:w="79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-54,097,194.84</w:t>
            </w:r>
          </w:p>
        </w:tc>
        <w:tc>
          <w:tcPr>
            <w:tcW w:w="81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-54,097,194.84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60" w:type="pct"/>
            <w:vMerge w:val="restart"/>
            <w:tcBorders>
              <w:bottom w:val="single" w:color="auto" w:sz="4" w:space="0"/>
            </w:tcBorders>
          </w:tcPr>
          <w:p>
            <w:pPr>
              <w:widowControl w:val="0"/>
              <w:kinsoku w:val="0"/>
              <w:overflowPunct w:val="0"/>
              <w:autoSpaceDE w:val="0"/>
              <w:autoSpaceDN w:val="0"/>
              <w:adjustRightInd w:val="0"/>
              <w:snapToGrid w:val="0"/>
              <w:jc w:val="both"/>
              <w:rPr>
                <w:rFonts w:ascii="Times New Roman" w:hAnsi="Times New Roman"/>
                <w:kern w:val="0"/>
                <w:szCs w:val="21"/>
                <w14:ligatures w14:val="none"/>
              </w:rPr>
            </w:pPr>
          </w:p>
        </w:tc>
        <w:sdt>
          <w:sdtPr>
            <w:rPr>
              <w:rFonts w:ascii="Times New Roman" w:hAnsi="Times New Roman"/>
            </w:rPr>
            <w:tag w:val="_PLD_0d88b20780884c8f8b0a1f55e5d31f2e"/>
            <w:id w:val="3315"/>
          </w:sdtPr>
          <w:sdtEndPr>
            <w:rPr>
              <w:rFonts w:ascii="Times New Roman" w:hAnsi="Times New Roman"/>
            </w:rPr>
          </w:sdtEndPr>
          <w:sdtContent>
            <w:tc>
              <w:tcPr>
                <w:tcW w:w="831" w:type="pct"/>
                <w:vMerge w:val="restart"/>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2023年</w:t>
                </w:r>
                <w:r>
                  <w:rPr>
                    <w:rFonts w:ascii="Times New Roman" w:hAnsi="Times New Roman"/>
                    <w:kern w:val="0"/>
                    <w:szCs w:val="21"/>
                    <w14:ligatures w14:val="none"/>
                  </w:rPr>
                  <w:t>末</w:t>
                </w:r>
              </w:p>
            </w:tc>
          </w:sdtContent>
        </w:sdt>
        <w:sdt>
          <w:sdtPr>
            <w:rPr>
              <w:rFonts w:ascii="Times New Roman" w:hAnsi="Times New Roman"/>
            </w:rPr>
            <w:tag w:val="_PLD_1be51f12ae48471fa42c1f0a53451b67"/>
            <w:id w:val="3316"/>
          </w:sdtPr>
          <w:sdtEndPr>
            <w:rPr>
              <w:rFonts w:ascii="Times New Roman" w:hAnsi="Times New Roman"/>
            </w:rPr>
          </w:sdtEndPr>
          <w:sdtContent>
            <w:tc>
              <w:tcPr>
                <w:tcW w:w="1636" w:type="pct"/>
                <w:gridSpan w:val="2"/>
                <w:tcBorders>
                  <w:bottom w:val="single" w:color="auto" w:sz="4" w:space="0"/>
                </w:tcBorders>
                <w:shd w:val="clear" w:color="auto" w:fill="auto"/>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2022年末</w:t>
                </w:r>
              </w:p>
            </w:tc>
          </w:sdtContent>
        </w:sdt>
        <w:sdt>
          <w:sdtPr>
            <w:rPr>
              <w:rFonts w:ascii="Times New Roman" w:hAnsi="Times New Roman"/>
            </w:rPr>
            <w:tag w:val="_PLD_cae4a49474404cfba06bdf34c04fcba6"/>
            <w:id w:val="3317"/>
          </w:sdtPr>
          <w:sdtEndPr>
            <w:rPr>
              <w:rFonts w:ascii="Times New Roman" w:hAnsi="Times New Roman"/>
            </w:rPr>
          </w:sdtEndPr>
          <w:sdtContent>
            <w:tc>
              <w:tcPr>
                <w:tcW w:w="354" w:type="pct"/>
                <w:vMerge w:val="restart"/>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本期末比上年同期末增减</w:t>
                </w:r>
              </w:p>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w:t>
                </w:r>
                <w:r>
                  <w:rPr>
                    <w:rFonts w:hint="eastAsia" w:ascii="Times New Roman" w:hAnsi="Times New Roman"/>
                    <w:kern w:val="0"/>
                    <w:szCs w:val="21"/>
                    <w14:ligatures w14:val="none"/>
                  </w:rPr>
                  <w:t>%</w:t>
                </w:r>
                <w:r>
                  <w:rPr>
                    <w:rFonts w:ascii="Times New Roman" w:hAnsi="Times New Roman"/>
                    <w:kern w:val="0"/>
                    <w:szCs w:val="21"/>
                    <w14:ligatures w14:val="none"/>
                  </w:rPr>
                  <w:t>）</w:t>
                </w:r>
              </w:p>
            </w:tc>
          </w:sdtContent>
        </w:sdt>
        <w:sdt>
          <w:sdtPr>
            <w:rPr>
              <w:rFonts w:ascii="Times New Roman" w:hAnsi="Times New Roman"/>
            </w:rPr>
            <w:tag w:val="_PLD_4285f5ab2f284667927910bc2a0fd13f"/>
            <w:id w:val="3318"/>
          </w:sdtPr>
          <w:sdtEndPr>
            <w:rPr>
              <w:rFonts w:ascii="Times New Roman" w:hAnsi="Times New Roman"/>
            </w:rPr>
          </w:sdtEndPr>
          <w:sdtContent>
            <w:tc>
              <w:tcPr>
                <w:tcW w:w="1617" w:type="pct"/>
                <w:gridSpan w:val="2"/>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2021年末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60" w:type="pct"/>
            <w:vMerge w:val="continue"/>
            <w:tcBorders>
              <w:bottom w:val="single" w:color="auto" w:sz="4" w:space="0"/>
            </w:tcBorders>
          </w:tcPr>
          <w:p>
            <w:pPr>
              <w:widowControl w:val="0"/>
              <w:kinsoku w:val="0"/>
              <w:overflowPunct w:val="0"/>
              <w:autoSpaceDE w:val="0"/>
              <w:autoSpaceDN w:val="0"/>
              <w:adjustRightInd w:val="0"/>
              <w:snapToGrid w:val="0"/>
              <w:jc w:val="both"/>
              <w:rPr>
                <w:rFonts w:ascii="Times New Roman" w:hAnsi="Times New Roman"/>
                <w:kern w:val="0"/>
                <w:szCs w:val="21"/>
                <w14:ligatures w14:val="none"/>
              </w:rPr>
            </w:pPr>
          </w:p>
        </w:tc>
        <w:tc>
          <w:tcPr>
            <w:tcW w:w="831" w:type="pct"/>
            <w:vMerge w:val="continue"/>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sdt>
          <w:sdtPr>
            <w:rPr>
              <w:rFonts w:ascii="Times New Roman" w:hAnsi="Times New Roman"/>
            </w:rPr>
            <w:tag w:val="_PLD_07c2b8b4f1c943ac9e2f1b3bd6866a46"/>
            <w:id w:val="3319"/>
          </w:sdtPr>
          <w:sdtEndPr>
            <w:rPr>
              <w:rFonts w:ascii="Times New Roman" w:hAnsi="Times New Roman"/>
            </w:rPr>
          </w:sdtEndPr>
          <w:sdtContent>
            <w:tc>
              <w:tcPr>
                <w:tcW w:w="830" w:type="pct"/>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调整后</w:t>
                </w:r>
              </w:p>
            </w:tc>
          </w:sdtContent>
        </w:sdt>
        <w:sdt>
          <w:sdtPr>
            <w:rPr>
              <w:rFonts w:ascii="Times New Roman" w:hAnsi="Times New Roman"/>
            </w:rPr>
            <w:tag w:val="_PLD_4dc48658027a438e92392fbe0be3c314"/>
            <w:id w:val="3320"/>
          </w:sdtPr>
          <w:sdtEndPr>
            <w:rPr>
              <w:rFonts w:ascii="Times New Roman" w:hAnsi="Times New Roman"/>
            </w:rPr>
          </w:sdtEndPr>
          <w:sdtContent>
            <w:tc>
              <w:tcPr>
                <w:tcW w:w="806" w:type="pct"/>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调整前</w:t>
                </w:r>
              </w:p>
            </w:tc>
          </w:sdtContent>
        </w:sdt>
        <w:tc>
          <w:tcPr>
            <w:tcW w:w="354" w:type="pct"/>
            <w:vMerge w:val="continue"/>
            <w:tcBorders>
              <w:bottom w:val="single" w:color="auto" w:sz="4" w:space="0"/>
            </w:tcBorders>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p>
        </w:tc>
        <w:sdt>
          <w:sdtPr>
            <w:rPr>
              <w:rFonts w:ascii="Times New Roman" w:hAnsi="Times New Roman"/>
            </w:rPr>
            <w:tag w:val="_PLD_5b052f7f26054fdab6999b7a61e0be4a"/>
            <w:id w:val="3321"/>
          </w:sdtPr>
          <w:sdtEndPr>
            <w:rPr>
              <w:rFonts w:ascii="Times New Roman" w:hAnsi="Times New Roman"/>
            </w:rPr>
          </w:sdtEndPr>
          <w:sdtContent>
            <w:tc>
              <w:tcPr>
                <w:tcW w:w="798" w:type="pct"/>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调整后</w:t>
                </w:r>
              </w:p>
            </w:tc>
          </w:sdtContent>
        </w:sdt>
        <w:sdt>
          <w:sdtPr>
            <w:rPr>
              <w:rFonts w:ascii="Times New Roman" w:hAnsi="Times New Roman"/>
            </w:rPr>
            <w:tag w:val="_PLD_bffd6c17c399445aa2fb60a7726c4774"/>
            <w:id w:val="3322"/>
          </w:sdtPr>
          <w:sdtEndPr>
            <w:rPr>
              <w:rFonts w:ascii="Times New Roman" w:hAnsi="Times New Roman"/>
            </w:rPr>
          </w:sdtEndPr>
          <w:sdtContent>
            <w:tc>
              <w:tcPr>
                <w:tcW w:w="818" w:type="pct"/>
                <w:tcBorders>
                  <w:bottom w:val="single" w:color="auto" w:sz="4" w:space="0"/>
                </w:tcBorders>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调整前</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hint="eastAsia" w:ascii="Times New Roman" w:hAnsi="Times New Roman"/>
                <w:kern w:val="0"/>
                <w:szCs w:val="21"/>
                <w14:ligatures w14:val="none"/>
              </w:rPr>
              <w:t>归属于上市公司股东的净资产</w:t>
            </w:r>
          </w:p>
        </w:tc>
        <w:tc>
          <w:tcPr>
            <w:tcW w:w="831"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2,119,850,332.22</w:t>
            </w:r>
          </w:p>
        </w:tc>
        <w:tc>
          <w:tcPr>
            <w:tcW w:w="830"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2,097,043,673.34</w:t>
            </w:r>
          </w:p>
        </w:tc>
        <w:tc>
          <w:tcPr>
            <w:tcW w:w="806"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2,097,047,249.58</w:t>
            </w:r>
          </w:p>
        </w:tc>
        <w:tc>
          <w:tcPr>
            <w:tcW w:w="354"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1.09</w:t>
            </w:r>
          </w:p>
        </w:tc>
        <w:tc>
          <w:tcPr>
            <w:tcW w:w="79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2,135,632,731.66</w:t>
            </w:r>
          </w:p>
        </w:tc>
        <w:tc>
          <w:tcPr>
            <w:tcW w:w="81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2,135,633,615.67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6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hint="eastAsia" w:ascii="Times New Roman" w:hAnsi="Times New Roman"/>
                <w:kern w:val="0"/>
                <w:szCs w:val="21"/>
                <w14:ligatures w14:val="none"/>
              </w:rPr>
              <w:t>总资产</w:t>
            </w:r>
          </w:p>
        </w:tc>
        <w:tc>
          <w:tcPr>
            <w:tcW w:w="831"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2,621,957,721.33</w:t>
            </w:r>
          </w:p>
        </w:tc>
        <w:tc>
          <w:tcPr>
            <w:tcW w:w="830"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2,476,501,725.68</w:t>
            </w:r>
          </w:p>
        </w:tc>
        <w:tc>
          <w:tcPr>
            <w:tcW w:w="806" w:type="pct"/>
            <w:vAlign w:val="center"/>
          </w:tcPr>
          <w:p>
            <w:pPr>
              <w:widowControl w:val="0"/>
              <w:kinsoku w:val="0"/>
              <w:overflowPunct w:val="0"/>
              <w:autoSpaceDE w:val="0"/>
              <w:autoSpaceDN w:val="0"/>
              <w:adjustRightInd w:val="0"/>
              <w:snapToGrid w:val="0"/>
              <w:jc w:val="right"/>
              <w:rPr>
                <w:rFonts w:ascii="Times New Roman" w:hAnsi="Times New Roman"/>
                <w:bCs/>
                <w:kern w:val="0"/>
                <w:szCs w:val="21"/>
                <w14:ligatures w14:val="none"/>
              </w:rPr>
            </w:pPr>
            <w:r>
              <w:rPr>
                <w:rFonts w:ascii="Times New Roman" w:hAnsi="Times New Roman"/>
              </w:rPr>
              <w:t>2,476,174,283.06</w:t>
            </w:r>
          </w:p>
        </w:tc>
        <w:tc>
          <w:tcPr>
            <w:tcW w:w="354"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5.87</w:t>
            </w:r>
          </w:p>
        </w:tc>
        <w:tc>
          <w:tcPr>
            <w:tcW w:w="79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2,525,233,959.37</w:t>
            </w:r>
          </w:p>
        </w:tc>
        <w:tc>
          <w:tcPr>
            <w:tcW w:w="818"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2,524,702,013.82</w:t>
            </w:r>
          </w:p>
        </w:tc>
      </w:tr>
    </w:tbl>
    <w:p/>
    <w:p/>
    <w:p>
      <w:pPr>
        <w:pStyle w:val="4"/>
        <w:numPr>
          <w:ilvl w:val="1"/>
          <w:numId w:val="5"/>
        </w:numPr>
        <w:rPr>
          <w:rFonts w:ascii="宋体" w:hAnsi="宋体"/>
          <w:szCs w:val="21"/>
        </w:rPr>
      </w:pPr>
      <w:bookmarkStart w:id="21" w:name="_Hlk61879994"/>
      <w:bookmarkEnd w:id="21"/>
      <w:bookmarkStart w:id="22" w:name="_Hlk61879983"/>
      <w:bookmarkEnd w:id="22"/>
      <w:bookmarkStart w:id="23" w:name="_Hlk61879976"/>
      <w:bookmarkEnd w:id="23"/>
      <w:r>
        <w:t>主要财务指标</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1099"/>
        <w:gridCol w:w="994"/>
        <w:gridCol w:w="987"/>
        <w:gridCol w:w="1298"/>
        <w:gridCol w:w="994"/>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00" w:type="pct"/>
            <w:vMerge w:val="restar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bookmarkStart w:id="24" w:name="_Hlk25325424"/>
            <w:bookmarkEnd w:id="24"/>
            <w:sdt>
              <w:sdtPr>
                <w:rPr>
                  <w:rFonts w:ascii="Times New Roman" w:hAnsi="Times New Roman"/>
                  <w:kern w:val="0"/>
                  <w:szCs w:val="21"/>
                  <w14:ligatures w14:val="none"/>
                </w:rPr>
                <w:tag w:val="_PLD_93f58c7dfa334f7b9687d4b507301315"/>
                <w:id w:val="7577"/>
              </w:sdtPr>
              <w:sdtEndPr>
                <w:rPr>
                  <w:rFonts w:ascii="Times New Roman" w:hAnsi="Times New Roman"/>
                  <w:kern w:val="0"/>
                  <w:szCs w:val="20"/>
                  <w14:ligatures w14:val="none"/>
                </w:rPr>
              </w:sdtEndPr>
              <w:sdtContent>
                <w:r>
                  <w:rPr>
                    <w:rFonts w:ascii="Times New Roman" w:hAnsi="Times New Roman"/>
                    <w:kern w:val="0"/>
                    <w:szCs w:val="21"/>
                    <w14:ligatures w14:val="none"/>
                  </w:rPr>
                  <w:t>主要财务指标</w:t>
                </w:r>
              </w:sdtContent>
            </w:sdt>
          </w:p>
        </w:tc>
        <w:sdt>
          <w:sdtPr>
            <w:rPr>
              <w:rFonts w:ascii="Times New Roman" w:hAnsi="Times New Roman"/>
            </w:rPr>
            <w:tag w:val="_PLD_3659f4cd15124b45a2a65613b16939e4"/>
            <w:id w:val="7578"/>
          </w:sdtPr>
          <w:sdtEndPr>
            <w:rPr>
              <w:rFonts w:ascii="Times New Roman" w:hAnsi="Times New Roman"/>
            </w:rPr>
          </w:sdtEndPr>
          <w:sdtContent>
            <w:tc>
              <w:tcPr>
                <w:tcW w:w="607" w:type="pct"/>
                <w:vMerge w:val="restar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2023年</w:t>
                </w:r>
              </w:p>
            </w:tc>
          </w:sdtContent>
        </w:sdt>
        <w:sdt>
          <w:sdtPr>
            <w:rPr>
              <w:rFonts w:ascii="Times New Roman" w:hAnsi="Times New Roman"/>
            </w:rPr>
            <w:tag w:val="_PLD_dae9cb2d710c42bbaa3b9e51a4a464c6"/>
            <w:id w:val="7579"/>
          </w:sdtPr>
          <w:sdtEndPr>
            <w:rPr>
              <w:rFonts w:ascii="Times New Roman" w:hAnsi="Times New Roman"/>
            </w:rPr>
          </w:sdtEndPr>
          <w:sdtContent>
            <w:tc>
              <w:tcPr>
                <w:tcW w:w="1094" w:type="pct"/>
                <w:gridSpan w:val="2"/>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2022年</w:t>
                </w:r>
              </w:p>
            </w:tc>
          </w:sdtContent>
        </w:sdt>
        <w:sdt>
          <w:sdtPr>
            <w:rPr>
              <w:rFonts w:ascii="Times New Roman" w:hAnsi="Times New Roman"/>
            </w:rPr>
            <w:tag w:val="_PLD_88e29c5ce4054138b5713d7b61f1c304"/>
            <w:id w:val="7580"/>
          </w:sdtPr>
          <w:sdtEndPr>
            <w:rPr>
              <w:rFonts w:ascii="Times New Roman" w:hAnsi="Times New Roman"/>
            </w:rPr>
          </w:sdtEndPr>
          <w:sdtContent>
            <w:tc>
              <w:tcPr>
                <w:tcW w:w="717" w:type="pct"/>
                <w:vMerge w:val="restar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本期比上年同期增减(%)</w:t>
                </w:r>
              </w:p>
            </w:tc>
          </w:sdtContent>
        </w:sdt>
        <w:sdt>
          <w:sdtPr>
            <w:rPr>
              <w:rFonts w:ascii="Times New Roman" w:hAnsi="Times New Roman"/>
            </w:rPr>
            <w:tag w:val="_PLD_09e97eecc2c848c1ae919afa66c75157"/>
            <w:id w:val="7581"/>
          </w:sdtPr>
          <w:sdtEndPr>
            <w:rPr>
              <w:rFonts w:ascii="Times New Roman" w:hAnsi="Times New Roman"/>
            </w:rPr>
          </w:sdtEndPr>
          <w:sdtContent>
            <w:tc>
              <w:tcPr>
                <w:tcW w:w="1080" w:type="pct"/>
                <w:gridSpan w:val="2"/>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hint="eastAsia" w:ascii="Times New Roman" w:hAnsi="Times New Roman"/>
                    <w:kern w:val="0"/>
                    <w:szCs w:val="21"/>
                    <w14:ligatures w14:val="none"/>
                  </w:rPr>
                  <w:t>2021年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vMerge w:val="continue"/>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tc>
          <w:tcPr>
            <w:tcW w:w="607" w:type="pct"/>
            <w:vMerge w:val="continue"/>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sdt>
          <w:sdtPr>
            <w:rPr>
              <w:rFonts w:ascii="Times New Roman" w:hAnsi="Times New Roman"/>
            </w:rPr>
            <w:tag w:val="_PLD_efc67258aa8b417aaaa22e2605b69561"/>
            <w:id w:val="7582"/>
          </w:sdtPr>
          <w:sdtEndPr>
            <w:rPr>
              <w:rFonts w:ascii="Times New Roman" w:hAnsi="Times New Roman"/>
            </w:rPr>
          </w:sdtEndPr>
          <w:sdtContent>
            <w:tc>
              <w:tcPr>
                <w:tcW w:w="549"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调整后</w:t>
                </w:r>
              </w:p>
            </w:tc>
          </w:sdtContent>
        </w:sdt>
        <w:sdt>
          <w:sdtPr>
            <w:rPr>
              <w:rFonts w:ascii="Times New Roman" w:hAnsi="Times New Roman"/>
            </w:rPr>
            <w:tag w:val="_PLD_ed111ad35c7d40cb9525e1b94ec5fea6"/>
            <w:id w:val="7583"/>
          </w:sdtPr>
          <w:sdtEndPr>
            <w:rPr>
              <w:rFonts w:ascii="Times New Roman" w:hAnsi="Times New Roman"/>
            </w:rPr>
          </w:sdtEndPr>
          <w:sdtContent>
            <w:tc>
              <w:tcPr>
                <w:tcW w:w="545"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调整</w:t>
                </w:r>
                <w:r>
                  <w:rPr>
                    <w:rFonts w:hint="eastAsia" w:ascii="Times New Roman" w:hAnsi="Times New Roman"/>
                    <w:kern w:val="0"/>
                    <w:szCs w:val="21"/>
                    <w14:ligatures w14:val="none"/>
                  </w:rPr>
                  <w:t>前</w:t>
                </w:r>
              </w:p>
            </w:tc>
          </w:sdtContent>
        </w:sdt>
        <w:tc>
          <w:tcPr>
            <w:tcW w:w="717" w:type="pct"/>
            <w:vMerge w:val="continue"/>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p>
        </w:tc>
        <w:sdt>
          <w:sdtPr>
            <w:rPr>
              <w:rFonts w:ascii="Times New Roman" w:hAnsi="Times New Roman"/>
            </w:rPr>
            <w:tag w:val="_PLD_6c02958175014771a1483688056fd1ed"/>
            <w:id w:val="7584"/>
          </w:sdtPr>
          <w:sdtEndPr>
            <w:rPr>
              <w:rFonts w:ascii="Times New Roman" w:hAnsi="Times New Roman"/>
            </w:rPr>
          </w:sdtEndPr>
          <w:sdtContent>
            <w:tc>
              <w:tcPr>
                <w:tcW w:w="549"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调整后</w:t>
                </w:r>
              </w:p>
            </w:tc>
          </w:sdtContent>
        </w:sdt>
        <w:sdt>
          <w:sdtPr>
            <w:rPr>
              <w:rFonts w:ascii="Times New Roman" w:hAnsi="Times New Roman"/>
            </w:rPr>
            <w:tag w:val="_PLD_bd6188a801534444addb8f8b1d0607ab"/>
            <w:id w:val="7585"/>
          </w:sdtPr>
          <w:sdtEndPr>
            <w:rPr>
              <w:rFonts w:ascii="Times New Roman" w:hAnsi="Times New Roman"/>
            </w:rPr>
          </w:sdtEndPr>
          <w:sdtContent>
            <w:tc>
              <w:tcPr>
                <w:tcW w:w="530" w:type="pct"/>
                <w:vAlign w:val="center"/>
              </w:tcPr>
              <w:p>
                <w:pPr>
                  <w:widowControl w:val="0"/>
                  <w:kinsoku w:val="0"/>
                  <w:overflowPunct w:val="0"/>
                  <w:autoSpaceDE w:val="0"/>
                  <w:autoSpaceDN w:val="0"/>
                  <w:adjustRightInd w:val="0"/>
                  <w:snapToGrid w:val="0"/>
                  <w:jc w:val="center"/>
                  <w:rPr>
                    <w:rFonts w:ascii="Times New Roman" w:hAnsi="Times New Roman"/>
                    <w:kern w:val="0"/>
                    <w:szCs w:val="21"/>
                    <w14:ligatures w14:val="none"/>
                  </w:rPr>
                </w:pPr>
                <w:r>
                  <w:rPr>
                    <w:rFonts w:ascii="Times New Roman" w:hAnsi="Times New Roman"/>
                    <w:kern w:val="0"/>
                    <w:szCs w:val="21"/>
                    <w14:ligatures w14:val="none"/>
                  </w:rPr>
                  <w:t>调整</w:t>
                </w:r>
                <w:r>
                  <w:rPr>
                    <w:rFonts w:hint="eastAsia" w:ascii="Times New Roman" w:hAnsi="Times New Roman"/>
                    <w:kern w:val="0"/>
                    <w:szCs w:val="21"/>
                    <w14:ligatures w14:val="none"/>
                  </w:rPr>
                  <w:t>前</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ascii="Times New Roman" w:hAnsi="Times New Roman"/>
                <w:kern w:val="0"/>
                <w:szCs w:val="21"/>
                <w14:ligatures w14:val="none"/>
              </w:rPr>
              <w:t>基本每股收益（元／股）</w:t>
            </w:r>
          </w:p>
        </w:tc>
        <w:tc>
          <w:tcPr>
            <w:tcW w:w="60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0.0415 </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-0.0702 </w:t>
            </w:r>
          </w:p>
        </w:tc>
        <w:tc>
          <w:tcPr>
            <w:tcW w:w="545"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-0.0702 </w:t>
            </w:r>
          </w:p>
        </w:tc>
        <w:tc>
          <w:tcPr>
            <w:tcW w:w="71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不适用</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0.0157</w:t>
            </w:r>
          </w:p>
        </w:tc>
        <w:tc>
          <w:tcPr>
            <w:tcW w:w="530"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ascii="Times New Roman" w:hAnsi="Times New Roman"/>
                <w:kern w:val="0"/>
                <w:szCs w:val="21"/>
                <w14:ligatures w14:val="none"/>
              </w:rPr>
              <w:t>稀释每股收益（元／股）</w:t>
            </w:r>
          </w:p>
        </w:tc>
        <w:tc>
          <w:tcPr>
            <w:tcW w:w="60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color w:val="auto"/>
              </w:rPr>
              <w:t>0.0415 </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color w:val="auto"/>
              </w:rPr>
              <w:t>-0.0702 </w:t>
            </w:r>
          </w:p>
        </w:tc>
        <w:tc>
          <w:tcPr>
            <w:tcW w:w="545"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color w:val="auto"/>
              </w:rPr>
              <w:t>-0.0702 </w:t>
            </w:r>
          </w:p>
        </w:tc>
        <w:tc>
          <w:tcPr>
            <w:tcW w:w="71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color w:val="auto"/>
              </w:rPr>
              <w:t>不适用</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color w:val="auto"/>
              </w:rPr>
              <w:t>0.0157</w:t>
            </w:r>
          </w:p>
        </w:tc>
        <w:tc>
          <w:tcPr>
            <w:tcW w:w="530"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color w:val="auto"/>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ascii="Times New Roman" w:hAnsi="Times New Roman"/>
                <w:kern w:val="0"/>
                <w:szCs w:val="21"/>
                <w14:ligatures w14:val="none"/>
              </w:rPr>
              <w:t>扣除非经常性损益后的基本每股收益（元／股）</w:t>
            </w:r>
          </w:p>
        </w:tc>
        <w:tc>
          <w:tcPr>
            <w:tcW w:w="60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0.0259 </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-0.0051 </w:t>
            </w:r>
          </w:p>
        </w:tc>
        <w:tc>
          <w:tcPr>
            <w:tcW w:w="545"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-0.0051 </w:t>
            </w:r>
          </w:p>
        </w:tc>
        <w:tc>
          <w:tcPr>
            <w:tcW w:w="71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不适用</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0.0031</w:t>
            </w:r>
          </w:p>
        </w:tc>
        <w:tc>
          <w:tcPr>
            <w:tcW w:w="530"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ascii="Times New Roman" w:hAnsi="Times New Roman"/>
                <w:kern w:val="0"/>
                <w:szCs w:val="21"/>
                <w14:ligatures w14:val="none"/>
              </w:rPr>
              <w:t>加权平均净资产收益率</w:t>
            </w:r>
          </w:p>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ascii="Times New Roman" w:hAnsi="Times New Roman"/>
                <w:kern w:val="0"/>
                <w:szCs w:val="21"/>
                <w14:ligatures w14:val="none"/>
              </w:rPr>
              <w:t>（%）</w:t>
            </w:r>
          </w:p>
        </w:tc>
        <w:tc>
          <w:tcPr>
            <w:tcW w:w="60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1.08 </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-1.82 </w:t>
            </w:r>
          </w:p>
        </w:tc>
        <w:tc>
          <w:tcPr>
            <w:tcW w:w="545"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-1.82 </w:t>
            </w:r>
          </w:p>
        </w:tc>
        <w:tc>
          <w:tcPr>
            <w:tcW w:w="717" w:type="pct"/>
            <w:vAlign w:val="center"/>
          </w:tcPr>
          <w:p>
            <w:pPr>
              <w:widowControl w:val="0"/>
              <w:kinsoku w:val="0"/>
              <w:overflowPunct w:val="0"/>
              <w:autoSpaceDE w:val="0"/>
              <w:autoSpaceDN w:val="0"/>
              <w:adjustRightInd w:val="0"/>
              <w:snapToGrid w:val="0"/>
              <w:jc w:val="right"/>
              <w:rPr>
                <w:rFonts w:hint="default" w:ascii="Times New Roman" w:hAnsi="Times New Roman" w:eastAsia="宋体"/>
                <w:kern w:val="0"/>
                <w:szCs w:val="21"/>
                <w:lang w:val="en-US" w:eastAsia="zh-CN"/>
                <w14:ligatures w14:val="none"/>
              </w:rPr>
            </w:pPr>
            <w:r>
              <w:rPr>
                <w:rFonts w:hint="eastAsia" w:ascii="Times New Roman" w:hAnsi="Times New Roman"/>
                <w:kern w:val="0"/>
                <w:szCs w:val="21"/>
                <w:lang w:val="en-US" w:eastAsia="zh-CN"/>
                <w14:ligatures w14:val="none"/>
              </w:rPr>
              <w:t>增加2.90个百分点</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0.41</w:t>
            </w:r>
          </w:p>
        </w:tc>
        <w:tc>
          <w:tcPr>
            <w:tcW w:w="530"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Pr>
          <w:p>
            <w:pPr>
              <w:widowControl w:val="0"/>
              <w:kinsoku w:val="0"/>
              <w:overflowPunct w:val="0"/>
              <w:autoSpaceDE w:val="0"/>
              <w:autoSpaceDN w:val="0"/>
              <w:adjustRightInd w:val="0"/>
              <w:snapToGrid w:val="0"/>
              <w:jc w:val="both"/>
              <w:rPr>
                <w:rFonts w:ascii="Times New Roman" w:hAnsi="Times New Roman"/>
                <w:kern w:val="0"/>
                <w:szCs w:val="21"/>
                <w14:ligatures w14:val="none"/>
              </w:rPr>
            </w:pPr>
            <w:r>
              <w:rPr>
                <w:rFonts w:ascii="Times New Roman" w:hAnsi="Times New Roman"/>
                <w:kern w:val="0"/>
                <w:szCs w:val="21"/>
                <w14:ligatures w14:val="none"/>
              </w:rPr>
              <w:t>扣除非经常性损益后的加权平均净资产收益率（%）</w:t>
            </w:r>
          </w:p>
        </w:tc>
        <w:tc>
          <w:tcPr>
            <w:tcW w:w="607"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0.68 </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-0.13 </w:t>
            </w:r>
          </w:p>
        </w:tc>
        <w:tc>
          <w:tcPr>
            <w:tcW w:w="545"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-0.13 </w:t>
            </w:r>
          </w:p>
        </w:tc>
        <w:tc>
          <w:tcPr>
            <w:tcW w:w="717" w:type="pct"/>
            <w:vAlign w:val="center"/>
          </w:tcPr>
          <w:p>
            <w:pPr>
              <w:widowControl w:val="0"/>
              <w:kinsoku w:val="0"/>
              <w:overflowPunct w:val="0"/>
              <w:autoSpaceDE w:val="0"/>
              <w:autoSpaceDN w:val="0"/>
              <w:adjustRightInd w:val="0"/>
              <w:snapToGrid w:val="0"/>
              <w:jc w:val="right"/>
              <w:rPr>
                <w:rFonts w:hint="default" w:ascii="Times New Roman" w:hAnsi="Times New Roman" w:eastAsia="宋体"/>
                <w:kern w:val="0"/>
                <w:szCs w:val="21"/>
                <w:lang w:val="en-US" w:eastAsia="zh-CN"/>
                <w14:ligatures w14:val="none"/>
              </w:rPr>
            </w:pPr>
            <w:r>
              <w:rPr>
                <w:rFonts w:hint="eastAsia" w:ascii="Times New Roman" w:hAnsi="Times New Roman"/>
                <w:kern w:val="0"/>
                <w:szCs w:val="21"/>
                <w:lang w:val="en-US" w:eastAsia="zh-CN"/>
                <w14:ligatures w14:val="none"/>
              </w:rPr>
              <w:t>增加0.8个百分点</w:t>
            </w:r>
          </w:p>
        </w:tc>
        <w:tc>
          <w:tcPr>
            <w:tcW w:w="549"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0.08</w:t>
            </w:r>
          </w:p>
        </w:tc>
        <w:tc>
          <w:tcPr>
            <w:tcW w:w="530" w:type="pct"/>
            <w:vAlign w:val="center"/>
          </w:tcPr>
          <w:p>
            <w:pPr>
              <w:widowControl w:val="0"/>
              <w:kinsoku w:val="0"/>
              <w:overflowPunct w:val="0"/>
              <w:autoSpaceDE w:val="0"/>
              <w:autoSpaceDN w:val="0"/>
              <w:adjustRightInd w:val="0"/>
              <w:snapToGrid w:val="0"/>
              <w:jc w:val="right"/>
              <w:rPr>
                <w:rFonts w:ascii="Times New Roman" w:hAnsi="Times New Roman"/>
                <w:kern w:val="0"/>
                <w:szCs w:val="21"/>
                <w14:ligatures w14:val="none"/>
              </w:rPr>
            </w:pPr>
            <w:r>
              <w:rPr>
                <w:rFonts w:ascii="Times New Roman" w:hAnsi="Times New Roman"/>
              </w:rPr>
              <w:t>0.08</w:t>
            </w:r>
          </w:p>
        </w:tc>
      </w:tr>
    </w:tbl>
    <w:p>
      <w:pPr>
        <w:kinsoku w:val="0"/>
        <w:overflowPunct w:val="0"/>
        <w:autoSpaceDE w:val="0"/>
        <w:autoSpaceDN w:val="0"/>
        <w:adjustRightInd w:val="0"/>
        <w:snapToGrid w:val="0"/>
        <w:rPr>
          <w:szCs w:val="21"/>
        </w:rPr>
      </w:pPr>
    </w:p>
    <w:p>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25519"/>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rPr>
          <w:rFonts w:ascii="Times New Roman" w:hAnsi="Times New Roman"/>
          <w:sz w:val="21"/>
        </w:rPr>
        <w:alias w:val="报告期末公司前三年主要会计数据和财务指标的说明"/>
        <w:tag w:val="_GBC_3f6a388b622d4cda9ea66de381322aa3"/>
        <w:id w:val="29937428"/>
        <w:placeholder>
          <w:docPart w:val="{3c396c88-828f-4c1e-b8d1-b2ad5195fd5c}"/>
        </w:placeholder>
      </w:sdtPr>
      <w:sdtEndPr>
        <w:rPr>
          <w:rFonts w:ascii="Times New Roman" w:hAnsi="Times New Roman"/>
          <w:sz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eastAsia" w:ascii="Times New Roman" w:hAnsi="Times New Roman"/>
              <w:sz w:val="21"/>
            </w:rPr>
            <w:t>本报告期内，随着国内消费市场恢复常态，公司紧抓机遇积极拓展，加大销售力度，本期销售情况好转，综合毛利增加，营业收入上升明显，同比增长48.71%，从而其他财务数据相应改善。归属于上市公司股东的净利润增加还受公司持有的股票公允价值变动同比上升影响。</w:t>
          </w:r>
        </w:p>
      </w:sdtContent>
    </w:sdt>
    <w:p/>
    <w:p>
      <w:pPr>
        <w:pStyle w:val="3"/>
        <w:numPr>
          <w:ilvl w:val="1"/>
          <w:numId w:val="4"/>
        </w:numPr>
        <w:ind w:left="498" w:hanging="498" w:hangingChars="236"/>
      </w:pPr>
      <w:r>
        <w:rPr>
          <w:rFonts w:hint="eastAsia"/>
        </w:rPr>
        <w:t>境内外会计准则下会计数据差异</w:t>
      </w:r>
    </w:p>
    <w:p>
      <w:pPr>
        <w:pStyle w:val="4"/>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25520"/>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4"/>
        <w:numPr>
          <w:ilvl w:val="0"/>
          <w:numId w:val="6"/>
        </w:numPr>
        <w:ind w:left="368" w:hanging="369" w:hangingChars="175"/>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25521"/>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pStyle w:val="4"/>
        <w:numPr>
          <w:ilvl w:val="0"/>
          <w:numId w:val="6"/>
        </w:numPr>
        <w:ind w:hangingChars="175"/>
      </w:pPr>
      <w:r>
        <w:t>境内外会计准则差异的说明：</w:t>
      </w:r>
    </w:p>
    <w:sdt>
      <w:sdtPr>
        <w:alias w:val="是否适用：境内外会计准则差异的说明[双击切换]"/>
        <w:tag w:val="_GBC_fb9a5edc484f49ab948423fc0bade519"/>
        <w:id w:val="25522"/>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3"/>
        <w:numPr>
          <w:ilvl w:val="1"/>
          <w:numId w:val="4"/>
        </w:numPr>
        <w:ind w:left="498" w:hanging="498" w:hangingChars="236"/>
      </w:pPr>
      <w:r>
        <w:rPr>
          <w:rFonts w:hint="eastAsia"/>
        </w:rPr>
        <w:t>2023年分季度主要财务数据</w:t>
      </w:r>
    </w:p>
    <w:p>
      <w:pPr>
        <w:jc w:val="right"/>
        <w:rPr>
          <w:szCs w:val="21"/>
        </w:rPr>
      </w:pPr>
      <w:r>
        <w:rPr>
          <w:rFonts w:hint="eastAsia"/>
          <w:szCs w:val="21"/>
        </w:rPr>
        <w:t>单位：</w:t>
      </w:r>
      <w:sdt>
        <w:sdtPr>
          <w:rPr>
            <w:rFonts w:hint="eastAsia"/>
            <w:szCs w:val="21"/>
          </w:rPr>
          <w:alias w:val="单位：分季度主要财务数据"/>
          <w:tag w:val="_GBC_c7bf8a69799342519e2da375e77f8d89"/>
          <w:id w:val="255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5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843"/>
        <w:gridCol w:w="1559"/>
        <w:gridCol w:w="1559"/>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center"/>
              <w:rPr>
                <w:rFonts w:hint="default" w:ascii="Times New Roman" w:hAnsi="Times New Roman" w:cs="Times New Roman"/>
                <w:sz w:val="21"/>
                <w:szCs w:val="21"/>
              </w:rPr>
            </w:pPr>
          </w:p>
        </w:tc>
        <w:sdt>
          <w:sdtPr>
            <w:rPr>
              <w:rFonts w:hint="default" w:ascii="Times New Roman" w:hAnsi="Times New Roman" w:cs="Times New Roman"/>
              <w:sz w:val="21"/>
              <w:szCs w:val="21"/>
            </w:rPr>
            <w:tag w:val="_PLD_2d7ae3b1c4bd43a98e284f10d0bdc51f"/>
            <w:id w:val="2982"/>
          </w:sdtPr>
          <w:sdtEndPr>
            <w:rPr>
              <w:rFonts w:hint="default" w:ascii="Times New Roman" w:hAnsi="Times New Roman" w:cs="Times New Roman"/>
              <w:sz w:val="21"/>
              <w:szCs w:val="21"/>
            </w:rPr>
          </w:sdtEndPr>
          <w:sdtContent>
            <w:tc>
              <w:tcPr>
                <w:tcW w:w="1843"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第一季度</w:t>
                </w:r>
              </w:p>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（1-3月份）</w:t>
                </w:r>
              </w:p>
            </w:tc>
          </w:sdtContent>
        </w:sdt>
        <w:sdt>
          <w:sdtPr>
            <w:rPr>
              <w:rFonts w:hint="default" w:ascii="Times New Roman" w:hAnsi="Times New Roman" w:cs="Times New Roman"/>
              <w:sz w:val="21"/>
              <w:szCs w:val="21"/>
            </w:rPr>
            <w:tag w:val="_PLD_07258d0e3e7e4393960c3400b24cda70"/>
            <w:id w:val="2983"/>
          </w:sdtPr>
          <w:sdtEndPr>
            <w:rPr>
              <w:rFonts w:hint="default" w:ascii="Times New Roman" w:hAnsi="Times New Roman" w:cs="Times New Roman"/>
              <w:sz w:val="21"/>
              <w:szCs w:val="21"/>
            </w:rPr>
          </w:sdtEndPr>
          <w:sdtContent>
            <w:tc>
              <w:tcPr>
                <w:tcW w:w="155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第二季度</w:t>
                </w:r>
              </w:p>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（4-6月份）</w:t>
                </w:r>
              </w:p>
            </w:tc>
          </w:sdtContent>
        </w:sdt>
        <w:sdt>
          <w:sdtPr>
            <w:rPr>
              <w:rFonts w:hint="default" w:ascii="Times New Roman" w:hAnsi="Times New Roman" w:cs="Times New Roman"/>
              <w:sz w:val="21"/>
              <w:szCs w:val="21"/>
            </w:rPr>
            <w:tag w:val="_PLD_f34790307d174eceaa953001c5186096"/>
            <w:id w:val="2984"/>
          </w:sdtPr>
          <w:sdtEndPr>
            <w:rPr>
              <w:rFonts w:hint="default" w:ascii="Times New Roman" w:hAnsi="Times New Roman" w:cs="Times New Roman"/>
              <w:sz w:val="21"/>
              <w:szCs w:val="21"/>
            </w:rPr>
          </w:sdtEndPr>
          <w:sdtContent>
            <w:tc>
              <w:tcPr>
                <w:tcW w:w="155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第三季度</w:t>
                </w:r>
              </w:p>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（7-9月份）</w:t>
                </w:r>
              </w:p>
            </w:tc>
          </w:sdtContent>
        </w:sdt>
        <w:sdt>
          <w:sdtPr>
            <w:rPr>
              <w:rFonts w:hint="default" w:ascii="Times New Roman" w:hAnsi="Times New Roman" w:cs="Times New Roman"/>
              <w:sz w:val="21"/>
              <w:szCs w:val="21"/>
            </w:rPr>
            <w:tag w:val="_PLD_18cc80c8863d4859a79676f49ef83412"/>
            <w:id w:val="2985"/>
          </w:sdtPr>
          <w:sdtEndPr>
            <w:rPr>
              <w:rFonts w:hint="default" w:ascii="Times New Roman" w:hAnsi="Times New Roman" w:cs="Times New Roman"/>
              <w:sz w:val="21"/>
              <w:szCs w:val="21"/>
            </w:rPr>
          </w:sdtEndPr>
          <w:sdtContent>
            <w:tc>
              <w:tcPr>
                <w:tcW w:w="1683"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第四季度</w:t>
                </w:r>
              </w:p>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（10-12月份）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05" w:type="dxa"/>
            <w:vAlign w:val="center"/>
          </w:tcPr>
          <w:p>
            <w:pPr>
              <w:widowControl w:val="0"/>
              <w:jc w:val="left"/>
              <w:rPr>
                <w:rFonts w:hint="default" w:ascii="Times New Roman" w:hAnsi="Times New Roman" w:cs="Times New Roman"/>
                <w:sz w:val="21"/>
                <w:szCs w:val="21"/>
              </w:rPr>
            </w:pPr>
            <w:r>
              <w:rPr>
                <w:rFonts w:hint="default" w:ascii="Times New Roman" w:hAnsi="Times New Roman" w:cs="Times New Roman"/>
                <w:sz w:val="21"/>
                <w:szCs w:val="21"/>
              </w:rPr>
              <w:t>营业收入</w:t>
            </w:r>
          </w:p>
        </w:tc>
        <w:tc>
          <w:tcPr>
            <w:tcW w:w="184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187,956,246.08</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230,599,019.36</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256,342,180.29</w:t>
            </w:r>
          </w:p>
        </w:tc>
        <w:tc>
          <w:tcPr>
            <w:tcW w:w="168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320,238,837.43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widowControl w:val="0"/>
              <w:jc w:val="both"/>
              <w:rPr>
                <w:rFonts w:hint="default" w:ascii="Times New Roman" w:hAnsi="Times New Roman" w:cs="Times New Roman"/>
                <w:sz w:val="21"/>
                <w:szCs w:val="21"/>
              </w:rPr>
            </w:pPr>
            <w:r>
              <w:rPr>
                <w:rFonts w:hint="default" w:ascii="Times New Roman" w:hAnsi="Times New Roman" w:cs="Times New Roman"/>
                <w:sz w:val="21"/>
                <w:szCs w:val="21"/>
              </w:rPr>
              <w:t>归属于上市公司股东的净利润</w:t>
            </w:r>
          </w:p>
        </w:tc>
        <w:tc>
          <w:tcPr>
            <w:tcW w:w="184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4,590,332.53</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-3,591,709.99</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37,806,955.83</w:t>
            </w:r>
          </w:p>
        </w:tc>
        <w:tc>
          <w:tcPr>
            <w:tcW w:w="168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-15,998,919.49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widowControl w:val="0"/>
              <w:jc w:val="both"/>
              <w:rPr>
                <w:rFonts w:hint="default" w:ascii="Times New Roman" w:hAnsi="Times New Roman" w:cs="Times New Roman"/>
                <w:sz w:val="21"/>
                <w:szCs w:val="21"/>
              </w:rPr>
            </w:pPr>
            <w:r>
              <w:rPr>
                <w:rFonts w:hint="default" w:ascii="Times New Roman" w:hAnsi="Times New Roman" w:cs="Times New Roman"/>
                <w:sz w:val="21"/>
                <w:szCs w:val="21"/>
              </w:rPr>
              <w:t>归属于上市公司股东的扣除非经常性损益后的净利润</w:t>
            </w:r>
          </w:p>
        </w:tc>
        <w:tc>
          <w:tcPr>
            <w:tcW w:w="184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-608,600.76</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1,443,493.55</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23,050,562.90</w:t>
            </w:r>
          </w:p>
        </w:tc>
        <w:tc>
          <w:tcPr>
            <w:tcW w:w="168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-9,654,304.14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widowControl w:val="0"/>
              <w:jc w:val="both"/>
              <w:rPr>
                <w:rFonts w:hint="default" w:ascii="Times New Roman" w:hAnsi="Times New Roman" w:cs="Times New Roman"/>
                <w:sz w:val="21"/>
                <w:szCs w:val="21"/>
              </w:rPr>
            </w:pPr>
            <w:r>
              <w:rPr>
                <w:rFonts w:hint="default" w:ascii="Times New Roman" w:hAnsi="Times New Roman" w:cs="Times New Roman"/>
                <w:sz w:val="21"/>
                <w:szCs w:val="21"/>
              </w:rPr>
              <w:t>经营活动产生的现金流量净额</w:t>
            </w:r>
          </w:p>
        </w:tc>
        <w:tc>
          <w:tcPr>
            <w:tcW w:w="184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-17,708,186.56</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22,775,063.40</w:t>
            </w:r>
          </w:p>
        </w:tc>
        <w:tc>
          <w:tcPr>
            <w:tcW w:w="1559"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233,762.90</w:t>
            </w:r>
          </w:p>
        </w:tc>
        <w:tc>
          <w:tcPr>
            <w:tcW w:w="1683" w:type="dxa"/>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33,067,680.43</w:t>
            </w:r>
          </w:p>
        </w:tc>
      </w:tr>
    </w:tbl>
    <w:p/>
    <w:p/>
    <w:p>
      <w:pPr>
        <w:rPr>
          <w:rFonts w:ascii="Calibri" w:hAnsi="Calibri" w:cs="Times New Roman"/>
          <w:bCs/>
          <w:kern w:val="2"/>
          <w:szCs w:val="32"/>
        </w:rPr>
      </w:pPr>
      <w:r>
        <w:rPr>
          <w:rFonts w:hint="eastAsia" w:ascii="Calibri" w:hAnsi="Calibri" w:cs="Times New Roman"/>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25529"/>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3"/>
        <w:numPr>
          <w:ilvl w:val="1"/>
          <w:numId w:val="4"/>
        </w:numPr>
        <w:ind w:left="496" w:hanging="498" w:hangingChars="236"/>
      </w:pPr>
      <w:bookmarkStart w:id="25" w:name="_Hlk152579713"/>
      <w:bookmarkStart w:id="26" w:name="_Hlk24640273"/>
      <w:r>
        <w:rPr>
          <w:rFonts w:hint="eastAsia"/>
        </w:rPr>
        <w:t>非经常性损益项目和金额</w:t>
      </w:r>
    </w:p>
    <w:sdt>
      <w:sdtPr>
        <w:rPr>
          <w:szCs w:val="21"/>
        </w:rPr>
        <w:alias w:val="是否适用：扣除非经常性损益项目和金额[双击切换]"/>
        <w:tag w:val="_GBC_d311c3479a4945ceb1266734910915b6"/>
        <w:id w:val="25530"/>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pPr>
            <w:rPr>
              <w:szCs w:val="21"/>
            </w:rPr>
          </w:pPr>
        </w:p>
      </w:sdtContent>
    </w:sdt>
    <w:p>
      <w:pPr>
        <w:jc w:val="right"/>
        <w:rPr>
          <w:szCs w:val="21"/>
        </w:rPr>
      </w:pPr>
      <w:r>
        <w:rPr>
          <w:rFonts w:hint="eastAsia"/>
          <w:szCs w:val="21"/>
        </w:rPr>
        <w:t>单位:</w:t>
      </w:r>
      <w:sdt>
        <w:sdtPr>
          <w:rPr>
            <w:rFonts w:hint="eastAsia"/>
            <w:szCs w:val="21"/>
          </w:rPr>
          <w:alias w:val="单位：扣除非经常性损益项目和金额"/>
          <w:tag w:val="_GBC_120471c8e4434d7bbf8c91141121ab39"/>
          <w:id w:val="255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255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1"/>
        <w:gridCol w:w="1319"/>
        <w:gridCol w:w="1320"/>
        <w:gridCol w:w="1494"/>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rPr>
              <w:rFonts w:hint="default" w:ascii="Times New Roman" w:hAnsi="Times New Roman" w:cs="Times New Roman"/>
            </w:rPr>
            <w:tag w:val="_PLD_451a5b1d22614c45b1fbba1d8acc3cbb"/>
            <w:id w:val="25533"/>
          </w:sdtPr>
          <w:sdtEndPr>
            <w:rPr>
              <w:rFonts w:hint="default" w:ascii="Times New Roman" w:hAnsi="Times New Roman" w:cs="Times New Roman"/>
            </w:rPr>
          </w:sdtEndPr>
          <w:sdtContent>
            <w:tc>
              <w:tcPr>
                <w:tcW w:w="1993" w:type="pct"/>
                <w:vAlign w:val="center"/>
              </w:tcPr>
              <w:p>
                <w:pPr>
                  <w:pStyle w:val="63"/>
                  <w:ind w:firstLine="0" w:firstLineChars="0"/>
                  <w:jc w:val="center"/>
                  <w:rPr>
                    <w:rFonts w:hint="default" w:ascii="Times New Roman" w:hAnsi="Times New Roman" w:cs="Times New Roman"/>
                    <w:szCs w:val="21"/>
                  </w:rPr>
                </w:pPr>
                <w:r>
                  <w:rPr>
                    <w:rFonts w:hint="default" w:ascii="Times New Roman" w:hAnsi="Times New Roman" w:cs="Times New Roman"/>
                    <w:szCs w:val="21"/>
                  </w:rPr>
                  <w:t>非经常性损益项目</w:t>
                </w:r>
              </w:p>
            </w:tc>
          </w:sdtContent>
        </w:sdt>
        <w:sdt>
          <w:sdtPr>
            <w:rPr>
              <w:rFonts w:hint="default" w:ascii="Times New Roman" w:hAnsi="Times New Roman" w:cs="Times New Roman"/>
            </w:rPr>
            <w:tag w:val="_PLD_75a853b22038430db055de446a19d683"/>
            <w:id w:val="25534"/>
          </w:sdtPr>
          <w:sdtEndPr>
            <w:rPr>
              <w:rFonts w:hint="default" w:ascii="Times New Roman" w:hAnsi="Times New Roman" w:cs="Times New Roman"/>
            </w:rPr>
          </w:sdtEndPr>
          <w:sdtContent>
            <w:tc>
              <w:tcPr>
                <w:tcW w:w="728" w:type="pct"/>
                <w:vAlign w:val="center"/>
              </w:tcPr>
              <w:p>
                <w:pPr>
                  <w:pStyle w:val="63"/>
                  <w:ind w:firstLine="0" w:firstLineChars="0"/>
                  <w:jc w:val="center"/>
                  <w:rPr>
                    <w:rFonts w:hint="default" w:ascii="Times New Roman" w:hAnsi="Times New Roman" w:cs="Times New Roman"/>
                    <w:szCs w:val="21"/>
                  </w:rPr>
                </w:pPr>
                <w:r>
                  <w:rPr>
                    <w:rFonts w:hint="default" w:ascii="Times New Roman" w:hAnsi="Times New Roman" w:cs="Times New Roman"/>
                    <w:szCs w:val="21"/>
                  </w:rPr>
                  <w:t>2023年金额</w:t>
                </w:r>
              </w:p>
            </w:tc>
          </w:sdtContent>
        </w:sdt>
        <w:sdt>
          <w:sdtPr>
            <w:rPr>
              <w:rFonts w:hint="default" w:ascii="Times New Roman" w:hAnsi="Times New Roman" w:cs="Times New Roman"/>
            </w:rPr>
            <w:tag w:val="_PLD_c571f80c57314d5cbbb4106b26568a8c"/>
            <w:id w:val="25535"/>
          </w:sdtPr>
          <w:sdtEndPr>
            <w:rPr>
              <w:rFonts w:hint="default" w:ascii="Times New Roman" w:hAnsi="Times New Roman" w:cs="Times New Roman"/>
            </w:rPr>
          </w:sdtEndPr>
          <w:sdtContent>
            <w:tc>
              <w:tcPr>
                <w:tcW w:w="833" w:type="pct"/>
                <w:vAlign w:val="center"/>
              </w:tcPr>
              <w:p>
                <w:pPr>
                  <w:pStyle w:val="63"/>
                  <w:ind w:firstLine="0" w:firstLineChars="0"/>
                  <w:jc w:val="center"/>
                  <w:rPr>
                    <w:rFonts w:hint="default" w:ascii="Times New Roman" w:hAnsi="Times New Roman" w:cs="Times New Roman"/>
                    <w:szCs w:val="21"/>
                  </w:rPr>
                </w:pPr>
                <w:r>
                  <w:rPr>
                    <w:rFonts w:hint="default" w:ascii="Times New Roman" w:hAnsi="Times New Roman" w:cs="Times New Roman"/>
                    <w:szCs w:val="21"/>
                  </w:rPr>
                  <w:t>附注（如适用）</w:t>
                </w:r>
              </w:p>
            </w:tc>
          </w:sdtContent>
        </w:sdt>
        <w:sdt>
          <w:sdtPr>
            <w:rPr>
              <w:rFonts w:hint="default" w:ascii="Times New Roman" w:hAnsi="Times New Roman" w:cs="Times New Roman"/>
            </w:rPr>
            <w:tag w:val="_PLD_7178520950424696adfe1eb7e010035c"/>
            <w:id w:val="25536"/>
          </w:sdtPr>
          <w:sdtEndPr>
            <w:rPr>
              <w:rFonts w:hint="default" w:ascii="Times New Roman" w:hAnsi="Times New Roman" w:cs="Times New Roman"/>
            </w:rPr>
          </w:sdtEndPr>
          <w:sdtContent>
            <w:tc>
              <w:tcPr>
                <w:tcW w:w="727" w:type="pct"/>
                <w:vAlign w:val="center"/>
              </w:tcPr>
              <w:p>
                <w:pPr>
                  <w:pStyle w:val="63"/>
                  <w:ind w:firstLine="0" w:firstLineChars="0"/>
                  <w:jc w:val="center"/>
                  <w:rPr>
                    <w:rFonts w:hint="default" w:ascii="Times New Roman" w:hAnsi="Times New Roman" w:cs="Times New Roman"/>
                    <w:szCs w:val="21"/>
                  </w:rPr>
                </w:pPr>
                <w:r>
                  <w:rPr>
                    <w:rFonts w:hint="default" w:ascii="Times New Roman" w:hAnsi="Times New Roman" w:cs="Times New Roman"/>
                    <w:szCs w:val="21"/>
                  </w:rPr>
                  <w:t>2022年金额</w:t>
                </w:r>
              </w:p>
            </w:tc>
          </w:sdtContent>
        </w:sdt>
        <w:sdt>
          <w:sdtPr>
            <w:rPr>
              <w:rFonts w:hint="default" w:ascii="Times New Roman" w:hAnsi="Times New Roman" w:cs="Times New Roman"/>
            </w:rPr>
            <w:tag w:val="_PLD_870e9453ef9d4928968c60216a29f211"/>
            <w:id w:val="25537"/>
          </w:sdtPr>
          <w:sdtEndPr>
            <w:rPr>
              <w:rFonts w:hint="default" w:ascii="Times New Roman" w:hAnsi="Times New Roman" w:cs="Times New Roman"/>
            </w:rPr>
          </w:sdtEndPr>
          <w:sdtContent>
            <w:tc>
              <w:tcPr>
                <w:tcW w:w="717" w:type="pct"/>
                <w:vAlign w:val="center"/>
              </w:tcPr>
              <w:p>
                <w:pPr>
                  <w:pStyle w:val="63"/>
                  <w:ind w:firstLine="0" w:firstLineChars="0"/>
                  <w:jc w:val="center"/>
                  <w:rPr>
                    <w:rFonts w:hint="default" w:ascii="Times New Roman" w:hAnsi="Times New Roman" w:cs="Times New Roman"/>
                    <w:szCs w:val="21"/>
                  </w:rPr>
                </w:pPr>
                <w:r>
                  <w:rPr>
                    <w:rFonts w:hint="default" w:ascii="Times New Roman" w:hAnsi="Times New Roman" w:cs="Times New Roman"/>
                    <w:szCs w:val="21"/>
                  </w:rPr>
                  <w:t>2021年金额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非流动性资产处置损益，包括已计提资产减值准备的冲销部分</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-82,101.39</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-41,526.84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计入当期损益的政府补助，但与公司正常经营业务密切相关、符合国家政策规定、按照确定的标准享有、对公司损益产生持续影响的政府补助除外</w:t>
            </w:r>
          </w:p>
        </w:tc>
        <w:tc>
          <w:tcPr>
            <w:tcW w:w="72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lang w:val="en-US" w:eastAsia="zh-CN"/>
              </w:rPr>
              <w:t>6,938,601.93</w:t>
            </w: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1,248,277.65</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3,491,364.67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rPr>
            </w:pPr>
            <w:r>
              <w:rPr>
                <w:rFonts w:hint="default" w:ascii="Times New Roman" w:hAnsi="Times New Roman" w:cs="Times New Roman"/>
              </w:rPr>
              <w:t>除同公司正常经营业务相关的有效套期保值业务外，非金融企业持有金融资产和金融负债产生的公允价值变动损益以及处置金融资产和金融负债产生的损益</w:t>
            </w:r>
          </w:p>
        </w:tc>
        <w:tc>
          <w:tcPr>
            <w:tcW w:w="728"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4,632,585.20</w:t>
            </w: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-48,862,306.04</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-24,503,226.85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计入当期损益的对非金融企业收取的资金占用费</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24,131,752.04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委托他人投资或管理资产的损益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对外委托贷款取得的损益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因不可抗力因素，如遭受自然灾害而产生的各项资产损失</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rPr>
            </w:pPr>
            <w:r>
              <w:rPr>
                <w:rFonts w:hint="default" w:ascii="Times New Roman" w:hAnsi="Times New Roman" w:cs="Times New Roman"/>
              </w:rPr>
              <w:t>单独进行减值测试的应收款项减值准备转回</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企业取得子公司、联营企业及合营企业的投资成本小于取得投资时应享有被投资单位可辨认净资产公允价值产生的收益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同一控制下企业合并产生的子公司期初至合并日的当期净损益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非货币性资产交换损益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债务重组损益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企业因相关经营活动不再持续而发生的一次性费用，如安置职工的支出等</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因税收、会计等法律、法规的调整对当期损益产生的一次性影响</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rPr>
            </w:pPr>
            <w:r>
              <w:rPr>
                <w:rFonts w:hint="default" w:ascii="Times New Roman" w:hAnsi="Times New Roman" w:cs="Times New Roman"/>
              </w:rPr>
              <w:t>因取消、修改股权激励计划一次性确认的股份支付费用</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rPr>
            </w:pPr>
            <w:r>
              <w:rPr>
                <w:rFonts w:hint="default" w:ascii="Times New Roman" w:hAnsi="Times New Roman" w:cs="Times New Roman"/>
              </w:rPr>
              <w:t>对于现金结算的股份支付，在可行权日之后，应付职工薪酬的公允价值变动产生的损益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采用公允价值模式进行后续计量的投资性房地产公允价值变动产生的损益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交易价格显失公允的交易产生的收益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与公司正常经营业务无关的或有事项产生的损益</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受托经营取得的托管费收入</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除上述各项之外的其他营业外收入和支出</w:t>
            </w:r>
          </w:p>
        </w:tc>
        <w:tc>
          <w:tcPr>
            <w:tcW w:w="728"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-804,200.99</w:t>
            </w: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-219,668.37</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-2,328,559.44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其他符合非经常性损益定义的损益项目</w:t>
            </w:r>
          </w:p>
        </w:tc>
        <w:tc>
          <w:tcPr>
            <w:tcW w:w="728" w:type="pct"/>
            <w:vAlign w:val="center"/>
          </w:tcPr>
          <w:p>
            <w:pPr>
              <w:widowControl w:val="0"/>
              <w:jc w:val="right"/>
              <w:rPr>
                <w:rFonts w:hint="default" w:ascii="Times New Roman" w:hAnsi="Times New Roman" w:cs="Times New Roman"/>
                <w:szCs w:val="21"/>
              </w:rPr>
            </w:pP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p>
        </w:tc>
        <w:tc>
          <w:tcPr>
            <w:tcW w:w="717" w:type="pct"/>
            <w:vAlign w:val="center"/>
          </w:tcPr>
          <w:p>
            <w:pPr>
              <w:widowControl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rPr>
              <w:t>减：</w:t>
            </w:r>
            <w:r>
              <w:rPr>
                <w:rFonts w:hint="default" w:ascii="Times New Roman" w:hAnsi="Times New Roman" w:cs="Times New Roman"/>
                <w:szCs w:val="21"/>
              </w:rPr>
              <w:t>所得税影响额</w:t>
            </w:r>
          </w:p>
        </w:tc>
        <w:tc>
          <w:tcPr>
            <w:tcW w:w="728"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2,167,728.68</w:t>
            </w: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-12,201,231.22</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-6,439,531.21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jc w:val="left"/>
              <w:rPr>
                <w:rFonts w:hint="default" w:ascii="Times New Roman" w:hAnsi="Times New Roman" w:cs="Times New Roman"/>
                <w:szCs w:val="21"/>
              </w:rPr>
            </w:pPr>
            <w:r>
              <w:rPr>
                <w:rFonts w:hint="default" w:ascii="Times New Roman" w:hAnsi="Times New Roman" w:cs="Times New Roman"/>
                <w:szCs w:val="21"/>
              </w:rPr>
              <w:t>少数股东权益影响额（税后）</w:t>
            </w:r>
          </w:p>
        </w:tc>
        <w:tc>
          <w:tcPr>
            <w:tcW w:w="728"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23,750.13</w:t>
            </w: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67,782.97</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230,920.52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pct"/>
            <w:vAlign w:val="center"/>
          </w:tcPr>
          <w:p>
            <w:pPr>
              <w:pStyle w:val="63"/>
              <w:ind w:firstLine="0" w:firstLineChars="0"/>
              <w:jc w:val="left"/>
              <w:rPr>
                <w:rFonts w:hint="default" w:ascii="Times New Roman" w:hAnsi="Times New Roman" w:cs="Times New Roman"/>
                <w:szCs w:val="21"/>
              </w:rPr>
            </w:pPr>
            <w:r>
              <w:rPr>
                <w:rFonts w:hint="default" w:ascii="Times New Roman" w:hAnsi="Times New Roman" w:cs="Times New Roman"/>
                <w:szCs w:val="21"/>
              </w:rPr>
              <w:t>合计</w:t>
            </w:r>
          </w:p>
        </w:tc>
        <w:tc>
          <w:tcPr>
            <w:tcW w:w="728"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8,575,507.33</w:t>
            </w:r>
          </w:p>
        </w:tc>
        <w:tc>
          <w:tcPr>
            <w:tcW w:w="833" w:type="pct"/>
            <w:vAlign w:val="center"/>
          </w:tcPr>
          <w:p>
            <w:pPr>
              <w:widowControl w:val="0"/>
              <w:jc w:val="right"/>
              <w:rPr>
                <w:rFonts w:hint="default" w:ascii="Times New Roman" w:hAnsi="Times New Roman" w:cs="Times New Roman"/>
                <w:szCs w:val="21"/>
              </w:rPr>
            </w:pPr>
          </w:p>
        </w:tc>
        <w:tc>
          <w:tcPr>
            <w:tcW w:w="727" w:type="pct"/>
            <w:vAlign w:val="center"/>
          </w:tcPr>
          <w:p>
            <w:pPr>
              <w:widowControl w:val="0"/>
              <w:jc w:val="right"/>
              <w:rPr>
                <w:rFonts w:hint="default" w:ascii="Times New Roman" w:hAnsi="Times New Roman" w:cs="Times New Roman"/>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35,782,349.90</w:t>
            </w:r>
          </w:p>
        </w:tc>
        <w:tc>
          <w:tcPr>
            <w:tcW w:w="717"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6,958,414.27</w:t>
            </w:r>
          </w:p>
        </w:tc>
      </w:tr>
    </w:tbl>
    <w:p/>
    <w:bookmarkEnd w:id="25"/>
    <w:bookmarkEnd w:id="26"/>
    <w:p>
      <w:pPr>
        <w:pStyle w:val="20"/>
        <w:adjustRightInd w:val="0"/>
        <w:snapToGrid w:val="0"/>
        <w:spacing w:line="200" w:lineRule="atLeast"/>
        <w:rPr>
          <w:rFonts w:hAnsi="宋体"/>
          <w:kern w:val="0"/>
          <w:szCs w:val="21"/>
        </w:rPr>
      </w:pPr>
      <w:bookmarkStart w:id="27" w:name="_Hlk41379873"/>
      <w:bookmarkStart w:id="28" w:name="_Hlk89096484"/>
      <w:r>
        <w:rPr>
          <w:rFonts w:hint="eastAsia" w:hAnsi="宋体" w:cs="宋体"/>
          <w:kern w:val="0"/>
          <w:szCs w:val="21"/>
        </w:rPr>
        <w:t>对公司</w:t>
      </w:r>
      <w:r>
        <w:rPr>
          <w:rFonts w:hint="eastAsia"/>
          <w:szCs w:val="21"/>
        </w:rPr>
        <w:t>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Cs w:val="21"/>
        </w:rPr>
        <w:t>应说明原因。</w:t>
      </w:r>
    </w:p>
    <w:sdt>
      <w:sdtPr>
        <w:alias w:val="是否适用：将非经常性损益项目界定为经常性损益项目[双击切换]"/>
        <w:tag w:val="_GBC_a4930715ddcb47d484e7fbd516fb3ac1"/>
        <w:id w:val="2553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7"/>
    <w:bookmarkEnd w:id="28"/>
    <w:p>
      <w:pPr>
        <w:pStyle w:val="3"/>
        <w:numPr>
          <w:ilvl w:val="1"/>
          <w:numId w:val="4"/>
        </w:numPr>
        <w:ind w:left="496" w:hanging="498" w:hangingChars="236"/>
      </w:pPr>
      <w:r>
        <w:rPr>
          <w:rFonts w:hint="eastAsia"/>
        </w:rPr>
        <w:t>采用公允价值计量的项目</w:t>
      </w:r>
    </w:p>
    <w:sdt>
      <w:sdtPr>
        <w:alias w:val="是否适用：采用公允价值计量的项目[双击切换]"/>
        <w:tag w:val="_GBC_e89d76d7486246e0ac1d3db15e4df008"/>
        <w:id w:val="25539"/>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asciiTheme="minorEastAsia" w:hAnsiTheme="minorEastAsia" w:eastAsiaTheme="minorEastAsia"/>
          <w:szCs w:val="21"/>
        </w:rPr>
      </w:pPr>
      <w:r>
        <w:rPr>
          <w:rFonts w:hint="eastAsia" w:asciiTheme="minorEastAsia" w:hAnsiTheme="minorEastAsia" w:eastAsiaTheme="minorEastAsia"/>
          <w:szCs w:val="21"/>
        </w:rPr>
        <w:t>单位：</w:t>
      </w:r>
      <w:sdt>
        <w:sdtPr>
          <w:rPr>
            <w:rFonts w:hint="eastAsia" w:asciiTheme="minorEastAsia" w:hAnsiTheme="minorEastAsia" w:eastAsiaTheme="minorEastAsia"/>
            <w:szCs w:val="21"/>
          </w:rPr>
          <w:alias w:val="单位：采用公允价值计量的项目"/>
          <w:tag w:val="_GBC_3db790decc6f48c79df9bb825ea34c80"/>
          <w:id w:val="255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元</w:t>
          </w:r>
        </w:sdtContent>
      </w:sdt>
      <w:r>
        <w:rPr>
          <w:rFonts w:hint="eastAsia" w:asciiTheme="minorEastAsia" w:hAnsiTheme="minorEastAsia" w:eastAsiaTheme="minorEastAsia"/>
          <w:szCs w:val="21"/>
        </w:rPr>
        <w:t xml:space="preserve">  币种：</w:t>
      </w:r>
      <w:sdt>
        <w:sdtPr>
          <w:rPr>
            <w:rFonts w:hint="eastAsia" w:asciiTheme="minorEastAsia" w:hAnsiTheme="minorEastAsia" w:eastAsiaTheme="minorEastAsia"/>
            <w:szCs w:val="21"/>
          </w:rPr>
          <w:alias w:val="币种：采用公允价值计量的项目"/>
          <w:tag w:val="_GBC_6f16a5f9084343f1b7cf46e770d31080"/>
          <w:id w:val="255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699"/>
        <w:gridCol w:w="1708"/>
        <w:gridCol w:w="1693"/>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hint="default" w:ascii="Times New Roman" w:hAnsi="Times New Roman" w:cs="Times New Roman"/>
            </w:rPr>
            <w:tag w:val="_PLD_7afb41bb6f11412490d2cf97e6a8af4a"/>
            <w:id w:val="25542"/>
          </w:sdtPr>
          <w:sdtEndPr>
            <w:rPr>
              <w:rFonts w:hint="default" w:ascii="Times New Roman" w:hAnsi="Times New Roman" w:cs="Times New Roman"/>
            </w:rPr>
          </w:sdtEndPr>
          <w:sdtContent>
            <w:tc>
              <w:tcPr>
                <w:tcW w:w="1951" w:type="dxa"/>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项目名称</w:t>
                </w:r>
              </w:p>
            </w:tc>
          </w:sdtContent>
        </w:sdt>
        <w:sdt>
          <w:sdtPr>
            <w:rPr>
              <w:rFonts w:hint="default" w:ascii="Times New Roman" w:hAnsi="Times New Roman" w:cs="Times New Roman"/>
            </w:rPr>
            <w:tag w:val="_PLD_da0df6228e264965b54ebbf01610457e"/>
            <w:id w:val="25543"/>
          </w:sdtPr>
          <w:sdtEndPr>
            <w:rPr>
              <w:rFonts w:hint="default" w:ascii="Times New Roman" w:hAnsi="Times New Roman" w:cs="Times New Roman"/>
            </w:rPr>
          </w:sdtEndPr>
          <w:sdtContent>
            <w:tc>
              <w:tcPr>
                <w:tcW w:w="1699" w:type="dxa"/>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期初余额</w:t>
                </w:r>
              </w:p>
            </w:tc>
          </w:sdtContent>
        </w:sdt>
        <w:sdt>
          <w:sdtPr>
            <w:rPr>
              <w:rFonts w:hint="default" w:ascii="Times New Roman" w:hAnsi="Times New Roman" w:cs="Times New Roman"/>
            </w:rPr>
            <w:tag w:val="_PLD_32f24a9a3da24799945b9be672e1778c"/>
            <w:id w:val="25544"/>
          </w:sdtPr>
          <w:sdtEndPr>
            <w:rPr>
              <w:rFonts w:hint="default" w:ascii="Times New Roman" w:hAnsi="Times New Roman" w:cs="Times New Roman"/>
            </w:rPr>
          </w:sdtEndPr>
          <w:sdtContent>
            <w:tc>
              <w:tcPr>
                <w:tcW w:w="1708" w:type="dxa"/>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期末余额</w:t>
                </w:r>
              </w:p>
            </w:tc>
          </w:sdtContent>
        </w:sdt>
        <w:sdt>
          <w:sdtPr>
            <w:rPr>
              <w:rFonts w:hint="default" w:ascii="Times New Roman" w:hAnsi="Times New Roman" w:cs="Times New Roman"/>
            </w:rPr>
            <w:tag w:val="_PLD_e96c7ea54e9845adafdee1a3e4d1777a"/>
            <w:id w:val="25545"/>
          </w:sdtPr>
          <w:sdtEndPr>
            <w:rPr>
              <w:rFonts w:hint="default" w:ascii="Times New Roman" w:hAnsi="Times New Roman" w:cs="Times New Roman"/>
            </w:rPr>
          </w:sdtEndPr>
          <w:sdtContent>
            <w:tc>
              <w:tcPr>
                <w:tcW w:w="1693" w:type="dxa"/>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当期变动</w:t>
                </w:r>
              </w:p>
            </w:tc>
          </w:sdtContent>
        </w:sdt>
        <w:sdt>
          <w:sdtPr>
            <w:rPr>
              <w:rFonts w:hint="default" w:ascii="Times New Roman" w:hAnsi="Times New Roman" w:cs="Times New Roman"/>
            </w:rPr>
            <w:tag w:val="_PLD_1472a884c9f543dba7a82865e73f1536"/>
            <w:id w:val="25546"/>
          </w:sdtPr>
          <w:sdtEndPr>
            <w:rPr>
              <w:rFonts w:hint="default" w:ascii="Times New Roman" w:hAnsi="Times New Roman" w:cs="Times New Roman"/>
            </w:rPr>
          </w:sdtEndPr>
          <w:sdtContent>
            <w:tc>
              <w:tcPr>
                <w:tcW w:w="1997" w:type="dxa"/>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对当期利润的影响金额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51" w:type="dxa"/>
          </w:tcPr>
          <w:p>
            <w:pPr>
              <w:widowControl w:val="0"/>
              <w:jc w:val="both"/>
              <w:rPr>
                <w:rFonts w:hint="default" w:ascii="Times New Roman" w:hAnsi="Times New Roman" w:cs="Times New Roman" w:eastAsiaTheme="minorEastAsia"/>
                <w:szCs w:val="21"/>
              </w:rPr>
            </w:pPr>
            <w:r>
              <w:rPr>
                <w:rFonts w:hint="default" w:ascii="Times New Roman" w:hAnsi="Times New Roman" w:cs="Times New Roman"/>
              </w:rPr>
              <w:t>交易性金融资产</w:t>
            </w:r>
          </w:p>
        </w:tc>
        <w:tc>
          <w:tcPr>
            <w:tcW w:w="1699"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198,523,462.44</w:t>
            </w:r>
          </w:p>
        </w:tc>
        <w:tc>
          <w:tcPr>
            <w:tcW w:w="1708"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203,156,047.64</w:t>
            </w:r>
          </w:p>
        </w:tc>
        <w:tc>
          <w:tcPr>
            <w:tcW w:w="1693"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4,632,585.20</w:t>
            </w:r>
          </w:p>
        </w:tc>
        <w:tc>
          <w:tcPr>
            <w:tcW w:w="1997"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9,531,611.02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 w:hRule="atLeast"/>
        </w:trPr>
        <w:tc>
          <w:tcPr>
            <w:tcW w:w="1951" w:type="dxa"/>
            <w:tcBorders>
              <w:bottom w:val="single" w:color="auto" w:sz="4" w:space="0"/>
            </w:tcBorders>
            <w:vAlign w:val="center"/>
          </w:tcPr>
          <w:p>
            <w:pPr>
              <w:widowControl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合计</w:t>
            </w:r>
          </w:p>
        </w:tc>
        <w:tc>
          <w:tcPr>
            <w:tcW w:w="1699"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198,523,462.44</w:t>
            </w:r>
          </w:p>
        </w:tc>
        <w:tc>
          <w:tcPr>
            <w:tcW w:w="1708"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203,156,047.64</w:t>
            </w:r>
          </w:p>
        </w:tc>
        <w:tc>
          <w:tcPr>
            <w:tcW w:w="1693"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4,632,585.20</w:t>
            </w:r>
          </w:p>
        </w:tc>
        <w:tc>
          <w:tcPr>
            <w:tcW w:w="1997" w:type="dxa"/>
          </w:tcPr>
          <w:p>
            <w:pPr>
              <w:widowControl w:val="0"/>
              <w:jc w:val="right"/>
              <w:rPr>
                <w:rFonts w:hint="default" w:ascii="Times New Roman" w:hAnsi="Times New Roman" w:cs="Times New Roman" w:eastAsiaTheme="minorEastAsia"/>
                <w:szCs w:val="21"/>
              </w:rPr>
            </w:pPr>
            <w:r>
              <w:rPr>
                <w:rFonts w:hint="default" w:ascii="Times New Roman" w:hAnsi="Times New Roman" w:cs="Times New Roman"/>
              </w:rPr>
              <w:t>9,531,611.02</w:t>
            </w:r>
          </w:p>
        </w:tc>
      </w:tr>
    </w:tbl>
    <w:p/>
    <w:p>
      <w:pPr>
        <w:pStyle w:val="3"/>
        <w:numPr>
          <w:ilvl w:val="1"/>
          <w:numId w:val="4"/>
        </w:numPr>
        <w:ind w:left="496" w:hanging="498" w:hangingChars="236"/>
      </w:pPr>
      <w:r>
        <w:rPr>
          <w:rFonts w:hint="eastAsia"/>
        </w:rPr>
        <w:t>其他</w:t>
      </w:r>
    </w:p>
    <w:sdt>
      <w:sdtPr>
        <w:alias w:val="是否适用：公司简介和主要财务指标其他说明[双击切换]"/>
        <w:tag w:val="_GBC_ac20c9ad49eb470dba71a763f930572f"/>
        <w:id w:val="2554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36"/>
        <w:outlineLvl w:val="9"/>
      </w:pPr>
    </w:p>
    <w:p>
      <w:pPr>
        <w:pStyle w:val="2"/>
        <w:numPr>
          <w:ilvl w:val="0"/>
          <w:numId w:val="2"/>
        </w:numPr>
        <w:ind w:left="498" w:hanging="498" w:hangingChars="177"/>
      </w:pPr>
      <w:bookmarkStart w:id="29" w:name="_Toc89790250"/>
      <w:r>
        <w:rPr>
          <w:rFonts w:hint="eastAsia"/>
        </w:rPr>
        <w:t>管理层讨论与分析</w:t>
      </w:r>
      <w:bookmarkEnd w:id="29"/>
    </w:p>
    <w:p/>
    <w:p>
      <w:pPr>
        <w:pStyle w:val="3"/>
        <w:numPr>
          <w:ilvl w:val="0"/>
          <w:numId w:val="7"/>
        </w:numPr>
        <w:ind w:left="368" w:hanging="369" w:hangingChars="175"/>
      </w:pPr>
      <w:r>
        <w:rPr>
          <w:rFonts w:hint="eastAsia"/>
        </w:rPr>
        <w:t>经营情况</w:t>
      </w:r>
      <w:r>
        <w:t>讨论与分析</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2023年，</w:t>
      </w:r>
      <w:r>
        <w:rPr>
          <w:rFonts w:hint="eastAsia" w:ascii="Times New Roman" w:hAnsi="Times New Roman" w:cs="Times New Roman"/>
          <w:lang w:val="en-US" w:eastAsia="zh-CN"/>
        </w:rPr>
        <w:t>公司深耕主业，</w:t>
      </w:r>
      <w:r>
        <w:rPr>
          <w:rFonts w:hint="default" w:ascii="Times New Roman" w:hAnsi="Times New Roman" w:cs="Times New Roman"/>
          <w:lang w:val="en-US" w:eastAsia="zh-CN"/>
        </w:rPr>
        <w:t>围</w:t>
      </w:r>
      <w:r>
        <w:rPr>
          <w:rFonts w:hint="eastAsia" w:ascii="宋体" w:hAnsi="宋体" w:eastAsia="宋体" w:cs="宋体"/>
          <w:lang w:val="en-US" w:eastAsia="zh-CN"/>
        </w:rPr>
        <w:t>绕“稳中求进、高质低耗、创收增效”</w:t>
      </w:r>
      <w:r>
        <w:rPr>
          <w:rFonts w:hint="default" w:ascii="Times New Roman" w:hAnsi="Times New Roman" w:cs="Times New Roman"/>
          <w:lang w:val="en-US" w:eastAsia="zh-CN"/>
        </w:rPr>
        <w:t>的工作方针，</w:t>
      </w:r>
      <w:r>
        <w:rPr>
          <w:rFonts w:hint="eastAsia" w:ascii="Times New Roman" w:hAnsi="Times New Roman" w:cs="Times New Roman"/>
          <w:lang w:val="en-US" w:eastAsia="zh-CN"/>
        </w:rPr>
        <w:t>努力打造中药日化核心竞争力，</w:t>
      </w:r>
      <w:r>
        <w:rPr>
          <w:rFonts w:hint="default" w:ascii="Times New Roman" w:hAnsi="Times New Roman" w:cs="Times New Roman"/>
          <w:lang w:val="en-US" w:eastAsia="zh-CN"/>
        </w:rPr>
        <w:t>着力品牌建设，加大研发投入，积极抢拼市场，推进改革创新，</w:t>
      </w:r>
      <w:r>
        <w:rPr>
          <w:rFonts w:hint="eastAsia" w:ascii="Times New Roman" w:hAnsi="Times New Roman" w:cs="Times New Roman"/>
          <w:lang w:val="en-US" w:eastAsia="zh-CN"/>
        </w:rPr>
        <w:t>公司</w:t>
      </w:r>
      <w:r>
        <w:rPr>
          <w:rFonts w:hint="default" w:ascii="Times New Roman" w:hAnsi="Times New Roman" w:cs="Times New Roman"/>
          <w:lang w:val="en-US" w:eastAsia="zh-CN"/>
        </w:rPr>
        <w:t>盈利能力稳步提升，各方面工作取得新进展新成效</w:t>
      </w:r>
      <w:r>
        <w:rPr>
          <w:rFonts w:hint="eastAsia" w:ascii="Times New Roman" w:hAnsi="Times New Roman" w:cs="Times New Roman"/>
          <w:lang w:val="en-US" w:eastAsia="zh-CN"/>
        </w:rPr>
        <w:t>，</w:t>
      </w:r>
      <w:r>
        <w:rPr>
          <w:rFonts w:hint="default" w:ascii="Times New Roman" w:hAnsi="Times New Roman" w:cs="Times New Roman"/>
          <w:lang w:val="en-US" w:eastAsia="zh-CN"/>
        </w:rPr>
        <w:t>发展呈现</w:t>
      </w:r>
      <w:r>
        <w:rPr>
          <w:rFonts w:hint="eastAsia" w:ascii="Times New Roman" w:hAnsi="Times New Roman" w:cs="Times New Roman"/>
          <w:lang w:val="en-US" w:eastAsia="zh-CN"/>
        </w:rPr>
        <w:t>向好态势</w:t>
      </w:r>
      <w:r>
        <w:rPr>
          <w:rFonts w:hint="default" w:ascii="Times New Roman" w:hAnsi="Times New Roman" w:cs="Times New Roman"/>
          <w:lang w:val="en-US" w:eastAsia="zh-CN"/>
        </w:rPr>
        <w:t>。报告期内，公司实现营业收入9.95亿元，同比增长48.71%，实现归属于上市公司股东的净利润2,2</w:t>
      </w:r>
      <w:r>
        <w:rPr>
          <w:rFonts w:hint="eastAsia" w:ascii="Times New Roman" w:hAnsi="Times New Roman" w:cs="Times New Roman"/>
          <w:lang w:val="en-US" w:eastAsia="zh-CN"/>
        </w:rPr>
        <w:t>80.67</w:t>
      </w:r>
      <w:r>
        <w:rPr>
          <w:rFonts w:hint="default" w:ascii="Times New Roman" w:hAnsi="Times New Roman" w:cs="Times New Roman"/>
          <w:lang w:val="en-US" w:eastAsia="zh-CN"/>
        </w:rPr>
        <w:t>万元，实现归属于上市公司股东的扣除非经常性损益的净利润1,42</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12</w:t>
      </w:r>
      <w:r>
        <w:rPr>
          <w:rFonts w:hint="default" w:ascii="Times New Roman" w:hAnsi="Times New Roman" w:cs="Times New Roman"/>
          <w:lang w:val="en-US" w:eastAsia="zh-CN"/>
        </w:rPr>
        <w:t>万元。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报告期内，公司</w:t>
      </w:r>
      <w:r>
        <w:rPr>
          <w:rFonts w:hint="eastAsia" w:ascii="Times New Roman" w:hAnsi="Times New Roman" w:cs="Times New Roman"/>
          <w:lang w:val="en-US" w:eastAsia="zh-CN"/>
        </w:rPr>
        <w:t>各业务板块</w:t>
      </w:r>
      <w:r>
        <w:rPr>
          <w:rFonts w:hint="default" w:ascii="Times New Roman" w:hAnsi="Times New Roman" w:cs="Times New Roman"/>
          <w:lang w:val="en-US" w:eastAsia="zh-CN"/>
        </w:rPr>
        <w:t>重点工作推进及完成情况如下：</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1、日化板块母公司</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2023年，</w:t>
      </w:r>
      <w:r>
        <w:rPr>
          <w:rFonts w:hint="default" w:ascii="Times New Roman" w:hAnsi="Times New Roman" w:cs="Times New Roman"/>
          <w:highlight w:val="none"/>
          <w:lang w:val="en-US" w:eastAsia="zh-CN"/>
        </w:rPr>
        <w:t>公司以市场为导向，持续开展技术创新，加强产品研发，增强消费者</w:t>
      </w:r>
      <w:r>
        <w:rPr>
          <w:rFonts w:hint="eastAsia" w:ascii="Times New Roman" w:hAnsi="Times New Roman" w:cs="Times New Roman"/>
          <w:highlight w:val="none"/>
          <w:lang w:val="en-US" w:eastAsia="zh-CN"/>
        </w:rPr>
        <w:t>良好的</w:t>
      </w:r>
      <w:r>
        <w:rPr>
          <w:rFonts w:hint="default" w:ascii="Times New Roman" w:hAnsi="Times New Roman" w:cs="Times New Roman"/>
          <w:highlight w:val="none"/>
          <w:lang w:val="en-US" w:eastAsia="zh-CN"/>
        </w:rPr>
        <w:t>使用体验，完成口腔类新品研发及</w:t>
      </w:r>
      <w:r>
        <w:rPr>
          <w:rFonts w:hint="eastAsia" w:ascii="Times New Roman" w:hAnsi="Times New Roman" w:eastAsia="宋体" w:cs="Times New Roman"/>
          <w:lang w:val="en-US" w:eastAsia="zh-CN"/>
        </w:rPr>
        <w:t>升</w:t>
      </w:r>
      <w:r>
        <w:rPr>
          <w:rFonts w:hint="default" w:ascii="Times New Roman" w:hAnsi="Times New Roman" w:cs="Times New Roman"/>
          <w:highlight w:val="none"/>
          <w:lang w:val="en-US" w:eastAsia="zh-CN"/>
        </w:rPr>
        <w:t>级项目19个</w:t>
      </w:r>
      <w:r>
        <w:rPr>
          <w:rFonts w:hint="eastAsia" w:ascii="Times New Roman" w:hAnsi="Times New Roman" w:eastAsia="宋体" w:cs="Times New Roman"/>
          <w:lang w:val="en-US" w:eastAsia="zh-CN"/>
        </w:rPr>
        <w:t>，</w:t>
      </w:r>
      <w:r>
        <w:rPr>
          <w:rFonts w:hint="default" w:ascii="Times New Roman" w:hAnsi="Times New Roman" w:eastAsia="宋体" w:cs="Times New Roman"/>
          <w:color w:val="auto"/>
          <w:sz w:val="21"/>
          <w:szCs w:val="24"/>
          <w:lang w:val="en-US" w:eastAsia="zh-CN"/>
        </w:rPr>
        <w:t>推出两面针花清晓、炫光白等5个产品系列；</w:t>
      </w:r>
      <w:r>
        <w:rPr>
          <w:rFonts w:hint="eastAsia" w:ascii="Times New Roman" w:hAnsi="Times New Roman" w:cs="Times New Roman"/>
          <w:lang w:val="en-US" w:eastAsia="zh-CN"/>
        </w:rPr>
        <w:t>市场营销方面，线上线下共同发力，积极开发流通渠道和分销渠道，寻求新渠道上的突破，尝试与各类社群平台、私域客户合作，不断探索新渠道发展。抓住线上消费发展趋势和年轻群体需求，不断优化天猫、抖音、拼多多等平台运营，利用直播、联播和名人直播等营销推广模式，通过产品运作获取平台资源，提升销售量。2023年，公司产品线上线下销售均有所增长</w:t>
      </w:r>
      <w:r>
        <w:rPr>
          <w:rFonts w:hint="default" w:ascii="Times New Roman" w:hAnsi="Times New Roman" w:cs="Times New Roman"/>
          <w:lang w:val="en-US" w:eastAsia="zh-CN"/>
        </w:rPr>
        <w:t>，实现营业收入1.79亿元，同比增长25.07%。</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2、江苏实业公司</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auto"/>
          <w:sz w:val="21"/>
          <w:szCs w:val="24"/>
        </w:rPr>
        <w:t>江苏公司强化和酒店的合作及互动，抓住旅游市场的复苏和爆发的机会，积极开拓酒店用品市场，</w:t>
      </w:r>
      <w:r>
        <w:rPr>
          <w:rFonts w:hint="default" w:ascii="Times New Roman" w:hAnsi="Times New Roman" w:eastAsia="宋体" w:cs="Times New Roman"/>
          <w:color w:val="auto"/>
          <w:sz w:val="21"/>
        </w:rPr>
        <w:t>加强客情关系维护</w:t>
      </w:r>
      <w:r>
        <w:rPr>
          <w:rFonts w:hint="eastAsia" w:ascii="Times New Roman" w:hAnsi="Times New Roman" w:cs="Times New Roman"/>
          <w:color w:val="auto"/>
          <w:sz w:val="21"/>
          <w:lang w:eastAsia="zh-CN"/>
        </w:rPr>
        <w:t>。</w:t>
      </w:r>
      <w:r>
        <w:rPr>
          <w:rFonts w:hint="default" w:ascii="Times New Roman" w:hAnsi="Times New Roman" w:eastAsia="宋体" w:cs="Times New Roman"/>
          <w:color w:val="auto"/>
          <w:sz w:val="21"/>
          <w:szCs w:val="24"/>
        </w:rPr>
        <w:t>扩大产品品类，延伸产品线</w:t>
      </w:r>
      <w:r>
        <w:rPr>
          <w:rFonts w:hint="eastAsia" w:ascii="Times New Roman" w:hAnsi="Times New Roman" w:cs="Times New Roman"/>
          <w:color w:val="auto"/>
          <w:sz w:val="21"/>
          <w:szCs w:val="24"/>
          <w:lang w:eastAsia="zh-CN"/>
        </w:rPr>
        <w:t>，</w:t>
      </w:r>
      <w:r>
        <w:rPr>
          <w:rFonts w:hint="default" w:ascii="Times New Roman" w:hAnsi="Times New Roman" w:eastAsia="宋体" w:cs="Times New Roman"/>
          <w:color w:val="auto"/>
          <w:sz w:val="21"/>
        </w:rPr>
        <w:t>整合社会资源</w:t>
      </w:r>
      <w:r>
        <w:rPr>
          <w:rFonts w:hint="eastAsia" w:ascii="Times New Roman" w:hAnsi="Times New Roman" w:cs="Times New Roman"/>
          <w:color w:val="auto"/>
          <w:sz w:val="21"/>
          <w:lang w:eastAsia="zh-CN"/>
        </w:rPr>
        <w:t>，</w:t>
      </w:r>
      <w:r>
        <w:rPr>
          <w:rFonts w:hint="eastAsia" w:ascii="Times New Roman" w:hAnsi="Times New Roman" w:cs="Times New Roman"/>
          <w:color w:val="auto"/>
          <w:sz w:val="21"/>
          <w:lang w:val="en-US" w:eastAsia="zh-CN"/>
        </w:rPr>
        <w:t>借助</w:t>
      </w:r>
      <w:r>
        <w:rPr>
          <w:rFonts w:hint="default" w:ascii="Times New Roman" w:hAnsi="Times New Roman" w:eastAsia="宋体" w:cs="Times New Roman"/>
          <w:color w:val="auto"/>
          <w:sz w:val="21"/>
        </w:rPr>
        <w:t>论坛</w:t>
      </w:r>
      <w:r>
        <w:rPr>
          <w:rFonts w:hint="eastAsia" w:ascii="Times New Roman" w:hAnsi="Times New Roman" w:cs="Times New Roman"/>
          <w:color w:val="auto"/>
          <w:sz w:val="21"/>
          <w:lang w:eastAsia="zh-CN"/>
        </w:rPr>
        <w:t>、</w:t>
      </w:r>
      <w:r>
        <w:rPr>
          <w:rFonts w:hint="default" w:ascii="Times New Roman" w:hAnsi="Times New Roman" w:eastAsia="宋体" w:cs="Times New Roman"/>
          <w:color w:val="auto"/>
          <w:sz w:val="21"/>
        </w:rPr>
        <w:t>展会、行业平台</w:t>
      </w:r>
      <w:r>
        <w:rPr>
          <w:rFonts w:hint="eastAsia" w:ascii="Times New Roman" w:hAnsi="Times New Roman" w:cs="Times New Roman"/>
          <w:color w:val="auto"/>
          <w:sz w:val="21"/>
          <w:lang w:val="en-US" w:eastAsia="zh-CN"/>
        </w:rPr>
        <w:t>宣传</w:t>
      </w:r>
      <w:r>
        <w:rPr>
          <w:rFonts w:hint="default" w:ascii="Times New Roman" w:hAnsi="Times New Roman" w:eastAsia="宋体" w:cs="Times New Roman"/>
          <w:color w:val="auto"/>
          <w:sz w:val="21"/>
        </w:rPr>
        <w:t>推广</w:t>
      </w:r>
      <w:r>
        <w:rPr>
          <w:rFonts w:hint="eastAsia" w:ascii="Times New Roman" w:hAnsi="Times New Roman" w:cs="Times New Roman"/>
          <w:color w:val="auto"/>
          <w:sz w:val="21"/>
          <w:lang w:eastAsia="zh-CN"/>
        </w:rPr>
        <w:t>，</w:t>
      </w:r>
      <w:r>
        <w:rPr>
          <w:rFonts w:hint="default" w:ascii="Times New Roman" w:hAnsi="Times New Roman" w:eastAsia="宋体" w:cs="Times New Roman"/>
          <w:color w:val="auto"/>
          <w:sz w:val="21"/>
          <w:szCs w:val="24"/>
          <w:lang w:val="en-US" w:eastAsia="zh-CN"/>
        </w:rPr>
        <w:t>提高产品</w:t>
      </w:r>
      <w:r>
        <w:rPr>
          <w:rFonts w:hint="default" w:ascii="Times New Roman" w:hAnsi="Times New Roman" w:eastAsia="宋体" w:cs="Times New Roman"/>
          <w:color w:val="auto"/>
          <w:sz w:val="21"/>
          <w:szCs w:val="24"/>
        </w:rPr>
        <w:t>覆盖率</w:t>
      </w:r>
      <w:r>
        <w:rPr>
          <w:rFonts w:hint="eastAsia" w:ascii="Times New Roman" w:hAnsi="Times New Roman" w:cs="Times New Roman"/>
          <w:sz w:val="21"/>
          <w:szCs w:val="24"/>
          <w:lang w:eastAsia="zh-CN"/>
        </w:rPr>
        <w:t>。</w:t>
      </w:r>
      <w:r>
        <w:rPr>
          <w:rFonts w:hint="default" w:ascii="Times New Roman" w:hAnsi="Times New Roman" w:eastAsia="宋体" w:cs="Times New Roman"/>
          <w:color w:val="auto"/>
          <w:sz w:val="21"/>
          <w:szCs w:val="24"/>
        </w:rPr>
        <w:t>酒店用品</w:t>
      </w:r>
      <w:r>
        <w:rPr>
          <w:rFonts w:hint="default" w:ascii="Times New Roman" w:hAnsi="Times New Roman" w:eastAsia="宋体" w:cs="Times New Roman"/>
          <w:color w:val="auto"/>
          <w:sz w:val="21"/>
          <w:szCs w:val="24"/>
          <w:lang w:val="en-US" w:eastAsia="zh-CN"/>
        </w:rPr>
        <w:t>积极</w:t>
      </w:r>
      <w:r>
        <w:rPr>
          <w:rFonts w:hint="default" w:ascii="Times New Roman" w:hAnsi="Times New Roman" w:eastAsia="宋体" w:cs="Times New Roman"/>
          <w:color w:val="auto"/>
          <w:sz w:val="21"/>
          <w:szCs w:val="24"/>
        </w:rPr>
        <w:t>围绕环保突破，竹塑牙刷、可降解拖鞋、可降解包装等，</w:t>
      </w:r>
      <w:r>
        <w:rPr>
          <w:rFonts w:hint="default" w:ascii="Times New Roman" w:hAnsi="Times New Roman" w:eastAsia="宋体" w:cs="Times New Roman"/>
          <w:color w:val="auto"/>
          <w:sz w:val="21"/>
          <w:szCs w:val="24"/>
          <w:lang w:val="en-US" w:eastAsia="zh-CN"/>
        </w:rPr>
        <w:t>增强可持续发展</w:t>
      </w:r>
      <w:r>
        <w:rPr>
          <w:rFonts w:hint="default" w:ascii="Times New Roman" w:hAnsi="Times New Roman" w:eastAsia="宋体" w:cs="Times New Roman"/>
          <w:color w:val="auto"/>
          <w:sz w:val="21"/>
          <w:szCs w:val="24"/>
        </w:rPr>
        <w:t>，提升</w:t>
      </w:r>
      <w:r>
        <w:rPr>
          <w:rFonts w:hint="default" w:ascii="Times New Roman" w:hAnsi="Times New Roman" w:eastAsia="宋体" w:cs="Times New Roman"/>
          <w:color w:val="auto"/>
          <w:sz w:val="21"/>
          <w:szCs w:val="24"/>
          <w:lang w:val="en-US" w:eastAsia="zh-CN"/>
        </w:rPr>
        <w:t>品牌</w:t>
      </w:r>
      <w:r>
        <w:rPr>
          <w:rFonts w:hint="default" w:ascii="Times New Roman" w:hAnsi="Times New Roman" w:eastAsia="宋体" w:cs="Times New Roman"/>
          <w:color w:val="auto"/>
          <w:sz w:val="21"/>
          <w:szCs w:val="24"/>
        </w:rPr>
        <w:t>在酒店领域的影响力</w:t>
      </w:r>
      <w:r>
        <w:rPr>
          <w:rFonts w:hint="eastAsia" w:ascii="Times New Roman" w:hAnsi="Times New Roman" w:cs="Times New Roman"/>
          <w:lang w:val="en-US" w:eastAsia="zh-CN"/>
        </w:rPr>
        <w:t>。报告期内，江苏公司客户量和销售量实现有效增长，市场销售再上新台阶，</w:t>
      </w:r>
      <w:r>
        <w:rPr>
          <w:rFonts w:hint="default" w:ascii="Times New Roman" w:hAnsi="Times New Roman" w:cs="Times New Roman"/>
          <w:lang w:val="en-US" w:eastAsia="zh-CN"/>
        </w:rPr>
        <w:t>实现营业收入6.96亿元，同比增长65.</w:t>
      </w:r>
      <w:r>
        <w:rPr>
          <w:rFonts w:hint="eastAsia" w:ascii="Times New Roman" w:hAnsi="Times New Roman" w:cs="Times New Roman"/>
          <w:lang w:val="en-US" w:eastAsia="zh-CN"/>
        </w:rPr>
        <w:t>54</w:t>
      </w:r>
      <w:r>
        <w:rPr>
          <w:rFonts w:hint="default" w:ascii="Times New Roman" w:hAnsi="Times New Roman" w:cs="Times New Roman"/>
          <w:lang w:val="en-US" w:eastAsia="zh-CN"/>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3、芳草公司</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芳草公司与江苏实业公司联动</w:t>
      </w:r>
      <w:r>
        <w:rPr>
          <w:rFonts w:hint="eastAsia" w:ascii="Times New Roman" w:hAnsi="Times New Roman" w:cs="Times New Roman"/>
          <w:lang w:val="en-US" w:eastAsia="zh-CN"/>
        </w:rPr>
        <w:t>整合，</w:t>
      </w:r>
      <w:r>
        <w:rPr>
          <w:rFonts w:hint="default" w:ascii="Times New Roman" w:hAnsi="Times New Roman" w:cs="Times New Roman"/>
          <w:lang w:val="en-US" w:eastAsia="zh-CN"/>
        </w:rPr>
        <w:t>进行产能集聚，发挥资源互补，</w:t>
      </w:r>
      <w:r>
        <w:rPr>
          <w:rFonts w:hint="eastAsia" w:ascii="Times New Roman" w:hAnsi="Times New Roman" w:cs="Times New Roman"/>
          <w:lang w:val="en-US" w:eastAsia="zh-CN"/>
        </w:rPr>
        <w:t>加快芳草</w:t>
      </w:r>
      <w:r>
        <w:rPr>
          <w:rFonts w:hint="default" w:ascii="Times New Roman" w:hAnsi="Times New Roman" w:cs="Times New Roman"/>
          <w:lang w:val="en-US" w:eastAsia="zh-CN"/>
        </w:rPr>
        <w:t>产品研发速度。人员、技术、渠道等方面着力革新，大力开拓新业态，增加企业发展新动力。报告期内，实现营业收入3,621.09万元，同比增长89.98%</w:t>
      </w:r>
      <w:r>
        <w:rPr>
          <w:rFonts w:hint="eastAsia" w:ascii="Times New Roman" w:hAnsi="Times New Roman" w:cs="Times New Roman"/>
          <w:lang w:val="en-US" w:eastAsia="zh-CN"/>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4、亿康药业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2023年，亿康药业采</w:t>
      </w:r>
      <w:r>
        <w:rPr>
          <w:rFonts w:hint="eastAsia" w:ascii="宋体" w:hAnsi="宋体" w:eastAsia="宋体" w:cs="宋体"/>
          <w:lang w:val="en-US" w:eastAsia="zh-CN"/>
        </w:rPr>
        <w:t>取“互联网＋连锁药店渠道”双</w:t>
      </w:r>
      <w:r>
        <w:rPr>
          <w:rFonts w:hint="default" w:ascii="Times New Roman" w:hAnsi="Times New Roman" w:cs="Times New Roman"/>
          <w:lang w:val="en-US" w:eastAsia="zh-CN"/>
        </w:rPr>
        <w:t>线渠道的方式取得新发展，</w:t>
      </w:r>
      <w:r>
        <w:rPr>
          <w:rFonts w:hint="default" w:ascii="Times New Roman" w:hAnsi="Times New Roman" w:eastAsia="宋体" w:cs="Times New Roman"/>
          <w:sz w:val="21"/>
          <w:szCs w:val="24"/>
          <w:shd w:val="clear" w:color="auto" w:fill="auto"/>
        </w:rPr>
        <w:t>苍鹅鼻炎片</w:t>
      </w:r>
      <w:r>
        <w:rPr>
          <w:rFonts w:hint="eastAsia" w:ascii="Times New Roman" w:hAnsi="Times New Roman" w:cs="Times New Roman"/>
          <w:sz w:val="21"/>
          <w:szCs w:val="24"/>
          <w:shd w:val="clear" w:color="auto" w:fill="auto"/>
          <w:lang w:val="en-US" w:eastAsia="zh-CN"/>
        </w:rPr>
        <w:t>等</w:t>
      </w:r>
      <w:r>
        <w:rPr>
          <w:rFonts w:hint="default" w:ascii="Times New Roman" w:hAnsi="Times New Roman" w:cs="Times New Roman"/>
          <w:lang w:val="en-US" w:eastAsia="zh-CN"/>
        </w:rPr>
        <w:t>核心品种销售稳中有升。同时，</w:t>
      </w:r>
      <w:r>
        <w:rPr>
          <w:rFonts w:hint="eastAsia" w:ascii="Times New Roman" w:hAnsi="Times New Roman" w:cs="Times New Roman"/>
          <w:lang w:val="en-US" w:eastAsia="zh-CN"/>
        </w:rPr>
        <w:t>亿康药业</w:t>
      </w:r>
      <w:r>
        <w:rPr>
          <w:rFonts w:hint="default" w:ascii="Times New Roman" w:hAnsi="Times New Roman" w:eastAsia="宋体" w:cs="Times New Roman"/>
          <w:sz w:val="21"/>
          <w:szCs w:val="24"/>
          <w:shd w:val="clear" w:color="auto" w:fill="auto"/>
        </w:rPr>
        <w:t>针对不同客群及市场接受度</w:t>
      </w:r>
      <w:r>
        <w:rPr>
          <w:rFonts w:hint="default" w:ascii="Times New Roman" w:hAnsi="Times New Roman" w:eastAsia="宋体" w:cs="Times New Roman"/>
          <w:sz w:val="21"/>
          <w:szCs w:val="24"/>
          <w:shd w:val="clear"/>
          <w:lang w:eastAsia="zh-CN"/>
        </w:rPr>
        <w:t>，</w:t>
      </w:r>
      <w:r>
        <w:rPr>
          <w:rFonts w:hint="default" w:ascii="Times New Roman" w:hAnsi="Times New Roman" w:cs="Times New Roman"/>
          <w:lang w:val="en-US" w:eastAsia="zh-CN"/>
        </w:rPr>
        <w:t>积极寻求私人订制，主动与优质经销商合作，</w:t>
      </w:r>
      <w:r>
        <w:rPr>
          <w:rFonts w:hint="eastAsia" w:ascii="宋体" w:hAnsi="宋体" w:eastAsia="宋体" w:cs="宋体"/>
          <w:lang w:val="en-US" w:eastAsia="zh-CN"/>
        </w:rPr>
        <w:t>“私人订制”业</w:t>
      </w:r>
      <w:r>
        <w:rPr>
          <w:rFonts w:hint="default" w:ascii="Times New Roman" w:hAnsi="Times New Roman" w:eastAsia="宋体" w:cs="Times New Roman"/>
          <w:lang w:val="en-US" w:eastAsia="zh-CN"/>
        </w:rPr>
        <w:t>务</w:t>
      </w:r>
      <w:r>
        <w:rPr>
          <w:rFonts w:hint="default" w:ascii="Times New Roman" w:hAnsi="Times New Roman" w:cs="Times New Roman"/>
          <w:lang w:val="en-US" w:eastAsia="zh-CN"/>
        </w:rPr>
        <w:t>取得了新突破。报告期内，实现营业收入</w:t>
      </w:r>
      <w:r>
        <w:rPr>
          <w:rFonts w:hint="eastAsia" w:ascii="Times New Roman" w:hAnsi="Times New Roman" w:cs="Times New Roman"/>
          <w:lang w:val="en-US" w:eastAsia="zh-CN"/>
        </w:rPr>
        <w:t>1.08亿</w:t>
      </w:r>
      <w:r>
        <w:rPr>
          <w:rFonts w:hint="default" w:ascii="Times New Roman" w:hAnsi="Times New Roman" w:cs="Times New Roman"/>
          <w:lang w:val="en-US" w:eastAsia="zh-CN"/>
        </w:rPr>
        <w:t>元，同比增长27.95%。</w:t>
      </w:r>
    </w:p>
    <w:p>
      <w:pPr>
        <w:numPr>
          <w:ilvl w:val="0"/>
          <w:numId w:val="0"/>
        </w:numPr>
        <w:ind w:firstLine="420" w:firstLineChars="200"/>
        <w:rPr>
          <w:rFonts w:hint="default" w:ascii="Times New Roman" w:hAnsi="Times New Roman" w:eastAsia="宋体" w:cs="Times New Roman"/>
          <w:sz w:val="21"/>
          <w:szCs w:val="24"/>
          <w:lang w:val="en-US" w:eastAsia="zh-CN"/>
        </w:rPr>
      </w:pPr>
    </w:p>
    <w:p>
      <w:pPr>
        <w:pStyle w:val="3"/>
        <w:numPr>
          <w:ilvl w:val="0"/>
          <w:numId w:val="7"/>
        </w:numPr>
        <w:ind w:left="368" w:hanging="369" w:hangingChars="175"/>
      </w:pPr>
      <w:r>
        <w:t>报告期内公司所处行业情况</w:t>
      </w:r>
    </w:p>
    <w:sdt>
      <w:sdtPr>
        <w:rPr>
          <w:rFonts w:hint="eastAsia"/>
        </w:rPr>
        <w:alias w:val="报告期内公司所处行业情况 "/>
        <w:tag w:val="_GBC_62343dd2540e4e58bef438888246bd32"/>
        <w:id w:val="25548"/>
        <w:placeholder>
          <w:docPart w:val="GBC22222222222222222222222222222"/>
        </w:placeholder>
      </w:sdtPr>
      <w:sdtEndPr>
        <w:rPr>
          <w:rFonts w:hint="eastAsia"/>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eastAsia"/>
            </w:rPr>
            <w:t>详见“五、报告期内主要经营情况之（四）行业经营性信息分析”。</w:t>
          </w:r>
        </w:p>
      </w:sdtContent>
    </w:sdt>
    <w:p/>
    <w:p>
      <w:pPr>
        <w:pStyle w:val="3"/>
        <w:numPr>
          <w:ilvl w:val="0"/>
          <w:numId w:val="7"/>
        </w:numPr>
        <w:ind w:left="368" w:hanging="369" w:hangingChars="175"/>
      </w:pPr>
      <w:r>
        <w:t>报告期内公司从事的业务情况</w:t>
      </w:r>
    </w:p>
    <w:sdt>
      <w:sdtPr>
        <w:alias w:val="报告期内公司从事的业务情况 "/>
        <w:tag w:val="_GBC_5c2ed6623d994f569eb07915af842807"/>
        <w:id w:val="25549"/>
        <w:placeholder>
          <w:docPart w:val="GBC22222222222222222222222222222"/>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报告期内公司所从事的业务没有发生重大变化。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公司主要业务为日化产业。目前业务包括日化、医药两个板块，致力于发展“大消费、大健康”产业。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1.主要业务日化板块：主要从事口腔护理产品、个人洗护品、酒店日用品等的研发、生产和销售，主要品牌包括两面针、沐兰泽、逍遥、芳草等。由母公司、江苏实业公司、芳草公司负责经营。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eastAsia"/>
            </w:rPr>
            <w:t>2.医药板块：从事药品生产销售，主要产品为氨</w:t>
          </w:r>
          <w:r>
            <w:rPr>
              <w:rFonts w:hint="eastAsia"/>
              <w:highlight w:val="none"/>
            </w:rPr>
            <w:t>咖黄敏胶囊、银杏叶片、苍鹅鼻炎片、感冒灵冲剂等成品药以及丹皮酚、愈创木酚磺酸钾、细辛脑等原料药，由亿康药业负责经</w:t>
          </w:r>
          <w:r>
            <w:rPr>
              <w:rFonts w:hint="eastAsia"/>
            </w:rPr>
            <w:t>营。</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p>
    <w:p>
      <w:pPr>
        <w:pStyle w:val="3"/>
        <w:numPr>
          <w:ilvl w:val="0"/>
          <w:numId w:val="7"/>
        </w:numPr>
        <w:ind w:left="368" w:hanging="369" w:hangingChars="175"/>
      </w:pPr>
      <w:r>
        <w:rPr>
          <w:rFonts w:hint="eastAsia"/>
        </w:rPr>
        <w:t>报告期内核心竞争力分析</w:t>
      </w:r>
    </w:p>
    <w:sdt>
      <w:sdtPr>
        <w:alias w:val="是否适用：报告期内核心竞争力分析[双击切换]"/>
        <w:tag w:val="_GBC_a03591f0f7444c9b8f5c55d6f75c3136"/>
        <w:id w:val="2555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25551"/>
        <w:placeholder>
          <w:docPart w:val="GBC22222222222222222222222222222"/>
        </w:placeholder>
      </w:sdtPr>
      <w:sdtEndPr>
        <w:rPr>
          <w:rFonts w:hint="eastAsia"/>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b/>
              <w:bCs/>
            </w:rPr>
          </w:pPr>
          <w:r>
            <w:rPr>
              <w:rFonts w:hint="eastAsia"/>
              <w:b/>
              <w:bCs/>
            </w:rPr>
            <w:t>（一）研发与技术优势</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公司拥有自主知识产权中药牙膏核心技术，科研开发能力雄厚，是中国口腔清洁护理用品工业协会副理事长单位、中药牙膏行业</w:t>
          </w:r>
          <w:r>
            <w:rPr>
              <w:rFonts w:hint="eastAsia"/>
              <w:lang w:val="en-US" w:eastAsia="zh-CN"/>
            </w:rPr>
            <w:t>多项</w:t>
          </w:r>
          <w:r>
            <w:rPr>
              <w:rFonts w:hint="eastAsia"/>
            </w:rPr>
            <w:t>标准牵头起草单位、国家高新技术企业、国家知识产权优势企业，拥有自治区级企业技术中心、行业内首家博士后科研工作站。公司博士后科研工作站先后联合复旦大学、成都中医药大学、广西大学</w:t>
          </w:r>
          <w:r>
            <w:rPr>
              <w:rFonts w:hint="eastAsia"/>
              <w:lang w:eastAsia="zh-CN"/>
            </w:rPr>
            <w:t>、</w:t>
          </w:r>
          <w:r>
            <w:rPr>
              <w:rFonts w:hint="eastAsia"/>
              <w:lang w:val="en-US" w:eastAsia="zh-CN"/>
            </w:rPr>
            <w:t>华南理工大学</w:t>
          </w:r>
          <w:r>
            <w:rPr>
              <w:rFonts w:hint="eastAsia"/>
            </w:rPr>
            <w:t>等博士后科研流动站招收培养博士后人员</w:t>
          </w:r>
          <w:r>
            <w:rPr>
              <w:rFonts w:hint="eastAsia"/>
              <w:lang w:eastAsia="zh-CN"/>
            </w:rPr>
            <w:t>，</w:t>
          </w:r>
          <w:r>
            <w:rPr>
              <w:rFonts w:hint="eastAsia"/>
              <w:lang w:val="en-US" w:eastAsia="zh-CN"/>
            </w:rPr>
            <w:t>开展中药日化基础及应用研究</w:t>
          </w:r>
          <w:r>
            <w:rPr>
              <w:rFonts w:hint="eastAsia"/>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b/>
              <w:bCs/>
            </w:rPr>
          </w:pPr>
          <w:r>
            <w:rPr>
              <w:rFonts w:hint="eastAsia"/>
              <w:b/>
              <w:bCs/>
            </w:rPr>
            <w:t>（二）品牌优势</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经过四十多年的发展，“两面针”品牌享誉全国，确立了“知名”、“优质”品牌地位。公司主导产品“两面针牙膏”被评为“国家质量标准示范产品”、“全国用户满意产品”和“中国最受公众喜爱的十大民族品牌”</w:t>
          </w:r>
          <w:r>
            <w:rPr>
              <w:rFonts w:hint="eastAsia"/>
              <w:lang w:val="en-US" w:eastAsia="zh-CN"/>
            </w:rPr>
            <w:t>等。</w:t>
          </w:r>
          <w:r>
            <w:rPr>
              <w:rFonts w:hint="default" w:ascii="Times New Roman" w:hAnsi="Times New Roman" w:eastAsia="宋体" w:cs="Times New Roman"/>
            </w:rPr>
            <w:t>2013年起，公司已连续</w:t>
          </w:r>
          <w:r>
            <w:rPr>
              <w:rFonts w:hint="default" w:ascii="Times New Roman" w:hAnsi="Times New Roman" w:eastAsia="宋体" w:cs="Times New Roman"/>
              <w:lang w:val="en-US" w:eastAsia="zh-CN"/>
            </w:rPr>
            <w:t>11</w:t>
          </w:r>
          <w:r>
            <w:rPr>
              <w:rFonts w:hint="default" w:ascii="Times New Roman" w:hAnsi="Times New Roman" w:eastAsia="宋体" w:cs="Times New Roman"/>
            </w:rPr>
            <w:t>年作为行</w:t>
          </w:r>
          <w:r>
            <w:rPr>
              <w:rFonts w:hint="eastAsia"/>
            </w:rPr>
            <w:t>业合作伙伴参展中国-东盟博览会，“两面针”系列产品连续多年成为中国-东盟博览会指定用品。</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b/>
              <w:bCs/>
            </w:rPr>
          </w:pPr>
          <w:r>
            <w:rPr>
              <w:rFonts w:hint="eastAsia"/>
              <w:b/>
              <w:bCs/>
            </w:rPr>
            <w:t>（三）产品质量优势</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公司是行业内首家</w:t>
          </w:r>
          <w:r>
            <w:rPr>
              <w:rFonts w:hint="default" w:ascii="Times New Roman" w:hAnsi="Times New Roman" w:cs="Times New Roman"/>
            </w:rPr>
            <w:t>通过ISO9001国际质量体系认证的国家高新技术企业，获得ISO22716认证，欧盟和美国标准的GMPC（化妆品良好规范管理）证书，清真认证（国际Halal认证）</w:t>
          </w:r>
          <w:r>
            <w:rPr>
              <w:rFonts w:hint="default" w:ascii="Times New Roman" w:hAnsi="Times New Roman" w:cs="Times New Roman"/>
              <w:lang w:eastAsia="zh-CN"/>
            </w:rPr>
            <w:t>，</w:t>
          </w:r>
          <w:r>
            <w:rPr>
              <w:rFonts w:hint="eastAsia"/>
              <w:lang w:val="en-US" w:eastAsia="zh-CN"/>
            </w:rPr>
            <w:t>公司质量管理体系适宜、充分、有效</w:t>
          </w:r>
          <w:r>
            <w:rPr>
              <w:rFonts w:hint="eastAsia"/>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b/>
              <w:bCs/>
            </w:rPr>
          </w:pPr>
          <w:r>
            <w:rPr>
              <w:rFonts w:hint="eastAsia"/>
              <w:b/>
              <w:bCs/>
            </w:rPr>
            <w:t>（四）原料供应优势</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eastAsia"/>
            </w:rPr>
            <w:t>公司坐落于广西壮族自治区中部，拥有本地丰富的中草药自然资源，原料供应便捷，提取药材道地、安全、有效。</w:t>
          </w:r>
        </w:p>
      </w:sdtContent>
    </w:sdt>
    <w:p>
      <w:pPr>
        <w:keepNext w:val="0"/>
        <w:keepLines w:val="0"/>
        <w:pageBreakBefore w:val="0"/>
        <w:widowControl/>
        <w:kinsoku/>
        <w:wordWrap/>
        <w:overflowPunct/>
        <w:topLinePunct w:val="0"/>
        <w:autoSpaceDE/>
        <w:autoSpaceDN/>
        <w:bidi w:val="0"/>
        <w:adjustRightInd/>
        <w:snapToGrid/>
        <w:spacing w:line="400" w:lineRule="exact"/>
        <w:textAlignment w:val="auto"/>
        <w:rPr>
          <w:rFonts w:asciiTheme="minorEastAsia" w:hAnsiTheme="minorEastAsia" w:eastAsiaTheme="minorEastAsia"/>
        </w:rPr>
      </w:pPr>
    </w:p>
    <w:p>
      <w:pPr>
        <w:pStyle w:val="3"/>
        <w:numPr>
          <w:ilvl w:val="0"/>
          <w:numId w:val="7"/>
        </w:numPr>
        <w:ind w:left="368" w:hanging="369" w:hangingChars="175"/>
      </w:pPr>
      <w:r>
        <w:rPr>
          <w:rFonts w:hint="eastAsia"/>
        </w:rPr>
        <w:t>报告期内主要经营情况</w:t>
      </w:r>
    </w:p>
    <w:sdt>
      <w:sdtPr>
        <w:rPr>
          <w:rFonts w:hint="eastAsia"/>
        </w:rPr>
        <w:alias w:val="报告期内主要经营情况"/>
        <w:tag w:val="_GBC_655a1c6ffd2a454085e53e5538e3b2ef"/>
        <w:id w:val="25552"/>
        <w:placeholder>
          <w:docPart w:val="GBC22222222222222222222222222222"/>
        </w:placeholder>
      </w:sdtPr>
      <w:sdtEndPr>
        <w:rPr>
          <w:rFonts w:hint="eastAsia"/>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详见</w:t>
          </w:r>
          <w:r>
            <w:rPr>
              <w:rFonts w:hint="eastAsia"/>
              <w:lang w:val="en-US" w:eastAsia="zh-CN"/>
            </w:rPr>
            <w:t>本报告</w:t>
          </w:r>
          <w:r>
            <w:rPr>
              <w:rFonts w:hint="eastAsia" w:ascii="Times New Roman" w:cs="Times New Roman"/>
              <w:szCs w:val="21"/>
            </w:rPr>
            <w:t>“第三节 管理层讨论与分析”之</w:t>
          </w:r>
          <w:r>
            <w:rPr>
              <w:rFonts w:hint="eastAsia"/>
              <w:lang w:val="en-US" w:eastAsia="zh-CN"/>
            </w:rPr>
            <w:t>“</w:t>
          </w:r>
          <w:r>
            <w:rPr>
              <w:rFonts w:hint="eastAsia"/>
            </w:rPr>
            <w:t>一、经营情况讨论与分析。</w:t>
          </w:r>
          <w:r>
            <w:rPr>
              <w:rFonts w:hint="eastAsia"/>
              <w:lang w:val="en-US" w:eastAsia="zh-CN"/>
            </w:rPr>
            <w:t>”</w:t>
          </w:r>
        </w:p>
      </w:sdtContent>
    </w:sdt>
    <w:p>
      <w:pPr>
        <w:pStyle w:val="4"/>
        <w:numPr>
          <w:ilvl w:val="0"/>
          <w:numId w:val="8"/>
        </w:numPr>
        <w:ind w:left="369" w:hanging="369" w:hangingChars="175"/>
        <w:rPr>
          <w:szCs w:val="21"/>
        </w:rPr>
      </w:pPr>
      <w:bookmarkStart w:id="30" w:name="_Toc342559738"/>
      <w:bookmarkStart w:id="31" w:name="_Toc342565895"/>
      <w:r>
        <w:rPr>
          <w:rFonts w:hint="eastAsia"/>
          <w:szCs w:val="21"/>
        </w:rPr>
        <w:t>主营业务分析</w:t>
      </w:r>
      <w:bookmarkEnd w:id="30"/>
      <w:bookmarkEnd w:id="31"/>
    </w:p>
    <w:p>
      <w:pPr>
        <w:pStyle w:val="5"/>
        <w:numPr>
          <w:ilvl w:val="0"/>
          <w:numId w:val="9"/>
        </w:numPr>
      </w:pPr>
      <w:r>
        <w:t>利润表及现金流量表相关科目变动分析表</w:t>
      </w:r>
    </w:p>
    <w:p>
      <w:pPr>
        <w:pStyle w:val="63"/>
        <w:ind w:left="360" w:firstLine="0" w:firstLineChars="0"/>
        <w:jc w:val="right"/>
        <w:rPr>
          <w:rFonts w:ascii="宋体" w:hAnsi="宋体"/>
        </w:rPr>
      </w:pPr>
      <w:bookmarkStart w:id="32" w:name="_Hlk89098131"/>
      <w:bookmarkStart w:id="33" w:name="_Hlk10208083"/>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255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255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3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3"/>
        <w:gridCol w:w="2126"/>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e184eafc8be3478d9fc8a544274385f7"/>
            <w:id w:val="3000"/>
          </w:sdtPr>
          <w:sdtEndPr>
            <w:rPr>
              <w:rFonts w:ascii="宋体" w:hAnsi="宋体"/>
            </w:rPr>
          </w:sdtEndPr>
          <w:sdtContent>
            <w:tc>
              <w:tcPr>
                <w:tcW w:w="1706" w:type="pct"/>
              </w:tcPr>
              <w:p>
                <w:pPr>
                  <w:pStyle w:val="63"/>
                  <w:ind w:firstLine="0" w:firstLineChars="0"/>
                  <w:rPr>
                    <w:rFonts w:ascii="宋体" w:hAnsi="宋体"/>
                    <w:szCs w:val="21"/>
                  </w:rPr>
                </w:pPr>
                <w:r>
                  <w:rPr>
                    <w:rFonts w:hint="eastAsia" w:ascii="宋体" w:hAnsi="宋体"/>
                    <w:szCs w:val="21"/>
                  </w:rPr>
                  <w:t>科目</w:t>
                </w:r>
              </w:p>
            </w:tc>
          </w:sdtContent>
        </w:sdt>
        <w:sdt>
          <w:sdtPr>
            <w:rPr>
              <w:rFonts w:ascii="宋体" w:hAnsi="宋体"/>
            </w:rPr>
            <w:tag w:val="_PLD_c49cd176da60479fbcfeedd35cc9f509"/>
            <w:id w:val="3001"/>
          </w:sdtPr>
          <w:sdtEndPr>
            <w:rPr>
              <w:rFonts w:ascii="宋体" w:hAnsi="宋体"/>
            </w:rPr>
          </w:sdtEndPr>
          <w:sdtContent>
            <w:tc>
              <w:tcPr>
                <w:tcW w:w="1176" w:type="pct"/>
                <w:vAlign w:val="center"/>
              </w:tcPr>
              <w:p>
                <w:pPr>
                  <w:pStyle w:val="63"/>
                  <w:ind w:firstLine="0" w:firstLineChars="0"/>
                  <w:jc w:val="center"/>
                  <w:rPr>
                    <w:rFonts w:ascii="宋体" w:hAnsi="宋体"/>
                    <w:szCs w:val="21"/>
                  </w:rPr>
                </w:pPr>
                <w:r>
                  <w:rPr>
                    <w:rFonts w:hint="eastAsia" w:ascii="宋体" w:hAnsi="宋体"/>
                    <w:szCs w:val="21"/>
                  </w:rPr>
                  <w:t>本期数</w:t>
                </w:r>
              </w:p>
            </w:tc>
          </w:sdtContent>
        </w:sdt>
        <w:sdt>
          <w:sdtPr>
            <w:rPr>
              <w:rFonts w:ascii="宋体" w:hAnsi="宋体"/>
            </w:rPr>
            <w:tag w:val="_PLD_0b6df7534554463db9f304bbe9b6a71e"/>
            <w:id w:val="3002"/>
          </w:sdtPr>
          <w:sdtEndPr>
            <w:rPr>
              <w:rFonts w:ascii="宋体" w:hAnsi="宋体"/>
            </w:rPr>
          </w:sdtEndPr>
          <w:sdtContent>
            <w:tc>
              <w:tcPr>
                <w:tcW w:w="1098" w:type="pct"/>
                <w:vAlign w:val="center"/>
              </w:tcPr>
              <w:p>
                <w:pPr>
                  <w:pStyle w:val="63"/>
                  <w:ind w:firstLine="0" w:firstLineChars="0"/>
                  <w:jc w:val="center"/>
                  <w:rPr>
                    <w:rFonts w:ascii="宋体" w:hAnsi="宋体"/>
                    <w:szCs w:val="21"/>
                  </w:rPr>
                </w:pPr>
                <w:r>
                  <w:rPr>
                    <w:rFonts w:hint="eastAsia" w:ascii="宋体" w:hAnsi="宋体"/>
                    <w:szCs w:val="21"/>
                  </w:rPr>
                  <w:t>上年同期数</w:t>
                </w:r>
              </w:p>
            </w:tc>
          </w:sdtContent>
        </w:sdt>
        <w:sdt>
          <w:sdtPr>
            <w:rPr>
              <w:rFonts w:ascii="宋体" w:hAnsi="宋体"/>
            </w:rPr>
            <w:tag w:val="_PLD_a903eeff1728490ba821c9389249303c"/>
            <w:id w:val="3003"/>
          </w:sdtPr>
          <w:sdtEndPr>
            <w:rPr>
              <w:rFonts w:ascii="宋体" w:hAnsi="宋体"/>
            </w:rPr>
          </w:sdtEndPr>
          <w:sdtContent>
            <w:tc>
              <w:tcPr>
                <w:tcW w:w="1019" w:type="pct"/>
                <w:vAlign w:val="center"/>
              </w:tcPr>
              <w:p>
                <w:pPr>
                  <w:pStyle w:val="63"/>
                  <w:ind w:firstLine="0" w:firstLineChars="0"/>
                  <w:jc w:val="center"/>
                  <w:rPr>
                    <w:rFonts w:ascii="宋体" w:hAnsi="宋体"/>
                    <w:szCs w:val="21"/>
                  </w:rPr>
                </w:pPr>
                <w:r>
                  <w:rPr>
                    <w:rFonts w:hint="eastAsia" w:ascii="宋体" w:hAnsi="宋体"/>
                    <w:szCs w:val="21"/>
                  </w:rPr>
                  <w:t>变动比例（%）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hint="eastAsia" w:ascii="宋体" w:hAnsi="宋体"/>
                <w:szCs w:val="21"/>
              </w:rPr>
              <w:t>营业收入</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995,136,283.16 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669,192,032.18</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48.71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ascii="宋体" w:hAnsi="宋体"/>
                <w:szCs w:val="21"/>
              </w:rPr>
              <w:t>营业成本</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829,055,747.38 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561,707,022.90</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47.60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ascii="宋体" w:hAnsi="宋体"/>
                <w:szCs w:val="21"/>
              </w:rPr>
              <w:t>销售费用</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105,641,459.55 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82,347,444.50</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28.29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ascii="宋体" w:hAnsi="宋体"/>
                <w:szCs w:val="21"/>
              </w:rPr>
              <w:t>管理费用</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72,622,698.58 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63,225,343.55</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ascii="宋体" w:hAnsi="宋体"/>
                <w:szCs w:val="21"/>
              </w:rPr>
              <w:t>财务费用</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-36,727,881.35 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-39,062,882.40</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lang w:val="en-US"/>
              </w:rPr>
            </w:pPr>
            <w:r>
              <w:rPr>
                <w:rFonts w:hint="default" w:ascii="Times New Roman" w:hAnsi="Times New Roman" w:cs="Times New Roman"/>
                <w:i w:val="0"/>
                <w:iCs w:val="0"/>
                <w:color w:val="000000"/>
                <w:kern w:val="0"/>
                <w:sz w:val="21"/>
                <w:szCs w:val="21"/>
                <w:u w:val="none"/>
                <w:lang w:val="en-US" w:eastAsia="zh-CN" w:bidi="ar"/>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hint="eastAsia" w:ascii="宋体" w:hAnsi="宋体"/>
                <w:szCs w:val="21"/>
              </w:rPr>
              <w:t>研发费用</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15,705,583.61 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12,442,485.48</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26.23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Pr>
          <w:p>
            <w:pPr>
              <w:pStyle w:val="63"/>
              <w:ind w:firstLine="0" w:firstLineChars="0"/>
              <w:rPr>
                <w:rFonts w:ascii="宋体" w:hAnsi="宋体"/>
                <w:szCs w:val="21"/>
              </w:rPr>
            </w:pPr>
            <w:r>
              <w:rPr>
                <w:rFonts w:ascii="宋体" w:hAnsi="宋体"/>
                <w:szCs w:val="21"/>
              </w:rPr>
              <w:t>经营活动产生的现金流量净额</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38,368,320.17 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27,580,148.16</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6" w:type="pct"/>
          </w:tcPr>
          <w:p>
            <w:pPr>
              <w:pStyle w:val="63"/>
              <w:ind w:firstLine="0" w:firstLineChars="0"/>
              <w:rPr>
                <w:rFonts w:ascii="宋体" w:hAnsi="宋体"/>
                <w:szCs w:val="21"/>
              </w:rPr>
            </w:pPr>
            <w:r>
              <w:rPr>
                <w:rFonts w:ascii="宋体" w:hAnsi="宋体"/>
                <w:szCs w:val="21"/>
              </w:rPr>
              <w:t>投资活动产生的现金流量净额</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-5,088,960.82 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-9,240,515.83</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default" w:ascii="Times New Roman" w:hAnsi="Times New Roman" w:cs="Times New Roman"/>
                <w:i w:val="0"/>
                <w:iCs w:val="0"/>
                <w:color w:val="000000"/>
                <w:kern w:val="0"/>
                <w:sz w:val="21"/>
                <w:szCs w:val="21"/>
                <w:u w:val="none"/>
                <w:lang w:val="en-US" w:eastAsia="zh-CN" w:bidi="ar"/>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Pr>
          <w:p>
            <w:pPr>
              <w:pStyle w:val="63"/>
              <w:ind w:firstLine="0" w:firstLineChars="0"/>
              <w:rPr>
                <w:rFonts w:ascii="宋体" w:hAnsi="宋体"/>
                <w:szCs w:val="21"/>
              </w:rPr>
            </w:pPr>
            <w:r>
              <w:rPr>
                <w:rFonts w:ascii="宋体" w:hAnsi="宋体"/>
                <w:szCs w:val="21"/>
              </w:rPr>
              <w:t>筹资活动产生的现金流量净额</w:t>
            </w:r>
          </w:p>
        </w:tc>
        <w:tc>
          <w:tcPr>
            <w:tcW w:w="1176"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color w:val="auto"/>
              </w:rPr>
              <w:t>34,804,229.73 </w:t>
            </w:r>
          </w:p>
        </w:tc>
        <w:tc>
          <w:tcPr>
            <w:tcW w:w="1098" w:type="pct"/>
          </w:tcPr>
          <w:p>
            <w:pPr>
              <w:pStyle w:val="63"/>
              <w:ind w:firstLine="0" w:firstLineChars="0"/>
              <w:jc w:val="right"/>
              <w:rPr>
                <w:rFonts w:hint="default" w:ascii="Times New Roman" w:hAnsi="Times New Roman" w:cs="Times New Roman"/>
                <w:szCs w:val="21"/>
              </w:rPr>
            </w:pPr>
            <w:r>
              <w:rPr>
                <w:rFonts w:hint="default" w:ascii="Times New Roman" w:hAnsi="Times New Roman" w:cs="Times New Roman"/>
              </w:rPr>
              <w:t>-34,187,563.32</w:t>
            </w:r>
          </w:p>
        </w:tc>
        <w:tc>
          <w:tcPr>
            <w:tcW w:w="1019" w:type="pct"/>
            <w:vAlign w:val="bottom"/>
          </w:tcPr>
          <w:p>
            <w:pPr>
              <w:keepNext w:val="0"/>
              <w:keepLines w:val="0"/>
              <w:widowControl/>
              <w:suppressLineNumbers w:val="0"/>
              <w:jc w:val="right"/>
              <w:textAlignment w:val="bottom"/>
              <w:rPr>
                <w:rFonts w:hint="default" w:ascii="Times New Roman" w:hAnsi="Times New Roman" w:cs="Times New Roman"/>
                <w:szCs w:val="21"/>
              </w:rPr>
            </w:pPr>
            <w:r>
              <w:rPr>
                <w:rFonts w:hint="eastAsia" w:ascii="Times New Roman" w:hAnsi="Times New Roman" w:cs="Times New Roman"/>
                <w:i w:val="0"/>
                <w:iCs w:val="0"/>
                <w:color w:val="000000"/>
                <w:kern w:val="0"/>
                <w:sz w:val="21"/>
                <w:szCs w:val="21"/>
                <w:u w:val="none"/>
                <w:lang w:val="en-US" w:eastAsia="zh-CN" w:bidi="ar"/>
              </w:rPr>
              <w:t>不适用</w:t>
            </w:r>
          </w:p>
        </w:tc>
      </w:tr>
    </w:tbl>
    <w:p/>
    <w:p/>
    <w:p>
      <w:pPr>
        <w:pStyle w:val="63"/>
        <w:ind w:firstLine="0" w:firstLineChars="0"/>
        <w:jc w:val="left"/>
        <w:rPr>
          <w:rFonts w:ascii="宋体" w:hAnsi="宋体"/>
        </w:rPr>
      </w:pPr>
      <w:r>
        <w:rPr>
          <w:rFonts w:hint="eastAsia" w:ascii="宋体" w:hAnsi="宋体"/>
        </w:rPr>
        <w:t>营业收入变动原因说明：</w:t>
      </w:r>
      <w:sdt>
        <w:sdtPr>
          <w:rPr>
            <w:rFonts w:ascii="宋体" w:hAnsi="宋体"/>
            <w:szCs w:val="21"/>
          </w:rPr>
          <w:alias w:val="营业收入变动原因说明"/>
          <w:tag w:val="_GBC_02f544181db247728469e929886776a1"/>
          <w:id w:val="25559"/>
          <w:placeholder>
            <w:docPart w:val="GBC22222222222222222222222222222"/>
          </w:placeholder>
        </w:sdtPr>
        <w:sdtEndPr>
          <w:rPr>
            <w:rFonts w:ascii="宋体" w:hAnsi="宋体"/>
            <w:szCs w:val="21"/>
          </w:rPr>
        </w:sdtEndPr>
        <w:sdtContent>
          <w:r>
            <w:rPr>
              <w:rFonts w:hint="eastAsia" w:ascii="宋体" w:hAnsi="宋体"/>
              <w:szCs w:val="21"/>
              <w:lang w:val="en-US" w:eastAsia="zh-CN"/>
            </w:rPr>
            <w:t>该项同比增加主要系本期销售量上升；</w:t>
          </w:r>
        </w:sdtContent>
      </w:sdt>
    </w:p>
    <w:p>
      <w:pPr>
        <w:pStyle w:val="63"/>
        <w:ind w:firstLine="0" w:firstLineChars="0"/>
        <w:jc w:val="left"/>
        <w:rPr>
          <w:rFonts w:ascii="宋体" w:hAnsi="宋体"/>
        </w:rPr>
      </w:pPr>
      <w:r>
        <w:rPr>
          <w:rFonts w:hint="eastAsia" w:ascii="宋体" w:hAnsi="宋体"/>
        </w:rPr>
        <w:t>营业成本变动原因说明：</w:t>
      </w:r>
      <w:sdt>
        <w:sdtPr>
          <w:rPr>
            <w:rFonts w:hint="eastAsia" w:ascii="宋体" w:hAnsi="宋体"/>
          </w:rPr>
          <w:alias w:val="营业成本变动原因说明"/>
          <w:tag w:val="_GBC_cc56ae4655044c7092acfc9c59da077d"/>
          <w:id w:val="25560"/>
          <w:placeholder>
            <w:docPart w:val="GBC22222222222222222222222222222"/>
          </w:placeholder>
        </w:sdtPr>
        <w:sdtEndPr>
          <w:rPr>
            <w:rFonts w:hint="eastAsia" w:ascii="宋体" w:hAnsi="宋体"/>
          </w:rPr>
        </w:sdtEndPr>
        <w:sdtContent>
          <w:sdt>
            <w:sdtPr>
              <w:rPr>
                <w:rFonts w:hint="eastAsia" w:ascii="Times New Roman" w:hAnsi="Times New Roman" w:eastAsia="宋体" w:cs="Times New Roman"/>
                <w:bCs/>
                <w:kern w:val="0"/>
                <w:sz w:val="21"/>
                <w:szCs w:val="24"/>
                <w:lang w:val="en-US" w:eastAsia="zh-CN" w:bidi="ar-SA"/>
              </w:rPr>
              <w:alias w:val="营业成本变动原因说明"/>
              <w:tag w:val="_GBC_4ab47071f9844da58abe164f6bd272aa"/>
              <w:id w:val="25561"/>
              <w:placeholder>
                <w:docPart w:val="{142b8925-845d-4c3d-9c0d-3930872f8b92}"/>
              </w:placeholder>
            </w:sdtPr>
            <w:sdtEndPr>
              <w:rPr>
                <w:rFonts w:hint="eastAsia" w:ascii="Times New Roman" w:hAnsi="Times New Roman" w:eastAsia="宋体" w:cs="Times New Roman"/>
                <w:bCs/>
                <w:kern w:val="0"/>
                <w:sz w:val="21"/>
                <w:szCs w:val="24"/>
                <w:lang w:val="en-US" w:eastAsia="zh-CN" w:bidi="ar-SA"/>
              </w:rPr>
            </w:sdtEndPr>
            <w:sdtContent>
              <w:r>
                <w:rPr>
                  <w:rFonts w:hint="eastAsia" w:ascii="Times New Roman" w:hAnsi="Times New Roman" w:cs="Times New Roman"/>
                  <w:bCs/>
                  <w:kern w:val="0"/>
                  <w:sz w:val="21"/>
                  <w:szCs w:val="24"/>
                  <w:lang w:val="en-US" w:eastAsia="zh-CN" w:bidi="ar-SA"/>
                </w:rPr>
                <w:t>该项同比增加</w:t>
              </w:r>
              <w:r>
                <w:rPr>
                  <w:rFonts w:hint="eastAsia" w:ascii="Times New Roman" w:hAnsi="Times New Roman" w:eastAsia="宋体" w:cs="Times New Roman"/>
                  <w:bCs/>
                  <w:kern w:val="0"/>
                  <w:sz w:val="21"/>
                  <w:szCs w:val="24"/>
                  <w:lang w:val="en-US" w:eastAsia="zh-CN" w:bidi="ar-SA"/>
                </w:rPr>
                <w:t>主要</w:t>
              </w:r>
              <w:r>
                <w:rPr>
                  <w:rFonts w:hint="eastAsia" w:ascii="Times New Roman" w:hAnsi="Times New Roman" w:cs="Times New Roman"/>
                  <w:bCs/>
                  <w:kern w:val="0"/>
                  <w:sz w:val="21"/>
                  <w:szCs w:val="24"/>
                  <w:lang w:val="en-US" w:eastAsia="zh-CN" w:bidi="ar-SA"/>
                </w:rPr>
                <w:t>系本期</w:t>
              </w:r>
              <w:r>
                <w:rPr>
                  <w:rFonts w:hint="eastAsia" w:ascii="Times New Roman" w:hAnsi="Times New Roman" w:eastAsia="宋体" w:cs="Times New Roman"/>
                  <w:bCs/>
                  <w:kern w:val="0"/>
                  <w:sz w:val="21"/>
                  <w:szCs w:val="24"/>
                  <w:lang w:val="en-US" w:eastAsia="zh-CN" w:bidi="ar-SA"/>
                </w:rPr>
                <w:t>销售量上升，营业成本增加；</w:t>
              </w:r>
            </w:sdtContent>
          </w:sdt>
        </w:sdtContent>
      </w:sdt>
    </w:p>
    <w:p>
      <w:pPr>
        <w:pStyle w:val="63"/>
        <w:ind w:firstLine="0" w:firstLineChars="0"/>
        <w:jc w:val="left"/>
        <w:rPr>
          <w:rFonts w:ascii="宋体" w:hAnsi="宋体"/>
        </w:rPr>
      </w:pPr>
      <w:r>
        <w:rPr>
          <w:rFonts w:hint="eastAsia" w:ascii="宋体" w:hAnsi="宋体"/>
          <w:szCs w:val="21"/>
          <w:lang w:val="en-US" w:eastAsia="zh-CN"/>
        </w:rPr>
        <w:t>经</w:t>
      </w:r>
      <w:r>
        <w:rPr>
          <w:rFonts w:ascii="宋体" w:hAnsi="宋体"/>
          <w:szCs w:val="21"/>
        </w:rPr>
        <w:t>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5968661d4f024738ae5c039168b68a45"/>
          <w:id w:val="25562"/>
          <w:placeholder>
            <w:docPart w:val="GBC22222222222222222222222222222"/>
          </w:placeholder>
        </w:sdtPr>
        <w:sdtEndPr>
          <w:rPr>
            <w:rFonts w:hint="eastAsia" w:ascii="宋体" w:hAnsi="宋体"/>
            <w:szCs w:val="21"/>
          </w:rPr>
        </w:sdtEndPr>
        <w:sdtContent>
          <w:r>
            <w:rPr>
              <w:rFonts w:hint="eastAsia" w:ascii="宋体" w:hAnsi="宋体"/>
              <w:szCs w:val="21"/>
              <w:lang w:val="en-US" w:eastAsia="zh-CN"/>
            </w:rPr>
            <w:t>该项同比增加主要系本期收入增加、销售商品收到的款项增加；</w:t>
          </w:r>
        </w:sdtContent>
      </w:sdt>
    </w:p>
    <w:p>
      <w:pPr>
        <w:pStyle w:val="63"/>
        <w:ind w:firstLine="0" w:firstLineChars="0"/>
        <w:jc w:val="left"/>
        <w:rPr>
          <w:rFonts w:ascii="宋体" w:hAnsi="宋体"/>
        </w:rPr>
      </w:pPr>
      <w:r>
        <w:rPr>
          <w:rFonts w:ascii="宋体" w:hAnsi="宋体"/>
          <w:szCs w:val="21"/>
        </w:rPr>
        <w:t>投资活动产生的现金流量净额</w:t>
      </w:r>
      <w:r>
        <w:rPr>
          <w:rFonts w:hint="eastAsia" w:ascii="宋体" w:hAnsi="宋体"/>
          <w:szCs w:val="21"/>
        </w:rPr>
        <w:t>变动原因说明：</w:t>
      </w:r>
      <w:sdt>
        <w:sdtPr>
          <w:rPr>
            <w:rFonts w:hint="eastAsia" w:ascii="宋体" w:hAnsi="宋体"/>
            <w:szCs w:val="21"/>
          </w:rPr>
          <w:alias w:val="投资活动产生的现金流量净额变动原因说明"/>
          <w:tag w:val="_GBC_08880b3f89054510a8ebc03403516e54"/>
          <w:id w:val="25563"/>
          <w:placeholder>
            <w:docPart w:val="GBC22222222222222222222222222222"/>
          </w:placeholder>
        </w:sdtPr>
        <w:sdtEndPr>
          <w:rPr>
            <w:rFonts w:hint="eastAsia" w:ascii="宋体" w:hAnsi="宋体"/>
            <w:szCs w:val="21"/>
          </w:rPr>
        </w:sdtEndPr>
        <w:sdtContent>
          <w:r>
            <w:rPr>
              <w:rFonts w:hint="eastAsia" w:ascii="宋体" w:hAnsi="宋体"/>
              <w:szCs w:val="21"/>
              <w:lang w:val="en-US" w:eastAsia="zh-CN"/>
            </w:rPr>
            <w:t>该项同比增加主要系上年同期参与申购中信证券配股，详见</w:t>
          </w:r>
          <w:r>
            <w:rPr>
              <w:rFonts w:hint="default" w:ascii="Times New Roman" w:hAnsi="Times New Roman" w:cs="Times New Roman"/>
              <w:szCs w:val="21"/>
              <w:lang w:val="en-US" w:eastAsia="zh-CN"/>
            </w:rPr>
            <w:t>公告2022-001</w:t>
          </w:r>
          <w:r>
            <w:rPr>
              <w:rFonts w:hint="eastAsia" w:ascii="宋体" w:hAnsi="宋体"/>
              <w:szCs w:val="21"/>
              <w:lang w:val="en-US" w:eastAsia="zh-CN"/>
            </w:rPr>
            <w:t>，本期无此项目。</w:t>
          </w:r>
        </w:sdtContent>
      </w:sdt>
    </w:p>
    <w:p>
      <w:pPr>
        <w:pStyle w:val="63"/>
        <w:ind w:firstLine="0" w:firstLineChars="0"/>
        <w:jc w:val="left"/>
        <w:rPr>
          <w:rFonts w:ascii="宋体" w:hAnsi="宋体"/>
        </w:rPr>
      </w:pPr>
      <w:r>
        <w:rPr>
          <w:rFonts w:ascii="宋体" w:hAnsi="宋体"/>
          <w:szCs w:val="21"/>
        </w:rPr>
        <w:t>筹资活动产生的现金流量净额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69e60bcce703432885fa32dfc7a0a266"/>
          <w:id w:val="25564"/>
          <w:placeholder>
            <w:docPart w:val="GBC22222222222222222222222222222"/>
          </w:placeholder>
        </w:sdtPr>
        <w:sdtEndPr>
          <w:rPr>
            <w:rFonts w:hint="eastAsia" w:ascii="宋体" w:hAnsi="宋体"/>
            <w:szCs w:val="21"/>
          </w:rPr>
        </w:sdtEndPr>
        <w:sdtContent>
          <w:r>
            <w:rPr>
              <w:rFonts w:hint="eastAsia" w:ascii="宋体" w:hAnsi="宋体"/>
              <w:szCs w:val="21"/>
              <w:lang w:val="en-US" w:eastAsia="zh-CN"/>
            </w:rPr>
            <w:t>该项同比增加主要系本期借款较上年同期增加。</w:t>
          </w:r>
        </w:sdtContent>
      </w:sdt>
    </w:p>
    <w:bookmarkEnd w:id="32"/>
    <w:bookmarkEnd w:id="33"/>
    <w:p/>
    <w:p>
      <w:bookmarkStart w:id="34"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25565"/>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34"/>
    <w:p>
      <w:pPr>
        <w:pStyle w:val="5"/>
        <w:numPr>
          <w:ilvl w:val="0"/>
          <w:numId w:val="9"/>
        </w:numPr>
      </w:pPr>
      <w:r>
        <w:rPr>
          <w:rFonts w:hint="eastAsia"/>
        </w:rPr>
        <w:t>收入和成本分析</w:t>
      </w:r>
    </w:p>
    <w:sdt>
      <w:sdtPr>
        <w:alias w:val="是否适用：收入和成本分析[双击切换]"/>
        <w:tag w:val="_GBC_c1a771ff956341da84dd26322335800f"/>
        <w:id w:val="2556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25567"/>
        <w:placeholder>
          <w:docPart w:val="GBC22222222222222222222222222222"/>
        </w:placeholder>
      </w:sdtPr>
      <w:sdtEndPr>
        <w:rPr>
          <w:rFonts w:hint="eastAsia"/>
        </w:rPr>
      </w:sdtEndPr>
      <w:sdtContent>
        <w:p>
          <w:pPr>
            <w:tabs>
              <w:tab w:val="left" w:pos="851"/>
            </w:tabs>
          </w:pPr>
          <w:r>
            <w:rPr>
              <w:rFonts w:hint="eastAsia"/>
              <w:lang w:val="en-US" w:eastAsia="zh-CN"/>
            </w:rPr>
            <w:t>详见下表。</w:t>
          </w:r>
        </w:p>
      </w:sdtContent>
    </w:sdt>
    <w:p>
      <w:pPr>
        <w:tabs>
          <w:tab w:val="left" w:pos="851"/>
        </w:tabs>
      </w:pPr>
    </w:p>
    <w:p>
      <w:pPr>
        <w:pStyle w:val="6"/>
        <w:numPr>
          <w:ilvl w:val="0"/>
          <w:numId w:val="10"/>
        </w:numPr>
        <w:tabs>
          <w:tab w:val="left" w:pos="567"/>
        </w:tabs>
        <w:ind w:left="105" w:firstLine="0"/>
      </w:pPr>
      <w:bookmarkStart w:id="35" w:name="_Toc342559756"/>
      <w:bookmarkStart w:id="36" w:name="_Toc340829716"/>
      <w:bookmarkStart w:id="37" w:name="_Toc342565904"/>
      <w:bookmarkStart w:id="38" w:name="_Hlk89876312"/>
      <w:r>
        <w:t>主营业务</w:t>
      </w:r>
      <w:r>
        <w:rPr>
          <w:rFonts w:hint="eastAsia"/>
        </w:rPr>
        <w:t>分</w:t>
      </w:r>
      <w:r>
        <w:t>行业</w:t>
      </w:r>
      <w:r>
        <w:rPr>
          <w:rFonts w:hint="eastAsia"/>
        </w:rPr>
        <w:t>、分</w:t>
      </w:r>
      <w:r>
        <w:t>产品</w:t>
      </w:r>
      <w:r>
        <w:rPr>
          <w:rFonts w:hint="eastAsia"/>
        </w:rPr>
        <w:t>、分地区、分销售模式情况</w:t>
      </w:r>
      <w:bookmarkEnd w:id="35"/>
      <w:bookmarkEnd w:id="36"/>
      <w:bookmarkEnd w:id="37"/>
    </w:p>
    <w:p/>
    <w:p>
      <w:pPr>
        <w:jc w:val="right"/>
      </w:pPr>
      <w:r>
        <w:rPr>
          <w:rFonts w:hint="eastAsia"/>
          <w:szCs w:val="21"/>
        </w:rPr>
        <w:t>单位</w:t>
      </w:r>
      <w:r>
        <w:rPr>
          <w:szCs w:val="21"/>
        </w:rPr>
        <w:t>:</w:t>
      </w:r>
      <w:sdt>
        <w:sdtPr>
          <w:rPr>
            <w:szCs w:val="21"/>
          </w:rPr>
          <w:alias w:val="单位：主营业务分行业、分产品情况表"/>
          <w:tag w:val="_GBC_f77c8e6b92b44adf9014b95a44af704b"/>
          <w:id w:val="25568"/>
          <w:placeholder>
            <w:docPart w:val="{f64598f7-dda8-485d-8931-5b4a879e0940}"/>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25569"/>
          <w:placeholder>
            <w:docPart w:val="{f64598f7-dda8-485d-8931-5b4a879e094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pPr w:leftFromText="180" w:rightFromText="180" w:vertAnchor="text" w:horzAnchor="page" w:tblpX="1273" w:tblpY="25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762"/>
        <w:gridCol w:w="1713"/>
        <w:gridCol w:w="900"/>
        <w:gridCol w:w="1087"/>
        <w:gridCol w:w="110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b5033a4d190942bd99650d59a8d741f9"/>
            <w:id w:val="3356"/>
          </w:sdtPr>
          <w:sdtEndPr>
            <w:rPr>
              <w:rFonts w:ascii="Times New Roman" w:hAnsi="Times New Roman" w:eastAsia="宋体"/>
            </w:rPr>
          </w:sdtEndPr>
          <w:sdtContent>
            <w:tc>
              <w:tcPr>
                <w:tcW w:w="5000" w:type="pct"/>
                <w:gridSpan w:val="7"/>
                <w:vAlign w:val="center"/>
              </w:tcPr>
              <w:p>
                <w:pPr>
                  <w:widowControl w:val="0"/>
                  <w:jc w:val="center"/>
                  <w:rPr>
                    <w:rFonts w:ascii="Times New Roman" w:hAnsi="Times New Roman" w:eastAsia="宋体"/>
                    <w:szCs w:val="21"/>
                  </w:rPr>
                </w:pPr>
                <w:r>
                  <w:rPr>
                    <w:rFonts w:hint="eastAsia" w:ascii="Times New Roman" w:hAnsi="Times New Roman" w:eastAsia="宋体"/>
                    <w:szCs w:val="21"/>
                  </w:rPr>
                  <w:t>主营业务分行业情况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ab888f46a9d64f09b94dccfab854ad45"/>
            <w:id w:val="3357"/>
          </w:sdtPr>
          <w:sdtEndPr>
            <w:rPr>
              <w:rFonts w:ascii="Times New Roman" w:hAnsi="Times New Roman" w:eastAsia="宋体"/>
            </w:rPr>
          </w:sdtEndPr>
          <w:sdtContent>
            <w:tc>
              <w:tcPr>
                <w:tcW w:w="750" w:type="pct"/>
                <w:vAlign w:val="center"/>
              </w:tcPr>
              <w:p>
                <w:pPr>
                  <w:widowControl w:val="0"/>
                  <w:jc w:val="center"/>
                  <w:rPr>
                    <w:rFonts w:ascii="Times New Roman" w:hAnsi="Times New Roman" w:eastAsia="宋体"/>
                    <w:szCs w:val="21"/>
                  </w:rPr>
                </w:pPr>
                <w:r>
                  <w:rPr>
                    <w:rFonts w:ascii="Times New Roman" w:hAnsi="Times New Roman" w:eastAsia="宋体"/>
                    <w:szCs w:val="21"/>
                  </w:rPr>
                  <w:t>分行业</w:t>
                </w:r>
              </w:p>
            </w:tc>
          </w:sdtContent>
        </w:sdt>
        <w:sdt>
          <w:sdtPr>
            <w:rPr>
              <w:rFonts w:ascii="Times New Roman" w:hAnsi="Times New Roman" w:eastAsia="宋体"/>
            </w:rPr>
            <w:tag w:val="_PLD_7fe8bd490c23482eac6c726b40c3125c"/>
            <w:id w:val="3358"/>
          </w:sdtPr>
          <w:sdtEndPr>
            <w:rPr>
              <w:rFonts w:ascii="Times New Roman" w:hAnsi="Times New Roman" w:eastAsia="宋体"/>
            </w:rPr>
          </w:sdtEndPr>
          <w:sdtContent>
            <w:tc>
              <w:tcPr>
                <w:tcW w:w="973" w:type="pct"/>
                <w:vAlign w:val="center"/>
              </w:tcPr>
              <w:p>
                <w:pPr>
                  <w:widowControl w:val="0"/>
                  <w:jc w:val="center"/>
                  <w:rPr>
                    <w:rFonts w:ascii="Times New Roman" w:hAnsi="Times New Roman" w:eastAsia="宋体"/>
                    <w:szCs w:val="21"/>
                  </w:rPr>
                </w:pPr>
                <w:r>
                  <w:rPr>
                    <w:rFonts w:ascii="Times New Roman" w:hAnsi="Times New Roman" w:eastAsia="宋体"/>
                    <w:szCs w:val="21"/>
                  </w:rPr>
                  <w:t>营业收入</w:t>
                </w:r>
              </w:p>
            </w:tc>
          </w:sdtContent>
        </w:sdt>
        <w:sdt>
          <w:sdtPr>
            <w:rPr>
              <w:rFonts w:ascii="Times New Roman" w:hAnsi="Times New Roman" w:eastAsia="宋体"/>
            </w:rPr>
            <w:tag w:val="_PLD_43ea5bcd646542838f56af8b6a2863cb"/>
            <w:id w:val="3359"/>
          </w:sdtPr>
          <w:sdtEndPr>
            <w:rPr>
              <w:rFonts w:ascii="Times New Roman" w:hAnsi="Times New Roman" w:eastAsia="宋体"/>
            </w:rPr>
          </w:sdtEndPr>
          <w:sdtContent>
            <w:tc>
              <w:tcPr>
                <w:tcW w:w="946" w:type="pct"/>
                <w:vAlign w:val="center"/>
              </w:tcPr>
              <w:p>
                <w:pPr>
                  <w:widowControl w:val="0"/>
                  <w:jc w:val="center"/>
                  <w:rPr>
                    <w:rFonts w:ascii="Times New Roman" w:hAnsi="Times New Roman" w:eastAsia="宋体"/>
                    <w:szCs w:val="21"/>
                  </w:rPr>
                </w:pPr>
                <w:r>
                  <w:rPr>
                    <w:rFonts w:ascii="Times New Roman" w:hAnsi="Times New Roman" w:eastAsia="宋体"/>
                    <w:szCs w:val="21"/>
                  </w:rPr>
                  <w:t>营业成本</w:t>
                </w:r>
              </w:p>
            </w:tc>
          </w:sdtContent>
        </w:sdt>
        <w:sdt>
          <w:sdtPr>
            <w:rPr>
              <w:rFonts w:ascii="Times New Roman" w:hAnsi="Times New Roman" w:eastAsia="宋体"/>
            </w:rPr>
            <w:tag w:val="_PLD_2beea8e29ca14ce68ca930225f6b78ba"/>
            <w:id w:val="3360"/>
          </w:sdtPr>
          <w:sdtEndPr>
            <w:rPr>
              <w:rFonts w:ascii="Times New Roman" w:hAnsi="Times New Roman" w:eastAsia="宋体"/>
            </w:rPr>
          </w:sdtEndPr>
          <w:sdtContent>
            <w:tc>
              <w:tcPr>
                <w:tcW w:w="49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r>
                  <w:rPr>
                    <w:rFonts w:ascii="Times New Roman" w:hAnsi="Times New Roman" w:eastAsia="宋体"/>
                    <w:szCs w:val="21"/>
                  </w:rPr>
                  <w:t>（</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f9dadced328346f0b76bc97b709dc071"/>
            <w:id w:val="3361"/>
          </w:sdtPr>
          <w:sdtEndPr>
            <w:rPr>
              <w:rFonts w:ascii="Times New Roman" w:hAnsi="Times New Roman" w:eastAsia="宋体"/>
            </w:rPr>
          </w:sdtEndPr>
          <w:sdtContent>
            <w:tc>
              <w:tcPr>
                <w:tcW w:w="600" w:type="pct"/>
                <w:vAlign w:val="center"/>
              </w:tcPr>
              <w:p>
                <w:pPr>
                  <w:widowControl w:val="0"/>
                  <w:jc w:val="center"/>
                  <w:rPr>
                    <w:rFonts w:ascii="Times New Roman" w:hAnsi="Times New Roman" w:eastAsia="宋体"/>
                    <w:szCs w:val="21"/>
                  </w:rPr>
                </w:pPr>
                <w:r>
                  <w:rPr>
                    <w:rFonts w:ascii="Times New Roman" w:hAnsi="Times New Roman" w:eastAsia="宋体"/>
                    <w:szCs w:val="21"/>
                  </w:rPr>
                  <w:t>营业收入比上年增减（</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c02171812b4a4964854b289e6b6282d1"/>
            <w:id w:val="3362"/>
          </w:sdtPr>
          <w:sdtEndPr>
            <w:rPr>
              <w:rFonts w:ascii="Times New Roman" w:hAnsi="Times New Roman" w:eastAsia="宋体"/>
            </w:rPr>
          </w:sdtEndPr>
          <w:sdtContent>
            <w:tc>
              <w:tcPr>
                <w:tcW w:w="607" w:type="pct"/>
                <w:vAlign w:val="center"/>
              </w:tcPr>
              <w:p>
                <w:pPr>
                  <w:widowControl w:val="0"/>
                  <w:jc w:val="center"/>
                  <w:rPr>
                    <w:rFonts w:ascii="Times New Roman" w:hAnsi="Times New Roman" w:eastAsia="宋体"/>
                    <w:szCs w:val="21"/>
                  </w:rPr>
                </w:pPr>
                <w:r>
                  <w:rPr>
                    <w:rFonts w:ascii="Times New Roman" w:hAnsi="Times New Roman" w:eastAsia="宋体"/>
                    <w:szCs w:val="21"/>
                  </w:rPr>
                  <w:t>营业成本比上年增减（</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6ec6853f40254c1e8badc94bd41729ab"/>
            <w:id w:val="3363"/>
          </w:sdtPr>
          <w:sdtEndPr>
            <w:rPr>
              <w:rFonts w:ascii="Times New Roman" w:hAnsi="Times New Roman" w:eastAsia="宋体"/>
            </w:rPr>
          </w:sdtEndPr>
          <w:sdtContent>
            <w:tc>
              <w:tcPr>
                <w:tcW w:w="62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r>
                  <w:rPr>
                    <w:rFonts w:ascii="Times New Roman" w:hAnsi="Times New Roman" w:eastAsia="宋体"/>
                    <w:szCs w:val="21"/>
                  </w:rPr>
                  <w:t>比上年增减（</w:t>
                </w:r>
                <w:r>
                  <w:rPr>
                    <w:rFonts w:hint="eastAsia" w:ascii="Times New Roman" w:hAnsi="Times New Roman" w:eastAsia="宋体"/>
                    <w:szCs w:val="21"/>
                  </w:rPr>
                  <w:t>%</w:t>
                </w:r>
                <w:r>
                  <w:rPr>
                    <w:rFonts w:ascii="Times New Roman" w:hAnsi="Times New Roman" w:eastAsia="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工业制造业</w:t>
            </w:r>
          </w:p>
        </w:tc>
        <w:tc>
          <w:tcPr>
            <w:tcW w:w="973" w:type="pct"/>
            <w:vAlign w:val="center"/>
          </w:tcPr>
          <w:p>
            <w:pPr>
              <w:widowControl w:val="0"/>
              <w:jc w:val="right"/>
              <w:rPr>
                <w:rFonts w:hint="eastAsia" w:ascii="Times New Roman" w:hAnsi="Times New Roman" w:eastAsia="宋体" w:cs="Times New Roman"/>
                <w:i w:val="0"/>
                <w:iCs w:val="0"/>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974,204,200.69 </w:t>
            </w:r>
          </w:p>
        </w:tc>
        <w:tc>
          <w:tcPr>
            <w:tcW w:w="946" w:type="pct"/>
            <w:vAlign w:val="center"/>
          </w:tcPr>
          <w:p>
            <w:pPr>
              <w:widowControl w:val="0"/>
              <w:jc w:val="right"/>
              <w:rPr>
                <w:rFonts w:hint="eastAsia" w:ascii="Times New Roman" w:hAnsi="Times New Roman" w:eastAsia="宋体" w:cs="Times New Roman"/>
                <w:i w:val="0"/>
                <w:iCs w:val="0"/>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812,895,107.69 </w:t>
            </w:r>
          </w:p>
        </w:tc>
        <w:tc>
          <w:tcPr>
            <w:tcW w:w="497" w:type="pct"/>
            <w:vAlign w:val="center"/>
          </w:tcPr>
          <w:p>
            <w:pPr>
              <w:keepNext w:val="0"/>
              <w:keepLines w:val="0"/>
              <w:widowControl/>
              <w:suppressLineNumbers w:val="0"/>
              <w:jc w:val="right"/>
              <w:textAlignment w:val="top"/>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16.56 </w:t>
            </w:r>
          </w:p>
        </w:tc>
        <w:tc>
          <w:tcPr>
            <w:tcW w:w="600" w:type="pct"/>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sz w:val="21"/>
                <w:szCs w:val="21"/>
                <w:u w:val="none"/>
                <w:lang w:val="en-US" w:eastAsia="zh-CN" w:bidi="ar-SA"/>
              </w:rPr>
              <w:t>51.89</w:t>
            </w:r>
          </w:p>
        </w:tc>
        <w:tc>
          <w:tcPr>
            <w:tcW w:w="607" w:type="pct"/>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sz w:val="21"/>
                <w:szCs w:val="21"/>
                <w:u w:val="none"/>
                <w:lang w:val="en-US" w:eastAsia="zh-CN" w:bidi="ar-SA"/>
              </w:rPr>
              <w:t>51.34</w:t>
            </w:r>
          </w:p>
        </w:tc>
        <w:tc>
          <w:tcPr>
            <w:tcW w:w="623" w:type="pct"/>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lang w:eastAsia="zh-CN"/>
              </w:rPr>
              <w:t>增加0.31个百分点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ascii="Times New Roman" w:hAnsi="Times New Roman" w:eastAsia="宋体" w:cs="宋体"/>
                <w:kern w:val="0"/>
                <w:szCs w:val="21"/>
              </w:rPr>
            </w:pPr>
            <w:r>
              <w:rPr>
                <w:rFonts w:hint="eastAsia" w:ascii="Times New Roman" w:hAnsi="Times New Roman" w:eastAsia="宋体" w:cs="宋体"/>
                <w:kern w:val="0"/>
                <w:szCs w:val="21"/>
              </w:rPr>
              <w:t>商业贸易</w:t>
            </w:r>
          </w:p>
        </w:tc>
        <w:tc>
          <w:tcPr>
            <w:tcW w:w="973" w:type="pct"/>
            <w:vAlign w:val="center"/>
          </w:tcPr>
          <w:p>
            <w:pPr>
              <w:widowControl w:val="0"/>
              <w:jc w:val="right"/>
              <w:rPr>
                <w:rFonts w:ascii="Times New Roman" w:hAnsi="Times New Roman" w:eastAsia="宋体"/>
                <w:szCs w:val="21"/>
              </w:rPr>
            </w:pPr>
            <w:r>
              <w:rPr>
                <w:rFonts w:ascii="Times New Roman" w:hAnsi="Times New Roman" w:eastAsia="宋体"/>
                <w:color w:val="auto"/>
              </w:rPr>
              <w:t>9,889,605.92 </w:t>
            </w:r>
          </w:p>
        </w:tc>
        <w:tc>
          <w:tcPr>
            <w:tcW w:w="946" w:type="pct"/>
            <w:vAlign w:val="center"/>
          </w:tcPr>
          <w:p>
            <w:pPr>
              <w:widowControl w:val="0"/>
              <w:jc w:val="right"/>
              <w:rPr>
                <w:rFonts w:ascii="Times New Roman" w:hAnsi="Times New Roman" w:eastAsia="宋体"/>
                <w:szCs w:val="21"/>
              </w:rPr>
            </w:pPr>
            <w:r>
              <w:rPr>
                <w:rFonts w:ascii="Times New Roman" w:hAnsi="Times New Roman" w:eastAsia="宋体"/>
                <w:color w:val="auto"/>
              </w:rPr>
              <w:t>8,842,782.46 </w:t>
            </w:r>
          </w:p>
        </w:tc>
        <w:tc>
          <w:tcPr>
            <w:tcW w:w="497" w:type="pct"/>
            <w:vAlign w:val="center"/>
          </w:tcPr>
          <w:p>
            <w:pPr>
              <w:keepNext w:val="0"/>
              <w:keepLines w:val="0"/>
              <w:widowControl/>
              <w:suppressLineNumbers w:val="0"/>
              <w:jc w:val="right"/>
              <w:textAlignment w:val="top"/>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10.59 </w:t>
            </w:r>
          </w:p>
        </w:tc>
        <w:tc>
          <w:tcPr>
            <w:tcW w:w="600" w:type="pct"/>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-49.02</w:t>
            </w:r>
          </w:p>
        </w:tc>
        <w:tc>
          <w:tcPr>
            <w:tcW w:w="607" w:type="pct"/>
            <w:vAlign w:val="center"/>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-50.24</w:t>
            </w:r>
          </w:p>
        </w:tc>
        <w:tc>
          <w:tcPr>
            <w:tcW w:w="623" w:type="pct"/>
            <w:vAlign w:val="top"/>
          </w:tcPr>
          <w:p>
            <w:pPr>
              <w:keepNext w:val="0"/>
              <w:keepLines w:val="0"/>
              <w:widowControl/>
              <w:suppressLineNumbers w:val="0"/>
              <w:jc w:val="right"/>
              <w:textAlignment w:val="top"/>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增加2.20个百分点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49258193d94b4f5fa47e482cd615784f"/>
            <w:id w:val="3364"/>
          </w:sdtPr>
          <w:sdtEndPr>
            <w:rPr>
              <w:rFonts w:ascii="Times New Roman" w:hAnsi="Times New Roman" w:eastAsia="宋体"/>
            </w:rPr>
          </w:sdtEndPr>
          <w:sdtContent>
            <w:tc>
              <w:tcPr>
                <w:tcW w:w="5000" w:type="pct"/>
                <w:gridSpan w:val="7"/>
                <w:vAlign w:val="center"/>
              </w:tcPr>
              <w:p>
                <w:pPr>
                  <w:widowControl w:val="0"/>
                  <w:jc w:val="center"/>
                  <w:rPr>
                    <w:rFonts w:ascii="Times New Roman" w:hAnsi="Times New Roman" w:eastAsia="宋体"/>
                    <w:szCs w:val="21"/>
                  </w:rPr>
                </w:pPr>
                <w:r>
                  <w:rPr>
                    <w:rFonts w:hint="eastAsia" w:ascii="Times New Roman" w:hAnsi="Times New Roman" w:eastAsia="宋体"/>
                    <w:szCs w:val="21"/>
                  </w:rPr>
                  <w:t>主营业务分产品情况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1d72749a5d4248359cb1b92e381ef722"/>
            <w:id w:val="3365"/>
          </w:sdtPr>
          <w:sdtEndPr>
            <w:rPr>
              <w:rFonts w:ascii="Times New Roman" w:hAnsi="Times New Roman" w:eastAsia="宋体"/>
            </w:rPr>
          </w:sdtEndPr>
          <w:sdtContent>
            <w:tc>
              <w:tcPr>
                <w:tcW w:w="750" w:type="pct"/>
                <w:vAlign w:val="center"/>
              </w:tcPr>
              <w:p>
                <w:pPr>
                  <w:pStyle w:val="63"/>
                  <w:ind w:firstLine="0" w:firstLineChars="0"/>
                  <w:jc w:val="center"/>
                  <w:rPr>
                    <w:rFonts w:ascii="Times New Roman" w:hAnsi="Times New Roman" w:eastAsia="宋体"/>
                    <w:szCs w:val="21"/>
                  </w:rPr>
                </w:pPr>
                <w:r>
                  <w:rPr>
                    <w:rFonts w:hint="eastAsia" w:ascii="Times New Roman" w:hAnsi="Times New Roman" w:eastAsia="宋体"/>
                    <w:szCs w:val="21"/>
                  </w:rPr>
                  <w:t>分产品</w:t>
                </w:r>
              </w:p>
            </w:tc>
          </w:sdtContent>
        </w:sdt>
        <w:sdt>
          <w:sdtPr>
            <w:rPr>
              <w:rFonts w:ascii="Times New Roman" w:hAnsi="Times New Roman" w:eastAsia="宋体"/>
            </w:rPr>
            <w:tag w:val="_PLD_5e318ae25ee540258ffd6821c201e0af"/>
            <w:id w:val="3366"/>
          </w:sdtPr>
          <w:sdtEndPr>
            <w:rPr>
              <w:rFonts w:ascii="Times New Roman" w:hAnsi="Times New Roman" w:eastAsia="宋体"/>
            </w:rPr>
          </w:sdtEndPr>
          <w:sdtContent>
            <w:tc>
              <w:tcPr>
                <w:tcW w:w="97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营业收入</w:t>
                </w:r>
              </w:p>
            </w:tc>
          </w:sdtContent>
        </w:sdt>
        <w:sdt>
          <w:sdtPr>
            <w:rPr>
              <w:rFonts w:ascii="Times New Roman" w:hAnsi="Times New Roman" w:eastAsia="宋体"/>
            </w:rPr>
            <w:tag w:val="_PLD_d7023b8e0b18494eaae569b7bcd4781f"/>
            <w:id w:val="3367"/>
          </w:sdtPr>
          <w:sdtEndPr>
            <w:rPr>
              <w:rFonts w:ascii="Times New Roman" w:hAnsi="Times New Roman" w:eastAsia="宋体"/>
            </w:rPr>
          </w:sdtEndPr>
          <w:sdtContent>
            <w:tc>
              <w:tcPr>
                <w:tcW w:w="946"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营业成本</w:t>
                </w:r>
              </w:p>
            </w:tc>
          </w:sdtContent>
        </w:sdt>
        <w:sdt>
          <w:sdtPr>
            <w:rPr>
              <w:rFonts w:ascii="Times New Roman" w:hAnsi="Times New Roman" w:eastAsia="宋体"/>
            </w:rPr>
            <w:tag w:val="_PLD_c7e7c31f672744488b53ec34a4e0abde"/>
            <w:id w:val="3368"/>
          </w:sdtPr>
          <w:sdtEndPr>
            <w:rPr>
              <w:rFonts w:ascii="Times New Roman" w:hAnsi="Times New Roman" w:eastAsia="宋体"/>
            </w:rPr>
          </w:sdtEndPr>
          <w:sdtContent>
            <w:tc>
              <w:tcPr>
                <w:tcW w:w="49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p>
            </w:tc>
          </w:sdtContent>
        </w:sdt>
        <w:sdt>
          <w:sdtPr>
            <w:rPr>
              <w:rFonts w:ascii="Times New Roman" w:hAnsi="Times New Roman" w:eastAsia="宋体"/>
            </w:rPr>
            <w:tag w:val="_PLD_0ca65e94b76d4933977b3fe13864caf2"/>
            <w:id w:val="3369"/>
          </w:sdtPr>
          <w:sdtEndPr>
            <w:rPr>
              <w:rFonts w:ascii="Times New Roman" w:hAnsi="Times New Roman" w:eastAsia="宋体"/>
            </w:rPr>
          </w:sdtEndPr>
          <w:sdtContent>
            <w:tc>
              <w:tcPr>
                <w:tcW w:w="600"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营业收入比上年增减（%）</w:t>
                </w:r>
              </w:p>
            </w:tc>
          </w:sdtContent>
        </w:sdt>
        <w:sdt>
          <w:sdtPr>
            <w:rPr>
              <w:rFonts w:ascii="Times New Roman" w:hAnsi="Times New Roman" w:eastAsia="宋体"/>
            </w:rPr>
            <w:tag w:val="_PLD_0fcddf8af1ce40e3bbe0b8e78c8c2496"/>
            <w:id w:val="3370"/>
          </w:sdtPr>
          <w:sdtEndPr>
            <w:rPr>
              <w:rFonts w:ascii="Times New Roman" w:hAnsi="Times New Roman" w:eastAsia="宋体"/>
            </w:rPr>
          </w:sdtEndPr>
          <w:sdtContent>
            <w:tc>
              <w:tcPr>
                <w:tcW w:w="60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营业成本比上年增减（%）</w:t>
                </w:r>
              </w:p>
            </w:tc>
          </w:sdtContent>
        </w:sdt>
        <w:sdt>
          <w:sdtPr>
            <w:rPr>
              <w:rFonts w:ascii="Times New Roman" w:hAnsi="Times New Roman" w:eastAsia="宋体"/>
            </w:rPr>
            <w:tag w:val="_PLD_fd695ef26ff948df8cd16c66ef5ffea9"/>
            <w:id w:val="3371"/>
          </w:sdtPr>
          <w:sdtEndPr>
            <w:rPr>
              <w:rFonts w:ascii="Times New Roman" w:hAnsi="Times New Roman" w:eastAsia="宋体"/>
            </w:rPr>
          </w:sdtEndPr>
          <w:sdtContent>
            <w:tc>
              <w:tcPr>
                <w:tcW w:w="62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r>
                  <w:rPr>
                    <w:rFonts w:ascii="Times New Roman" w:hAnsi="Times New Roman" w:eastAsia="宋体"/>
                    <w:szCs w:val="21"/>
                  </w:rPr>
                  <w:t>比上年增减（</w:t>
                </w:r>
                <w:r>
                  <w:rPr>
                    <w:rFonts w:hint="eastAsia" w:ascii="Times New Roman" w:hAnsi="Times New Roman" w:eastAsia="宋体"/>
                    <w:szCs w:val="21"/>
                  </w:rPr>
                  <w:t>%</w:t>
                </w:r>
                <w:r>
                  <w:rPr>
                    <w:rFonts w:ascii="Times New Roman" w:hAnsi="Times New Roman" w:eastAsia="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ascii="Times New Roman" w:hAnsi="Times New Roman" w:eastAsia="宋体" w:cs="宋体"/>
                <w:kern w:val="0"/>
                <w:szCs w:val="21"/>
              </w:rPr>
            </w:pPr>
            <w:r>
              <w:rPr>
                <w:rFonts w:ascii="Times New Roman" w:hAnsi="Times New Roman" w:eastAsia="宋体"/>
              </w:rPr>
              <w:t>日化产品</w:t>
            </w:r>
          </w:p>
        </w:tc>
        <w:tc>
          <w:tcPr>
            <w:tcW w:w="973" w:type="pct"/>
            <w:vAlign w:val="center"/>
          </w:tcPr>
          <w:p>
            <w:pPr>
              <w:widowControl w:val="0"/>
              <w:jc w:val="right"/>
              <w:rPr>
                <w:rFonts w:ascii="Times New Roman" w:hAnsi="Times New Roman" w:eastAsia="宋体"/>
                <w:szCs w:val="21"/>
              </w:rPr>
            </w:pPr>
            <w:r>
              <w:rPr>
                <w:rFonts w:ascii="Times New Roman" w:hAnsi="Times New Roman" w:eastAsia="宋体"/>
                <w:color w:val="auto"/>
              </w:rPr>
              <w:t>866,766,400.90 </w:t>
            </w:r>
          </w:p>
        </w:tc>
        <w:tc>
          <w:tcPr>
            <w:tcW w:w="946" w:type="pct"/>
            <w:vAlign w:val="center"/>
          </w:tcPr>
          <w:p>
            <w:pPr>
              <w:widowControl w:val="0"/>
              <w:jc w:val="right"/>
              <w:rPr>
                <w:rFonts w:ascii="Times New Roman" w:hAnsi="Times New Roman" w:eastAsia="宋体"/>
                <w:szCs w:val="21"/>
              </w:rPr>
            </w:pPr>
            <w:r>
              <w:rPr>
                <w:rFonts w:ascii="Times New Roman" w:hAnsi="Times New Roman" w:eastAsia="宋体"/>
                <w:color w:val="auto"/>
              </w:rPr>
              <w:t>747,649,694.63 </w:t>
            </w:r>
          </w:p>
        </w:tc>
        <w:tc>
          <w:tcPr>
            <w:tcW w:w="497" w:type="pct"/>
            <w:vAlign w:val="center"/>
          </w:tcPr>
          <w:p>
            <w:pPr>
              <w:widowControl w:val="0"/>
              <w:jc w:val="right"/>
              <w:rPr>
                <w:rFonts w:ascii="Times New Roman" w:hAnsi="Times New Roman" w:eastAsia="宋体"/>
                <w:szCs w:val="21"/>
              </w:rPr>
            </w:pPr>
            <w:r>
              <w:rPr>
                <w:rFonts w:ascii="Times New Roman" w:hAnsi="Times New Roman" w:eastAsia="宋体"/>
              </w:rPr>
              <w:t>13.74</w:t>
            </w:r>
          </w:p>
        </w:tc>
        <w:tc>
          <w:tcPr>
            <w:tcW w:w="600" w:type="pct"/>
            <w:vAlign w:val="center"/>
          </w:tcPr>
          <w:p>
            <w:pPr>
              <w:widowControl w:val="0"/>
              <w:jc w:val="right"/>
              <w:rPr>
                <w:rFonts w:ascii="Times New Roman" w:hAnsi="Times New Roman" w:eastAsia="宋体"/>
                <w:szCs w:val="21"/>
              </w:rPr>
            </w:pPr>
            <w:r>
              <w:rPr>
                <w:rFonts w:ascii="Times New Roman" w:hAnsi="Times New Roman" w:eastAsia="宋体"/>
              </w:rPr>
              <w:t>55.49</w:t>
            </w:r>
          </w:p>
        </w:tc>
        <w:tc>
          <w:tcPr>
            <w:tcW w:w="607" w:type="pct"/>
            <w:vAlign w:val="center"/>
          </w:tcPr>
          <w:p>
            <w:pPr>
              <w:widowControl w:val="0"/>
              <w:jc w:val="right"/>
              <w:rPr>
                <w:rFonts w:ascii="Times New Roman" w:hAnsi="Times New Roman" w:eastAsia="宋体"/>
                <w:szCs w:val="21"/>
              </w:rPr>
            </w:pPr>
            <w:r>
              <w:rPr>
                <w:rFonts w:ascii="Times New Roman" w:hAnsi="Times New Roman" w:eastAsia="宋体"/>
              </w:rPr>
              <w:t>55.37</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增加0.06个百分点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ascii="Times New Roman" w:hAnsi="Times New Roman" w:eastAsia="宋体" w:cs="宋体"/>
                <w:kern w:val="0"/>
                <w:szCs w:val="21"/>
              </w:rPr>
            </w:pPr>
            <w:r>
              <w:rPr>
                <w:rFonts w:ascii="Times New Roman" w:hAnsi="Times New Roman" w:eastAsia="宋体"/>
              </w:rPr>
              <w:t>药品</w:t>
            </w:r>
          </w:p>
        </w:tc>
        <w:tc>
          <w:tcPr>
            <w:tcW w:w="973" w:type="pct"/>
            <w:vAlign w:val="center"/>
          </w:tcPr>
          <w:p>
            <w:pPr>
              <w:widowControl w:val="0"/>
              <w:jc w:val="right"/>
              <w:rPr>
                <w:rFonts w:ascii="Times New Roman" w:hAnsi="Times New Roman" w:eastAsia="宋体"/>
                <w:szCs w:val="21"/>
              </w:rPr>
            </w:pPr>
            <w:r>
              <w:rPr>
                <w:rFonts w:ascii="Times New Roman" w:hAnsi="Times New Roman" w:eastAsia="宋体"/>
                <w:color w:val="auto"/>
              </w:rPr>
              <w:t>107,437,799.79 </w:t>
            </w:r>
          </w:p>
        </w:tc>
        <w:tc>
          <w:tcPr>
            <w:tcW w:w="946" w:type="pct"/>
            <w:vAlign w:val="center"/>
          </w:tcPr>
          <w:p>
            <w:pPr>
              <w:widowControl w:val="0"/>
              <w:jc w:val="right"/>
              <w:rPr>
                <w:rFonts w:ascii="Times New Roman" w:hAnsi="Times New Roman" w:eastAsia="宋体"/>
                <w:szCs w:val="21"/>
              </w:rPr>
            </w:pPr>
            <w:r>
              <w:rPr>
                <w:rFonts w:ascii="Times New Roman" w:hAnsi="Times New Roman" w:eastAsia="宋体"/>
                <w:color w:val="auto"/>
              </w:rPr>
              <w:t>65,245,413.06 </w:t>
            </w:r>
          </w:p>
        </w:tc>
        <w:tc>
          <w:tcPr>
            <w:tcW w:w="497" w:type="pct"/>
            <w:vAlign w:val="center"/>
          </w:tcPr>
          <w:p>
            <w:pPr>
              <w:widowControl w:val="0"/>
              <w:jc w:val="right"/>
              <w:rPr>
                <w:rFonts w:ascii="Times New Roman" w:hAnsi="Times New Roman" w:eastAsia="宋体"/>
                <w:szCs w:val="21"/>
              </w:rPr>
            </w:pPr>
            <w:r>
              <w:rPr>
                <w:rFonts w:ascii="Times New Roman" w:hAnsi="Times New Roman" w:eastAsia="宋体"/>
              </w:rPr>
              <w:t>39.27</w:t>
            </w:r>
          </w:p>
        </w:tc>
        <w:tc>
          <w:tcPr>
            <w:tcW w:w="600" w:type="pct"/>
            <w:vAlign w:val="center"/>
          </w:tcPr>
          <w:p>
            <w:pPr>
              <w:widowControl w:val="0"/>
              <w:jc w:val="right"/>
              <w:rPr>
                <w:rFonts w:ascii="Times New Roman" w:hAnsi="Times New Roman" w:eastAsia="宋体"/>
                <w:szCs w:val="21"/>
              </w:rPr>
            </w:pPr>
            <w:r>
              <w:rPr>
                <w:rFonts w:ascii="Times New Roman" w:hAnsi="Times New Roman" w:eastAsia="宋体"/>
              </w:rPr>
              <w:t>28.02</w:t>
            </w:r>
          </w:p>
        </w:tc>
        <w:tc>
          <w:tcPr>
            <w:tcW w:w="607" w:type="pct"/>
            <w:vAlign w:val="center"/>
          </w:tcPr>
          <w:p>
            <w:pPr>
              <w:widowControl w:val="0"/>
              <w:jc w:val="right"/>
              <w:rPr>
                <w:rFonts w:ascii="Times New Roman" w:hAnsi="Times New Roman" w:eastAsia="宋体"/>
                <w:szCs w:val="21"/>
              </w:rPr>
            </w:pPr>
            <w:r>
              <w:rPr>
                <w:rFonts w:ascii="Times New Roman" w:hAnsi="Times New Roman" w:eastAsia="宋体"/>
              </w:rPr>
              <w:t>16.64</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增加5.92个百分点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ascii="Times New Roman" w:hAnsi="Times New Roman" w:eastAsia="宋体" w:cs="宋体"/>
                <w:kern w:val="0"/>
                <w:szCs w:val="21"/>
              </w:rPr>
            </w:pPr>
            <w:r>
              <w:rPr>
                <w:rFonts w:hint="eastAsia" w:ascii="Times New Roman" w:hAnsi="Times New Roman" w:eastAsia="宋体" w:cs="宋体"/>
                <w:kern w:val="0"/>
                <w:szCs w:val="21"/>
              </w:rPr>
              <w:t>商业贸易</w:t>
            </w:r>
          </w:p>
        </w:tc>
        <w:tc>
          <w:tcPr>
            <w:tcW w:w="973" w:type="pct"/>
            <w:vAlign w:val="center"/>
          </w:tcPr>
          <w:p>
            <w:pPr>
              <w:widowControl w:val="0"/>
              <w:jc w:val="right"/>
              <w:rPr>
                <w:rFonts w:ascii="Times New Roman" w:hAnsi="Times New Roman" w:eastAsia="宋体"/>
                <w:szCs w:val="21"/>
              </w:rPr>
            </w:pPr>
            <w:r>
              <w:rPr>
                <w:rFonts w:ascii="Times New Roman" w:hAnsi="Times New Roman" w:eastAsia="宋体"/>
                <w:color w:val="auto"/>
              </w:rPr>
              <w:t>9,889,605.92 </w:t>
            </w:r>
          </w:p>
        </w:tc>
        <w:tc>
          <w:tcPr>
            <w:tcW w:w="946" w:type="pct"/>
            <w:vAlign w:val="center"/>
          </w:tcPr>
          <w:p>
            <w:pPr>
              <w:widowControl w:val="0"/>
              <w:jc w:val="right"/>
              <w:rPr>
                <w:rFonts w:ascii="Times New Roman" w:hAnsi="Times New Roman" w:eastAsia="宋体"/>
                <w:szCs w:val="21"/>
              </w:rPr>
            </w:pPr>
            <w:r>
              <w:rPr>
                <w:rFonts w:ascii="Times New Roman" w:hAnsi="Times New Roman" w:eastAsia="宋体"/>
                <w:color w:val="auto"/>
              </w:rPr>
              <w:t>8,842,782.46 </w:t>
            </w:r>
          </w:p>
        </w:tc>
        <w:tc>
          <w:tcPr>
            <w:tcW w:w="497" w:type="pct"/>
            <w:vAlign w:val="center"/>
          </w:tcPr>
          <w:p>
            <w:pPr>
              <w:widowControl w:val="0"/>
              <w:jc w:val="right"/>
              <w:rPr>
                <w:rFonts w:ascii="Times New Roman" w:hAnsi="Times New Roman" w:eastAsia="宋体"/>
                <w:szCs w:val="21"/>
              </w:rPr>
            </w:pPr>
            <w:r>
              <w:rPr>
                <w:rFonts w:ascii="Times New Roman" w:hAnsi="Times New Roman" w:eastAsia="宋体"/>
              </w:rPr>
              <w:t>10.59</w:t>
            </w:r>
          </w:p>
        </w:tc>
        <w:tc>
          <w:tcPr>
            <w:tcW w:w="600" w:type="pct"/>
            <w:vAlign w:val="center"/>
          </w:tcPr>
          <w:p>
            <w:pPr>
              <w:widowControl w:val="0"/>
              <w:jc w:val="right"/>
              <w:rPr>
                <w:rFonts w:ascii="Times New Roman" w:hAnsi="Times New Roman" w:eastAsia="宋体"/>
                <w:szCs w:val="21"/>
              </w:rPr>
            </w:pPr>
            <w:r>
              <w:rPr>
                <w:rFonts w:ascii="Times New Roman" w:hAnsi="Times New Roman" w:eastAsia="宋体"/>
              </w:rPr>
              <w:t>-49.02</w:t>
            </w:r>
          </w:p>
        </w:tc>
        <w:tc>
          <w:tcPr>
            <w:tcW w:w="607" w:type="pct"/>
            <w:vAlign w:val="center"/>
          </w:tcPr>
          <w:p>
            <w:pPr>
              <w:widowControl w:val="0"/>
              <w:jc w:val="right"/>
              <w:rPr>
                <w:rFonts w:ascii="Times New Roman" w:hAnsi="Times New Roman" w:eastAsia="宋体"/>
                <w:szCs w:val="21"/>
              </w:rPr>
            </w:pPr>
            <w:r>
              <w:rPr>
                <w:rFonts w:ascii="Times New Roman" w:hAnsi="Times New Roman" w:eastAsia="宋体"/>
              </w:rPr>
              <w:t>-50.24</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增加2.20个百分点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tcPr>
          <w:p>
            <w:pPr>
              <w:pStyle w:val="63"/>
              <w:ind w:firstLine="0" w:firstLineChars="0"/>
              <w:jc w:val="left"/>
              <w:rPr>
                <w:rFonts w:ascii="Times New Roman" w:hAnsi="Times New Roman" w:eastAsia="宋体" w:cs="宋体"/>
                <w:kern w:val="0"/>
                <w:szCs w:val="21"/>
              </w:rPr>
            </w:pPr>
          </w:p>
        </w:tc>
        <w:tc>
          <w:tcPr>
            <w:tcW w:w="973" w:type="pct"/>
          </w:tcPr>
          <w:p>
            <w:pPr>
              <w:widowControl w:val="0"/>
              <w:jc w:val="right"/>
              <w:rPr>
                <w:rFonts w:ascii="Times New Roman" w:hAnsi="Times New Roman" w:eastAsia="宋体"/>
                <w:szCs w:val="21"/>
              </w:rPr>
            </w:pPr>
          </w:p>
        </w:tc>
        <w:tc>
          <w:tcPr>
            <w:tcW w:w="946" w:type="pct"/>
          </w:tcPr>
          <w:p>
            <w:pPr>
              <w:widowControl w:val="0"/>
              <w:jc w:val="right"/>
              <w:rPr>
                <w:rFonts w:ascii="Times New Roman" w:hAnsi="Times New Roman" w:eastAsia="宋体"/>
                <w:szCs w:val="21"/>
              </w:rPr>
            </w:pPr>
          </w:p>
        </w:tc>
        <w:tc>
          <w:tcPr>
            <w:tcW w:w="497" w:type="pct"/>
          </w:tcPr>
          <w:p>
            <w:pPr>
              <w:widowControl w:val="0"/>
              <w:jc w:val="right"/>
              <w:rPr>
                <w:rFonts w:ascii="Times New Roman" w:hAnsi="Times New Roman" w:eastAsia="宋体"/>
                <w:szCs w:val="21"/>
              </w:rPr>
            </w:pPr>
          </w:p>
        </w:tc>
        <w:tc>
          <w:tcPr>
            <w:tcW w:w="600" w:type="pct"/>
          </w:tcPr>
          <w:p>
            <w:pPr>
              <w:widowControl w:val="0"/>
              <w:jc w:val="right"/>
              <w:rPr>
                <w:rFonts w:ascii="Times New Roman" w:hAnsi="Times New Roman" w:eastAsia="宋体"/>
                <w:szCs w:val="21"/>
              </w:rPr>
            </w:pPr>
          </w:p>
        </w:tc>
        <w:tc>
          <w:tcPr>
            <w:tcW w:w="607" w:type="pct"/>
          </w:tcPr>
          <w:p>
            <w:pPr>
              <w:widowControl w:val="0"/>
              <w:jc w:val="right"/>
              <w:rPr>
                <w:rFonts w:ascii="Times New Roman" w:hAnsi="Times New Roman" w:eastAsia="宋体"/>
                <w:szCs w:val="21"/>
              </w:rPr>
            </w:pPr>
          </w:p>
        </w:tc>
        <w:tc>
          <w:tcPr>
            <w:tcW w:w="623" w:type="pct"/>
          </w:tcPr>
          <w:p>
            <w:pPr>
              <w:widowControl w:val="0"/>
              <w:jc w:val="righ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fe4b98c3f70c495d9eb9797ce0f7b5f6"/>
            <w:id w:val="3372"/>
          </w:sdtPr>
          <w:sdtEndPr>
            <w:rPr>
              <w:rFonts w:ascii="Times New Roman" w:hAnsi="Times New Roman" w:eastAsia="宋体"/>
            </w:rPr>
          </w:sdtEndPr>
          <w:sdtContent>
            <w:tc>
              <w:tcPr>
                <w:tcW w:w="5000" w:type="pct"/>
                <w:gridSpan w:val="7"/>
              </w:tcPr>
              <w:p>
                <w:pPr>
                  <w:widowControl w:val="0"/>
                  <w:jc w:val="center"/>
                  <w:rPr>
                    <w:rFonts w:ascii="Times New Roman" w:hAnsi="Times New Roman" w:eastAsia="宋体"/>
                    <w:szCs w:val="21"/>
                  </w:rPr>
                </w:pPr>
                <w:r>
                  <w:rPr>
                    <w:rFonts w:hint="eastAsia" w:ascii="Times New Roman" w:hAnsi="Times New Roman" w:eastAsia="宋体"/>
                    <w:szCs w:val="21"/>
                  </w:rPr>
                  <w:t>主营业务分地区情况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88d8ea3d867f4a97a5a66d059c2a507e"/>
            <w:id w:val="3373"/>
          </w:sdtPr>
          <w:sdtEndPr>
            <w:rPr>
              <w:rFonts w:ascii="Times New Roman" w:hAnsi="Times New Roman" w:eastAsia="宋体"/>
            </w:rPr>
          </w:sdtEndPr>
          <w:sdtContent>
            <w:tc>
              <w:tcPr>
                <w:tcW w:w="750"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分地区</w:t>
                </w:r>
              </w:p>
            </w:tc>
          </w:sdtContent>
        </w:sdt>
        <w:sdt>
          <w:sdtPr>
            <w:rPr>
              <w:rFonts w:ascii="Times New Roman" w:hAnsi="Times New Roman" w:eastAsia="宋体"/>
            </w:rPr>
            <w:tag w:val="_PLD_d960c947c6424e2a87acbd6f4d534b0a"/>
            <w:id w:val="3374"/>
          </w:sdtPr>
          <w:sdtEndPr>
            <w:rPr>
              <w:rFonts w:ascii="Times New Roman" w:hAnsi="Times New Roman" w:eastAsia="宋体"/>
            </w:rPr>
          </w:sdtEndPr>
          <w:sdtContent>
            <w:tc>
              <w:tcPr>
                <w:tcW w:w="97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营业收入</w:t>
                </w:r>
              </w:p>
            </w:tc>
          </w:sdtContent>
        </w:sdt>
        <w:sdt>
          <w:sdtPr>
            <w:rPr>
              <w:rFonts w:ascii="Times New Roman" w:hAnsi="Times New Roman" w:eastAsia="宋体"/>
            </w:rPr>
            <w:tag w:val="_PLD_0cab657ed1664cda8d161069df0d4ffe"/>
            <w:id w:val="3375"/>
          </w:sdtPr>
          <w:sdtEndPr>
            <w:rPr>
              <w:rFonts w:ascii="Times New Roman" w:hAnsi="Times New Roman" w:eastAsia="宋体"/>
            </w:rPr>
          </w:sdtEndPr>
          <w:sdtContent>
            <w:tc>
              <w:tcPr>
                <w:tcW w:w="946"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营业成本</w:t>
                </w:r>
              </w:p>
            </w:tc>
          </w:sdtContent>
        </w:sdt>
        <w:sdt>
          <w:sdtPr>
            <w:rPr>
              <w:rFonts w:ascii="Times New Roman" w:hAnsi="Times New Roman" w:eastAsia="宋体"/>
            </w:rPr>
            <w:tag w:val="_PLD_de52f565c0c94f5f8930a8d275890566"/>
            <w:id w:val="3376"/>
          </w:sdtPr>
          <w:sdtEndPr>
            <w:rPr>
              <w:rFonts w:ascii="Times New Roman" w:hAnsi="Times New Roman" w:eastAsia="宋体"/>
            </w:rPr>
          </w:sdtEndPr>
          <w:sdtContent>
            <w:tc>
              <w:tcPr>
                <w:tcW w:w="49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p>
            </w:tc>
          </w:sdtContent>
        </w:sdt>
        <w:sdt>
          <w:sdtPr>
            <w:rPr>
              <w:rFonts w:ascii="Times New Roman" w:hAnsi="Times New Roman" w:eastAsia="宋体"/>
            </w:rPr>
            <w:tag w:val="_PLD_66acbff90fbb46ac8fc6c5840a2a1352"/>
            <w:id w:val="3377"/>
          </w:sdtPr>
          <w:sdtEndPr>
            <w:rPr>
              <w:rFonts w:ascii="Times New Roman" w:hAnsi="Times New Roman" w:eastAsia="宋体"/>
            </w:rPr>
          </w:sdtEndPr>
          <w:sdtContent>
            <w:tc>
              <w:tcPr>
                <w:tcW w:w="600"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营业收入比上年增减（%）</w:t>
                </w:r>
              </w:p>
            </w:tc>
          </w:sdtContent>
        </w:sdt>
        <w:sdt>
          <w:sdtPr>
            <w:rPr>
              <w:rFonts w:ascii="Times New Roman" w:hAnsi="Times New Roman" w:eastAsia="宋体"/>
            </w:rPr>
            <w:tag w:val="_PLD_24222e0fb06f4b87bb8e6a25bfc923a9"/>
            <w:id w:val="3378"/>
          </w:sdtPr>
          <w:sdtEndPr>
            <w:rPr>
              <w:rFonts w:ascii="Times New Roman" w:hAnsi="Times New Roman" w:eastAsia="宋体"/>
            </w:rPr>
          </w:sdtEndPr>
          <w:sdtContent>
            <w:tc>
              <w:tcPr>
                <w:tcW w:w="60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营业成本比上年增减（%）</w:t>
                </w:r>
              </w:p>
            </w:tc>
          </w:sdtContent>
        </w:sdt>
        <w:sdt>
          <w:sdtPr>
            <w:rPr>
              <w:rFonts w:ascii="Times New Roman" w:hAnsi="Times New Roman" w:eastAsia="宋体"/>
            </w:rPr>
            <w:tag w:val="_PLD_055160da443c4e4a8c520dbbde5baec3"/>
            <w:id w:val="3379"/>
          </w:sdtPr>
          <w:sdtEndPr>
            <w:rPr>
              <w:rFonts w:ascii="Times New Roman" w:hAnsi="Times New Roman" w:eastAsia="宋体"/>
            </w:rPr>
          </w:sdtEndPr>
          <w:sdtContent>
            <w:tc>
              <w:tcPr>
                <w:tcW w:w="62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r>
                  <w:rPr>
                    <w:rFonts w:ascii="Times New Roman" w:hAnsi="Times New Roman" w:eastAsia="宋体"/>
                    <w:szCs w:val="21"/>
                  </w:rPr>
                  <w:t>比上年增减（</w:t>
                </w:r>
                <w:r>
                  <w:rPr>
                    <w:rFonts w:hint="eastAsia" w:ascii="Times New Roman" w:hAnsi="Times New Roman" w:eastAsia="宋体"/>
                    <w:szCs w:val="21"/>
                  </w:rPr>
                  <w:t>%</w:t>
                </w:r>
                <w:r>
                  <w:rPr>
                    <w:rFonts w:ascii="Times New Roman" w:hAnsi="Times New Roman" w:eastAsia="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hint="eastAsia" w:ascii="Times New Roman" w:hAnsi="Times New Roman" w:eastAsia="宋体" w:cs="宋体"/>
                <w:kern w:val="0"/>
                <w:szCs w:val="21"/>
              </w:rPr>
            </w:pPr>
            <w:r>
              <w:rPr>
                <w:rFonts w:ascii="Times New Roman" w:hAnsi="Times New Roman" w:eastAsia="宋体"/>
              </w:rPr>
              <w:t>国内</w:t>
            </w:r>
          </w:p>
        </w:tc>
        <w:tc>
          <w:tcPr>
            <w:tcW w:w="973"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930,832,169.32 </w:t>
            </w:r>
          </w:p>
        </w:tc>
        <w:tc>
          <w:tcPr>
            <w:tcW w:w="946"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775,129,153.07 </w:t>
            </w:r>
          </w:p>
        </w:tc>
        <w:tc>
          <w:tcPr>
            <w:tcW w:w="497" w:type="pct"/>
            <w:vAlign w:val="center"/>
          </w:tcPr>
          <w:p>
            <w:pPr>
              <w:widowControl w:val="0"/>
              <w:jc w:val="right"/>
              <w:rPr>
                <w:rFonts w:hint="eastAsia" w:ascii="Times New Roman" w:hAnsi="Times New Roman" w:eastAsia="宋体"/>
                <w:szCs w:val="21"/>
              </w:rPr>
            </w:pPr>
            <w:r>
              <w:rPr>
                <w:rFonts w:ascii="Times New Roman" w:hAnsi="Times New Roman" w:eastAsia="宋体"/>
              </w:rPr>
              <w:t>16.73 </w:t>
            </w:r>
          </w:p>
        </w:tc>
        <w:tc>
          <w:tcPr>
            <w:tcW w:w="600" w:type="pct"/>
            <w:vAlign w:val="center"/>
          </w:tcPr>
          <w:p>
            <w:pPr>
              <w:widowControl w:val="0"/>
              <w:jc w:val="right"/>
              <w:rPr>
                <w:rFonts w:hint="eastAsia" w:ascii="Times New Roman" w:hAnsi="Times New Roman" w:eastAsia="宋体"/>
                <w:szCs w:val="21"/>
              </w:rPr>
            </w:pPr>
            <w:r>
              <w:rPr>
                <w:rFonts w:ascii="Times New Roman" w:hAnsi="Times New Roman" w:eastAsia="宋体"/>
              </w:rPr>
              <w:t>52.65 </w:t>
            </w:r>
          </w:p>
        </w:tc>
        <w:tc>
          <w:tcPr>
            <w:tcW w:w="607" w:type="pct"/>
            <w:vAlign w:val="center"/>
          </w:tcPr>
          <w:p>
            <w:pPr>
              <w:widowControl w:val="0"/>
              <w:jc w:val="right"/>
              <w:rPr>
                <w:rFonts w:hint="eastAsia" w:ascii="Times New Roman" w:hAnsi="Times New Roman" w:eastAsia="宋体"/>
                <w:szCs w:val="21"/>
              </w:rPr>
            </w:pPr>
            <w:r>
              <w:rPr>
                <w:rFonts w:ascii="Times New Roman" w:hAnsi="Times New Roman" w:eastAsia="宋体"/>
              </w:rPr>
              <w:t>52.89 </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减少0.13个百分点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hint="eastAsia" w:ascii="Times New Roman" w:hAnsi="Times New Roman" w:eastAsia="宋体" w:cs="宋体"/>
                <w:kern w:val="0"/>
                <w:szCs w:val="21"/>
              </w:rPr>
            </w:pPr>
            <w:r>
              <w:rPr>
                <w:rFonts w:ascii="Times New Roman" w:hAnsi="Times New Roman" w:eastAsia="宋体"/>
              </w:rPr>
              <w:t>国外</w:t>
            </w:r>
          </w:p>
        </w:tc>
        <w:tc>
          <w:tcPr>
            <w:tcW w:w="973"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53,261,637.29 </w:t>
            </w:r>
          </w:p>
        </w:tc>
        <w:tc>
          <w:tcPr>
            <w:tcW w:w="946"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46,608,737.08 </w:t>
            </w:r>
          </w:p>
        </w:tc>
        <w:tc>
          <w:tcPr>
            <w:tcW w:w="497" w:type="pct"/>
            <w:vAlign w:val="center"/>
          </w:tcPr>
          <w:p>
            <w:pPr>
              <w:widowControl w:val="0"/>
              <w:jc w:val="right"/>
              <w:rPr>
                <w:rFonts w:hint="eastAsia" w:ascii="Times New Roman" w:hAnsi="Times New Roman" w:eastAsia="宋体"/>
                <w:szCs w:val="21"/>
              </w:rPr>
            </w:pPr>
            <w:r>
              <w:rPr>
                <w:rFonts w:ascii="Times New Roman" w:hAnsi="Times New Roman" w:eastAsia="宋体"/>
              </w:rPr>
              <w:t>12.49 </w:t>
            </w:r>
          </w:p>
        </w:tc>
        <w:tc>
          <w:tcPr>
            <w:tcW w:w="600" w:type="pct"/>
            <w:vAlign w:val="center"/>
          </w:tcPr>
          <w:p>
            <w:pPr>
              <w:widowControl w:val="0"/>
              <w:jc w:val="right"/>
              <w:rPr>
                <w:rFonts w:hint="eastAsia" w:ascii="Times New Roman" w:hAnsi="Times New Roman" w:eastAsia="宋体"/>
                <w:szCs w:val="21"/>
              </w:rPr>
            </w:pPr>
            <w:r>
              <w:rPr>
                <w:rFonts w:ascii="Times New Roman" w:hAnsi="Times New Roman" w:eastAsia="宋体"/>
              </w:rPr>
              <w:t>4.49 </w:t>
            </w:r>
          </w:p>
        </w:tc>
        <w:tc>
          <w:tcPr>
            <w:tcW w:w="607" w:type="pct"/>
            <w:vAlign w:val="center"/>
          </w:tcPr>
          <w:p>
            <w:pPr>
              <w:widowControl w:val="0"/>
              <w:jc w:val="right"/>
              <w:rPr>
                <w:rFonts w:hint="eastAsia" w:ascii="Times New Roman" w:hAnsi="Times New Roman" w:eastAsia="宋体"/>
                <w:szCs w:val="21"/>
              </w:rPr>
            </w:pPr>
            <w:r>
              <w:rPr>
                <w:rFonts w:ascii="Times New Roman" w:hAnsi="Times New Roman" w:eastAsia="宋体"/>
              </w:rPr>
              <w:t>-2.73 </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增加6.50个百分点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pPr>
              <w:widowControl w:val="0"/>
              <w:jc w:val="center"/>
              <w:rPr>
                <w:rFonts w:ascii="Times New Roman" w:hAnsi="Times New Roman" w:eastAsia="宋体"/>
                <w:szCs w:val="21"/>
              </w:rPr>
            </w:pPr>
            <w:sdt>
              <w:sdtPr>
                <w:rPr>
                  <w:rFonts w:hint="eastAsia" w:ascii="Times New Roman" w:hAnsi="Times New Roman" w:eastAsia="宋体"/>
                  <w:szCs w:val="21"/>
                </w:rPr>
                <w:tag w:val="_PLD_4be57b876a364ef5aee49673f139ef4a"/>
                <w:id w:val="3380"/>
              </w:sdtPr>
              <w:sdtEndPr>
                <w:rPr>
                  <w:rFonts w:hint="eastAsia" w:ascii="Times New Roman" w:hAnsi="Times New Roman" w:eastAsia="宋体"/>
                  <w:szCs w:val="21"/>
                </w:rPr>
              </w:sdtEndPr>
              <w:sdtContent>
                <w:r>
                  <w:rPr>
                    <w:rFonts w:hint="eastAsia" w:ascii="Times New Roman" w:hAnsi="Times New Roman" w:eastAsia="宋体"/>
                    <w:szCs w:val="21"/>
                  </w:rPr>
                  <w:t>主营业务分销售模式情况</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eastAsia="宋体" w:cs="宋体"/>
              <w:kern w:val="0"/>
              <w:szCs w:val="21"/>
            </w:rPr>
            <w:tag w:val="_PLD_fe8c7b7bf3a444db814cf5c56b1b72e0"/>
            <w:id w:val="3381"/>
          </w:sdtPr>
          <w:sdtEndPr>
            <w:rPr>
              <w:rFonts w:hint="eastAsia" w:ascii="Times New Roman" w:hAnsi="Times New Roman" w:eastAsia="宋体" w:cs="宋体"/>
              <w:kern w:val="0"/>
              <w:szCs w:val="21"/>
            </w:rPr>
          </w:sdtEndPr>
          <w:sdtContent>
            <w:tc>
              <w:tcPr>
                <w:tcW w:w="750" w:type="pct"/>
                <w:vAlign w:val="center"/>
              </w:tcPr>
              <w:p>
                <w:pPr>
                  <w:pStyle w:val="63"/>
                  <w:ind w:firstLine="0" w:firstLineChars="0"/>
                  <w:jc w:val="center"/>
                  <w:rPr>
                    <w:rFonts w:ascii="Times New Roman" w:hAnsi="Times New Roman" w:eastAsia="宋体" w:cs="宋体"/>
                    <w:kern w:val="0"/>
                    <w:szCs w:val="21"/>
                  </w:rPr>
                </w:pPr>
                <w:r>
                  <w:rPr>
                    <w:rFonts w:hint="eastAsia" w:ascii="Times New Roman" w:hAnsi="Times New Roman" w:eastAsia="宋体" w:cs="宋体"/>
                    <w:kern w:val="0"/>
                    <w:szCs w:val="21"/>
                  </w:rPr>
                  <w:t>销售模式</w:t>
                </w:r>
              </w:p>
            </w:tc>
          </w:sdtContent>
        </w:sdt>
        <w:sdt>
          <w:sdtPr>
            <w:rPr>
              <w:rFonts w:hint="eastAsia" w:ascii="Times New Roman" w:hAnsi="Times New Roman" w:eastAsia="宋体"/>
              <w:szCs w:val="21"/>
            </w:rPr>
            <w:tag w:val="_PLD_a8a3a2b010534c9d820c7f9b6fd92caf"/>
            <w:id w:val="3382"/>
          </w:sdtPr>
          <w:sdtEndPr>
            <w:rPr>
              <w:rFonts w:hint="eastAsia" w:ascii="Times New Roman" w:hAnsi="Times New Roman" w:eastAsia="宋体"/>
              <w:szCs w:val="21"/>
            </w:rPr>
          </w:sdtEndPr>
          <w:sdtContent>
            <w:tc>
              <w:tcPr>
                <w:tcW w:w="97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营业收入</w:t>
                </w:r>
              </w:p>
            </w:tc>
          </w:sdtContent>
        </w:sdt>
        <w:sdt>
          <w:sdtPr>
            <w:rPr>
              <w:rFonts w:hint="eastAsia" w:ascii="Times New Roman" w:hAnsi="Times New Roman" w:eastAsia="宋体"/>
              <w:szCs w:val="21"/>
            </w:rPr>
            <w:tag w:val="_PLD_cc237396dacd4c16b49a8294763c220b"/>
            <w:id w:val="3383"/>
          </w:sdtPr>
          <w:sdtEndPr>
            <w:rPr>
              <w:rFonts w:hint="eastAsia" w:ascii="Times New Roman" w:hAnsi="Times New Roman" w:eastAsia="宋体"/>
              <w:szCs w:val="21"/>
            </w:rPr>
          </w:sdtEndPr>
          <w:sdtContent>
            <w:tc>
              <w:tcPr>
                <w:tcW w:w="946"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营业成本</w:t>
                </w:r>
              </w:p>
            </w:tc>
          </w:sdtContent>
        </w:sdt>
        <w:sdt>
          <w:sdtPr>
            <w:rPr>
              <w:rFonts w:hint="eastAsia" w:ascii="Times New Roman" w:hAnsi="Times New Roman" w:eastAsia="宋体"/>
              <w:szCs w:val="21"/>
            </w:rPr>
            <w:tag w:val="_PLD_941b22ab04a244cdbd8aa22ae424dacb"/>
            <w:id w:val="3384"/>
          </w:sdtPr>
          <w:sdtEndPr>
            <w:rPr>
              <w:rFonts w:hint="default" w:ascii="Times New Roman" w:hAnsi="Times New Roman" w:eastAsia="宋体"/>
              <w:szCs w:val="21"/>
            </w:rPr>
          </w:sdtEndPr>
          <w:sdtContent>
            <w:tc>
              <w:tcPr>
                <w:tcW w:w="49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w:t>
                </w:r>
                <w:r>
                  <w:rPr>
                    <w:rFonts w:ascii="Times New Roman" w:hAnsi="Times New Roman" w:eastAsia="宋体"/>
                    <w:szCs w:val="21"/>
                  </w:rPr>
                  <w:t>%）</w:t>
                </w:r>
              </w:p>
            </w:tc>
          </w:sdtContent>
        </w:sdt>
        <w:sdt>
          <w:sdtPr>
            <w:rPr>
              <w:rFonts w:hint="eastAsia" w:ascii="Times New Roman" w:hAnsi="Times New Roman" w:eastAsia="宋体"/>
              <w:szCs w:val="21"/>
            </w:rPr>
            <w:tag w:val="_PLD_e219c48b013d406696797c069f5c1054"/>
            <w:id w:val="3385"/>
          </w:sdtPr>
          <w:sdtEndPr>
            <w:rPr>
              <w:rFonts w:hint="default" w:ascii="Times New Roman" w:hAnsi="Times New Roman" w:eastAsia="宋体"/>
              <w:szCs w:val="21"/>
            </w:rPr>
          </w:sdtEndPr>
          <w:sdtContent>
            <w:tc>
              <w:tcPr>
                <w:tcW w:w="600"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营业收入比上年增减（</w:t>
                </w:r>
                <w:r>
                  <w:rPr>
                    <w:rFonts w:ascii="Times New Roman" w:hAnsi="Times New Roman" w:eastAsia="宋体"/>
                    <w:szCs w:val="21"/>
                  </w:rPr>
                  <w:t>%）</w:t>
                </w:r>
              </w:p>
            </w:tc>
          </w:sdtContent>
        </w:sdt>
        <w:sdt>
          <w:sdtPr>
            <w:rPr>
              <w:rFonts w:hint="eastAsia" w:ascii="Times New Roman" w:hAnsi="Times New Roman" w:eastAsia="宋体"/>
              <w:szCs w:val="21"/>
            </w:rPr>
            <w:tag w:val="_PLD_ea6dd0b86c3c4f81ac1d0aab660982a0"/>
            <w:id w:val="3386"/>
          </w:sdtPr>
          <w:sdtEndPr>
            <w:rPr>
              <w:rFonts w:hint="default" w:ascii="Times New Roman" w:hAnsi="Times New Roman" w:eastAsia="宋体"/>
              <w:szCs w:val="21"/>
            </w:rPr>
          </w:sdtEndPr>
          <w:sdtContent>
            <w:tc>
              <w:tcPr>
                <w:tcW w:w="60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营业成本比上年增减（</w:t>
                </w:r>
                <w:r>
                  <w:rPr>
                    <w:rFonts w:ascii="Times New Roman" w:hAnsi="Times New Roman" w:eastAsia="宋体"/>
                    <w:szCs w:val="21"/>
                  </w:rPr>
                  <w:t>%）</w:t>
                </w:r>
              </w:p>
            </w:tc>
          </w:sdtContent>
        </w:sdt>
        <w:sdt>
          <w:sdtPr>
            <w:rPr>
              <w:rFonts w:hint="eastAsia" w:ascii="Times New Roman" w:hAnsi="Times New Roman" w:eastAsia="宋体"/>
              <w:szCs w:val="21"/>
            </w:rPr>
            <w:tag w:val="_PLD_b228d83849d948259a50feeb3c8039e4"/>
            <w:id w:val="3387"/>
          </w:sdtPr>
          <w:sdtEndPr>
            <w:rPr>
              <w:rFonts w:hint="default" w:ascii="Times New Roman" w:hAnsi="Times New Roman" w:eastAsia="宋体"/>
              <w:szCs w:val="21"/>
            </w:rPr>
          </w:sdtEndPr>
          <w:sdtContent>
            <w:tc>
              <w:tcPr>
                <w:tcW w:w="623"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毛利率比上年增减（</w:t>
                </w:r>
                <w:r>
                  <w:rPr>
                    <w:rFonts w:ascii="Times New Roman" w:hAnsi="Times New Roman" w:eastAsia="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hint="eastAsia" w:ascii="Times New Roman" w:hAnsi="Times New Roman" w:eastAsia="宋体" w:cs="宋体"/>
                <w:kern w:val="0"/>
                <w:szCs w:val="21"/>
              </w:rPr>
            </w:pPr>
            <w:r>
              <w:rPr>
                <w:rFonts w:ascii="Times New Roman" w:hAnsi="Times New Roman" w:eastAsia="宋体"/>
              </w:rPr>
              <w:t>线上</w:t>
            </w:r>
          </w:p>
        </w:tc>
        <w:tc>
          <w:tcPr>
            <w:tcW w:w="973"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 46,169,413.35 </w:t>
            </w:r>
          </w:p>
        </w:tc>
        <w:tc>
          <w:tcPr>
            <w:tcW w:w="946"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 29,537,479.11 </w:t>
            </w:r>
          </w:p>
        </w:tc>
        <w:tc>
          <w:tcPr>
            <w:tcW w:w="497" w:type="pct"/>
            <w:vAlign w:val="center"/>
          </w:tcPr>
          <w:p>
            <w:pPr>
              <w:widowControl w:val="0"/>
              <w:jc w:val="right"/>
              <w:rPr>
                <w:rFonts w:hint="eastAsia" w:ascii="Times New Roman" w:hAnsi="Times New Roman" w:eastAsia="宋体"/>
                <w:szCs w:val="21"/>
              </w:rPr>
            </w:pPr>
            <w:r>
              <w:rPr>
                <w:rFonts w:ascii="Times New Roman" w:hAnsi="Times New Roman" w:eastAsia="宋体"/>
              </w:rPr>
              <w:t> 36.02 </w:t>
            </w:r>
          </w:p>
        </w:tc>
        <w:tc>
          <w:tcPr>
            <w:tcW w:w="600" w:type="pct"/>
            <w:vAlign w:val="center"/>
          </w:tcPr>
          <w:p>
            <w:pPr>
              <w:widowControl w:val="0"/>
              <w:jc w:val="right"/>
              <w:rPr>
                <w:rFonts w:hint="eastAsia" w:ascii="Times New Roman" w:hAnsi="Times New Roman" w:eastAsia="宋体"/>
                <w:szCs w:val="21"/>
              </w:rPr>
            </w:pPr>
            <w:r>
              <w:rPr>
                <w:rFonts w:ascii="Times New Roman" w:hAnsi="Times New Roman" w:eastAsia="宋体"/>
              </w:rPr>
              <w:t> 63.35 </w:t>
            </w:r>
          </w:p>
        </w:tc>
        <w:tc>
          <w:tcPr>
            <w:tcW w:w="607" w:type="pct"/>
            <w:vAlign w:val="center"/>
          </w:tcPr>
          <w:p>
            <w:pPr>
              <w:widowControl w:val="0"/>
              <w:jc w:val="right"/>
              <w:rPr>
                <w:rFonts w:hint="eastAsia" w:ascii="Times New Roman" w:hAnsi="Times New Roman" w:eastAsia="宋体"/>
                <w:szCs w:val="21"/>
              </w:rPr>
            </w:pPr>
            <w:r>
              <w:rPr>
                <w:rFonts w:ascii="Times New Roman" w:hAnsi="Times New Roman" w:eastAsia="宋体"/>
              </w:rPr>
              <w:t> 76.92 </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减少4.90个百分点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pPr>
              <w:pStyle w:val="63"/>
              <w:ind w:firstLine="0" w:firstLineChars="0"/>
              <w:jc w:val="center"/>
              <w:rPr>
                <w:rFonts w:hint="eastAsia" w:ascii="Times New Roman" w:hAnsi="Times New Roman" w:eastAsia="宋体" w:cs="宋体"/>
                <w:kern w:val="0"/>
                <w:szCs w:val="21"/>
              </w:rPr>
            </w:pPr>
            <w:r>
              <w:rPr>
                <w:rFonts w:ascii="Times New Roman" w:hAnsi="Times New Roman" w:eastAsia="宋体"/>
              </w:rPr>
              <w:t>线下</w:t>
            </w:r>
          </w:p>
        </w:tc>
        <w:tc>
          <w:tcPr>
            <w:tcW w:w="973"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 937,924,393.26 </w:t>
            </w:r>
          </w:p>
        </w:tc>
        <w:tc>
          <w:tcPr>
            <w:tcW w:w="946" w:type="pct"/>
            <w:vAlign w:val="center"/>
          </w:tcPr>
          <w:p>
            <w:pPr>
              <w:widowControl w:val="0"/>
              <w:jc w:val="right"/>
              <w:rPr>
                <w:rFonts w:hint="eastAsia" w:ascii="Times New Roman" w:hAnsi="Times New Roman" w:eastAsia="宋体"/>
                <w:szCs w:val="21"/>
              </w:rPr>
            </w:pPr>
            <w:r>
              <w:rPr>
                <w:rFonts w:ascii="Times New Roman" w:hAnsi="Times New Roman" w:eastAsia="宋体"/>
                <w:color w:val="auto"/>
              </w:rPr>
              <w:t> 792,200,411.04 </w:t>
            </w:r>
          </w:p>
        </w:tc>
        <w:tc>
          <w:tcPr>
            <w:tcW w:w="497" w:type="pct"/>
            <w:vAlign w:val="center"/>
          </w:tcPr>
          <w:p>
            <w:pPr>
              <w:widowControl w:val="0"/>
              <w:jc w:val="right"/>
              <w:rPr>
                <w:rFonts w:hint="eastAsia" w:ascii="Times New Roman" w:hAnsi="Times New Roman" w:eastAsia="宋体"/>
                <w:szCs w:val="21"/>
              </w:rPr>
            </w:pPr>
            <w:r>
              <w:rPr>
                <w:rFonts w:ascii="Times New Roman" w:hAnsi="Times New Roman" w:eastAsia="宋体"/>
              </w:rPr>
              <w:t> 15.54 </w:t>
            </w:r>
          </w:p>
        </w:tc>
        <w:tc>
          <w:tcPr>
            <w:tcW w:w="600" w:type="pct"/>
            <w:vAlign w:val="center"/>
          </w:tcPr>
          <w:p>
            <w:pPr>
              <w:widowControl w:val="0"/>
              <w:jc w:val="right"/>
              <w:rPr>
                <w:rFonts w:hint="eastAsia" w:ascii="Times New Roman" w:hAnsi="Times New Roman" w:eastAsia="宋体"/>
                <w:szCs w:val="21"/>
              </w:rPr>
            </w:pPr>
            <w:r>
              <w:rPr>
                <w:rFonts w:ascii="Times New Roman" w:hAnsi="Times New Roman" w:eastAsia="宋体"/>
              </w:rPr>
              <w:t> 48.29 </w:t>
            </w:r>
          </w:p>
        </w:tc>
        <w:tc>
          <w:tcPr>
            <w:tcW w:w="607" w:type="pct"/>
            <w:vAlign w:val="center"/>
          </w:tcPr>
          <w:p>
            <w:pPr>
              <w:widowControl w:val="0"/>
              <w:jc w:val="right"/>
              <w:rPr>
                <w:rFonts w:hint="eastAsia" w:ascii="Times New Roman" w:hAnsi="Times New Roman" w:eastAsia="宋体"/>
                <w:szCs w:val="21"/>
              </w:rPr>
            </w:pPr>
            <w:r>
              <w:rPr>
                <w:rFonts w:ascii="Times New Roman" w:hAnsi="Times New Roman" w:eastAsia="宋体"/>
              </w:rPr>
              <w:t> 47.19 </w:t>
            </w:r>
          </w:p>
        </w:tc>
        <w:tc>
          <w:tcPr>
            <w:tcW w:w="623" w:type="pct"/>
          </w:tcPr>
          <w:p>
            <w:pPr>
              <w:widowControl w:val="0"/>
              <w:jc w:val="right"/>
              <w:rPr>
                <w:rFonts w:hint="eastAsia" w:ascii="Times New Roman" w:hAnsi="Times New Roman" w:eastAsia="宋体"/>
                <w:szCs w:val="21"/>
                <w:lang w:eastAsia="zh-CN"/>
              </w:rPr>
            </w:pPr>
            <w:r>
              <w:rPr>
                <w:rFonts w:hint="eastAsia" w:ascii="Times New Roman" w:hAnsi="Times New Roman" w:eastAsia="宋体"/>
                <w:lang w:eastAsia="zh-CN"/>
              </w:rPr>
              <w:t>增加0.63个百分点</w:t>
            </w:r>
          </w:p>
        </w:tc>
      </w:tr>
    </w:tbl>
    <w:p/>
    <w:p>
      <w:pPr>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25602"/>
        <w:placeholder>
          <w:docPart w:val="GBC22222222222222222222222222222"/>
        </w:placeholder>
      </w:sdtPr>
      <w:sdtEndPr>
        <w:rPr>
          <w:rFonts w:hint="eastAsia"/>
          <w:szCs w:val="21"/>
        </w:rPr>
      </w:sdtEndPr>
      <w:sdtContent>
        <w:p>
          <w:pPr>
            <w:rPr>
              <w:szCs w:val="21"/>
            </w:rPr>
          </w:pPr>
          <w:r>
            <w:rPr>
              <w:rFonts w:hint="eastAsia"/>
              <w:szCs w:val="21"/>
              <w:lang w:val="en-US" w:eastAsia="zh-CN"/>
            </w:rPr>
            <w:t>无</w:t>
          </w:r>
        </w:p>
      </w:sdtContent>
    </w:sdt>
    <w:bookmarkEnd w:id="38"/>
    <w:p/>
    <w:p>
      <w:pPr>
        <w:pStyle w:val="6"/>
        <w:numPr>
          <w:ilvl w:val="0"/>
          <w:numId w:val="10"/>
        </w:numPr>
        <w:tabs>
          <w:tab w:val="left" w:pos="567"/>
        </w:tabs>
        <w:ind w:left="105" w:firstLine="0"/>
        <w:rPr>
          <w:szCs w:val="21"/>
        </w:rPr>
      </w:pPr>
      <w:r>
        <w:rPr>
          <w:rFonts w:hint="eastAsia"/>
        </w:rPr>
        <w:t>产销量情况</w:t>
      </w:r>
      <w:r>
        <w:rPr>
          <w:szCs w:val="21"/>
        </w:rPr>
        <w:t>分析表</w:t>
      </w:r>
    </w:p>
    <w:sdt>
      <w:sdtPr>
        <w:alias w:val="是否适用：产销量情况分析表[双击切换]"/>
        <w:tag w:val="_GBC_6ff51c492b3040799712ea51f78bdcc0"/>
        <w:id w:val="2560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650"/>
        <w:gridCol w:w="1300"/>
        <w:gridCol w:w="1237"/>
        <w:gridCol w:w="1113"/>
        <w:gridCol w:w="1137"/>
        <w:gridCol w:w="1113"/>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259e79e9293847dfb1bd7816b6ad48e6"/>
            <w:id w:val="8490"/>
          </w:sdtPr>
          <w:sdtEndPr>
            <w:rPr>
              <w:rFonts w:ascii="Times New Roman" w:hAnsi="Times New Roman" w:eastAsia="宋体"/>
            </w:rPr>
          </w:sdtEndPr>
          <w:sdtContent>
            <w:tc>
              <w:tcPr>
                <w:tcW w:w="844"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主要产品</w:t>
                </w:r>
              </w:p>
            </w:tc>
          </w:sdtContent>
        </w:sdt>
        <w:tc>
          <w:tcPr>
            <w:tcW w:w="353" w:type="pct"/>
            <w:vAlign w:val="center"/>
          </w:tcPr>
          <w:sdt>
            <w:sdtPr>
              <w:rPr>
                <w:rFonts w:hint="eastAsia" w:ascii="Times New Roman" w:hAnsi="Times New Roman" w:eastAsia="宋体"/>
              </w:rPr>
              <w:tag w:val="_PLD_6d13c84fd3694535a3f1b6bcdd58d107"/>
              <w:id w:val="8491"/>
            </w:sdtPr>
            <w:sdtEndPr>
              <w:rPr>
                <w:rFonts w:hint="eastAsia" w:ascii="Times New Roman" w:hAnsi="Times New Roman" w:eastAsia="宋体"/>
              </w:rPr>
            </w:sdtEndPr>
            <w:sdtContent>
              <w:p>
                <w:pPr>
                  <w:widowControl w:val="0"/>
                  <w:jc w:val="center"/>
                  <w:rPr>
                    <w:rFonts w:ascii="Times New Roman" w:hAnsi="Times New Roman" w:eastAsia="宋体"/>
                  </w:rPr>
                </w:pPr>
                <w:r>
                  <w:rPr>
                    <w:rFonts w:hint="eastAsia" w:ascii="Times New Roman" w:hAnsi="Times New Roman" w:eastAsia="宋体"/>
                  </w:rPr>
                  <w:t>单位</w:t>
                </w:r>
              </w:p>
            </w:sdtContent>
          </w:sdt>
        </w:tc>
        <w:sdt>
          <w:sdtPr>
            <w:rPr>
              <w:rFonts w:ascii="Times New Roman" w:hAnsi="Times New Roman" w:eastAsia="宋体"/>
            </w:rPr>
            <w:tag w:val="_PLD_3645c9ae184248f6bd2dda9de0540406"/>
            <w:id w:val="8492"/>
          </w:sdtPr>
          <w:sdtEndPr>
            <w:rPr>
              <w:rFonts w:ascii="Times New Roman" w:hAnsi="Times New Roman" w:eastAsia="宋体"/>
            </w:rPr>
          </w:sdtEndPr>
          <w:sdtContent>
            <w:tc>
              <w:tcPr>
                <w:tcW w:w="706"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生产量</w:t>
                </w:r>
              </w:p>
            </w:tc>
          </w:sdtContent>
        </w:sdt>
        <w:sdt>
          <w:sdtPr>
            <w:rPr>
              <w:rFonts w:ascii="Times New Roman" w:hAnsi="Times New Roman" w:eastAsia="宋体"/>
            </w:rPr>
            <w:tag w:val="_PLD_b4bd7da564c3452cb40ff15542829b7a"/>
            <w:id w:val="8493"/>
          </w:sdtPr>
          <w:sdtEndPr>
            <w:rPr>
              <w:rFonts w:ascii="Times New Roman" w:hAnsi="Times New Roman" w:eastAsia="宋体"/>
            </w:rPr>
          </w:sdtEndPr>
          <w:sdtContent>
            <w:tc>
              <w:tcPr>
                <w:tcW w:w="671"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销售量</w:t>
                </w:r>
              </w:p>
            </w:tc>
          </w:sdtContent>
        </w:sdt>
        <w:sdt>
          <w:sdtPr>
            <w:rPr>
              <w:rFonts w:ascii="Times New Roman" w:hAnsi="Times New Roman" w:eastAsia="宋体"/>
            </w:rPr>
            <w:tag w:val="_PLD_4f74a09ae16245a3a6e2c536c1266361"/>
            <w:id w:val="8494"/>
          </w:sdtPr>
          <w:sdtEndPr>
            <w:rPr>
              <w:rFonts w:ascii="Times New Roman" w:hAnsi="Times New Roman" w:eastAsia="宋体"/>
            </w:rPr>
          </w:sdtEndPr>
          <w:sdtContent>
            <w:tc>
              <w:tcPr>
                <w:tcW w:w="604"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库存量</w:t>
                </w:r>
              </w:p>
            </w:tc>
          </w:sdtContent>
        </w:sdt>
        <w:sdt>
          <w:sdtPr>
            <w:rPr>
              <w:rFonts w:ascii="Times New Roman" w:hAnsi="Times New Roman" w:eastAsia="宋体"/>
            </w:rPr>
            <w:tag w:val="_PLD_21bd7a4d992742feb4b83db592f976fd"/>
            <w:id w:val="8495"/>
          </w:sdtPr>
          <w:sdtEndPr>
            <w:rPr>
              <w:rFonts w:ascii="Times New Roman" w:hAnsi="Times New Roman" w:eastAsia="宋体"/>
            </w:rPr>
          </w:sdtEndPr>
          <w:sdtContent>
            <w:tc>
              <w:tcPr>
                <w:tcW w:w="61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生产量比上年增减（%）</w:t>
                </w:r>
              </w:p>
            </w:tc>
          </w:sdtContent>
        </w:sdt>
        <w:sdt>
          <w:sdtPr>
            <w:rPr>
              <w:rFonts w:ascii="Times New Roman" w:hAnsi="Times New Roman" w:eastAsia="宋体"/>
            </w:rPr>
            <w:tag w:val="_PLD_37e055a5474a4aac989b4e3a88756935"/>
            <w:id w:val="8496"/>
          </w:sdtPr>
          <w:sdtEndPr>
            <w:rPr>
              <w:rFonts w:ascii="Times New Roman" w:hAnsi="Times New Roman" w:eastAsia="宋体"/>
            </w:rPr>
          </w:sdtEndPr>
          <w:sdtContent>
            <w:tc>
              <w:tcPr>
                <w:tcW w:w="604"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销售量比上年增减（%）</w:t>
                </w:r>
              </w:p>
            </w:tc>
          </w:sdtContent>
        </w:sdt>
        <w:sdt>
          <w:sdtPr>
            <w:rPr>
              <w:rFonts w:ascii="Times New Roman" w:hAnsi="Times New Roman" w:eastAsia="宋体"/>
            </w:rPr>
            <w:tag w:val="_PLD_d03cdf85475e4722ae39e10ea525eee5"/>
            <w:id w:val="8497"/>
          </w:sdtPr>
          <w:sdtEndPr>
            <w:rPr>
              <w:rFonts w:ascii="Times New Roman" w:hAnsi="Times New Roman" w:eastAsia="宋体"/>
            </w:rPr>
          </w:sdtEndPr>
          <w:sdtContent>
            <w:tc>
              <w:tcPr>
                <w:tcW w:w="597" w:type="pct"/>
                <w:vAlign w:val="center"/>
              </w:tcPr>
              <w:p>
                <w:pPr>
                  <w:widowControl w:val="0"/>
                  <w:jc w:val="center"/>
                  <w:rPr>
                    <w:rFonts w:ascii="Times New Roman" w:hAnsi="Times New Roman" w:eastAsia="宋体"/>
                    <w:szCs w:val="21"/>
                  </w:rPr>
                </w:pPr>
                <w:r>
                  <w:rPr>
                    <w:rFonts w:hint="eastAsia" w:ascii="Times New Roman" w:hAnsi="Times New Roman" w:eastAsia="宋体"/>
                    <w:szCs w:val="21"/>
                  </w:rPr>
                  <w:t>库存量比上年增减（%）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4" w:type="pct"/>
            <w:vAlign w:val="center"/>
          </w:tcPr>
          <w:p>
            <w:pPr>
              <w:widowControl w:val="0"/>
              <w:jc w:val="center"/>
              <w:rPr>
                <w:rFonts w:ascii="Times New Roman" w:hAnsi="Times New Roman" w:eastAsia="宋体"/>
                <w:szCs w:val="21"/>
              </w:rPr>
            </w:pPr>
            <w:r>
              <w:rPr>
                <w:rFonts w:ascii="Times New Roman" w:hAnsi="Times New Roman" w:eastAsia="宋体"/>
              </w:rPr>
              <w:t>家用牙膏</w:t>
            </w:r>
          </w:p>
        </w:tc>
        <w:tc>
          <w:tcPr>
            <w:tcW w:w="353" w:type="pct"/>
          </w:tcPr>
          <w:p>
            <w:pPr>
              <w:widowControl w:val="0"/>
              <w:jc w:val="both"/>
              <w:rPr>
                <w:rFonts w:ascii="Times New Roman" w:hAnsi="Times New Roman" w:eastAsia="宋体"/>
                <w:szCs w:val="21"/>
              </w:rPr>
            </w:pPr>
            <w:r>
              <w:rPr>
                <w:rFonts w:ascii="Times New Roman" w:hAnsi="Times New Roman" w:eastAsia="宋体"/>
              </w:rPr>
              <w:t>万支</w:t>
            </w:r>
          </w:p>
        </w:tc>
        <w:tc>
          <w:tcPr>
            <w:tcW w:w="706" w:type="pct"/>
            <w:vAlign w:val="center"/>
          </w:tcPr>
          <w:p>
            <w:pPr>
              <w:widowControl w:val="0"/>
              <w:jc w:val="right"/>
              <w:rPr>
                <w:rFonts w:ascii="Times New Roman" w:hAnsi="Times New Roman" w:eastAsia="宋体"/>
                <w:szCs w:val="21"/>
              </w:rPr>
            </w:pPr>
            <w:r>
              <w:rPr>
                <w:rFonts w:ascii="Times New Roman" w:hAnsi="Times New Roman" w:eastAsia="宋体"/>
              </w:rPr>
              <w:t> 3,216.17 </w:t>
            </w:r>
          </w:p>
        </w:tc>
        <w:tc>
          <w:tcPr>
            <w:tcW w:w="671" w:type="pct"/>
            <w:vAlign w:val="center"/>
          </w:tcPr>
          <w:p>
            <w:pPr>
              <w:widowControl w:val="0"/>
              <w:jc w:val="right"/>
              <w:rPr>
                <w:rFonts w:ascii="Times New Roman" w:hAnsi="Times New Roman" w:eastAsia="宋体"/>
                <w:szCs w:val="21"/>
              </w:rPr>
            </w:pPr>
            <w:r>
              <w:rPr>
                <w:rFonts w:ascii="Times New Roman" w:hAnsi="Times New Roman" w:eastAsia="宋体"/>
              </w:rPr>
              <w:t> 2,877.43 </w:t>
            </w:r>
          </w:p>
        </w:tc>
        <w:tc>
          <w:tcPr>
            <w:tcW w:w="604" w:type="pct"/>
            <w:vAlign w:val="center"/>
          </w:tcPr>
          <w:p>
            <w:pPr>
              <w:widowControl w:val="0"/>
              <w:jc w:val="right"/>
              <w:rPr>
                <w:rFonts w:ascii="Times New Roman" w:hAnsi="Times New Roman" w:eastAsia="宋体"/>
                <w:szCs w:val="21"/>
              </w:rPr>
            </w:pPr>
            <w:r>
              <w:rPr>
                <w:rFonts w:ascii="Times New Roman" w:hAnsi="Times New Roman" w:eastAsia="宋体"/>
              </w:rPr>
              <w:t> 872.41 </w:t>
            </w:r>
          </w:p>
        </w:tc>
        <w:tc>
          <w:tcPr>
            <w:tcW w:w="617" w:type="pct"/>
            <w:vAlign w:val="center"/>
          </w:tcPr>
          <w:p>
            <w:pPr>
              <w:widowControl w:val="0"/>
              <w:jc w:val="right"/>
              <w:rPr>
                <w:rFonts w:ascii="Times New Roman" w:hAnsi="Times New Roman" w:eastAsia="宋体"/>
                <w:szCs w:val="21"/>
              </w:rPr>
            </w:pPr>
            <w:r>
              <w:rPr>
                <w:rFonts w:ascii="Times New Roman" w:hAnsi="Times New Roman" w:eastAsia="宋体"/>
              </w:rPr>
              <w:t>11.52</w:t>
            </w:r>
          </w:p>
        </w:tc>
        <w:tc>
          <w:tcPr>
            <w:tcW w:w="604" w:type="pct"/>
            <w:vAlign w:val="center"/>
          </w:tcPr>
          <w:p>
            <w:pPr>
              <w:widowControl w:val="0"/>
              <w:jc w:val="right"/>
              <w:rPr>
                <w:rFonts w:ascii="Times New Roman" w:hAnsi="Times New Roman" w:eastAsia="宋体"/>
                <w:szCs w:val="21"/>
              </w:rPr>
            </w:pPr>
            <w:r>
              <w:rPr>
                <w:rFonts w:ascii="Times New Roman" w:hAnsi="Times New Roman" w:eastAsia="宋体"/>
              </w:rPr>
              <w:t>14.36</w:t>
            </w:r>
          </w:p>
        </w:tc>
        <w:tc>
          <w:tcPr>
            <w:tcW w:w="597" w:type="pct"/>
            <w:vAlign w:val="center"/>
          </w:tcPr>
          <w:p>
            <w:pPr>
              <w:widowControl w:val="0"/>
              <w:jc w:val="right"/>
              <w:rPr>
                <w:rFonts w:ascii="Times New Roman" w:hAnsi="Times New Roman" w:eastAsia="宋体"/>
                <w:szCs w:val="21"/>
              </w:rPr>
            </w:pPr>
            <w:r>
              <w:rPr>
                <w:rFonts w:ascii="Times New Roman" w:hAnsi="Times New Roman" w:eastAsia="宋体"/>
              </w:rPr>
              <w:t>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4" w:type="pct"/>
            <w:vAlign w:val="center"/>
          </w:tcPr>
          <w:p>
            <w:pPr>
              <w:widowControl w:val="0"/>
              <w:jc w:val="center"/>
              <w:rPr>
                <w:rFonts w:ascii="Times New Roman" w:hAnsi="Times New Roman" w:eastAsia="宋体"/>
                <w:szCs w:val="21"/>
              </w:rPr>
            </w:pPr>
            <w:r>
              <w:rPr>
                <w:rFonts w:hint="eastAsia" w:ascii="宋体" w:hAnsi="宋体" w:eastAsia="宋体" w:cs="宋体"/>
                <w:szCs w:val="21"/>
              </w:rPr>
              <w:t>旅游牙膏单支</w:t>
            </w:r>
          </w:p>
        </w:tc>
        <w:tc>
          <w:tcPr>
            <w:tcW w:w="353" w:type="pct"/>
          </w:tcPr>
          <w:p>
            <w:pPr>
              <w:widowControl w:val="0"/>
              <w:jc w:val="both"/>
              <w:rPr>
                <w:rFonts w:ascii="Times New Roman" w:hAnsi="Times New Roman" w:eastAsia="宋体"/>
                <w:szCs w:val="21"/>
              </w:rPr>
            </w:pPr>
            <w:r>
              <w:rPr>
                <w:rFonts w:ascii="Times New Roman" w:hAnsi="Times New Roman" w:eastAsia="宋体"/>
              </w:rPr>
              <w:t>万支</w:t>
            </w:r>
          </w:p>
        </w:tc>
        <w:tc>
          <w:tcPr>
            <w:tcW w:w="706" w:type="pct"/>
            <w:vAlign w:val="center"/>
          </w:tcPr>
          <w:p>
            <w:pPr>
              <w:widowControl w:val="0"/>
              <w:jc w:val="right"/>
              <w:rPr>
                <w:rFonts w:ascii="Times New Roman" w:hAnsi="Times New Roman" w:eastAsia="宋体"/>
                <w:szCs w:val="21"/>
              </w:rPr>
            </w:pPr>
            <w:r>
              <w:rPr>
                <w:rFonts w:ascii="Times New Roman" w:hAnsi="Times New Roman" w:eastAsia="宋体"/>
              </w:rPr>
              <w:t> 156,459.18 </w:t>
            </w:r>
          </w:p>
        </w:tc>
        <w:tc>
          <w:tcPr>
            <w:tcW w:w="671" w:type="pct"/>
            <w:vAlign w:val="center"/>
          </w:tcPr>
          <w:p>
            <w:pPr>
              <w:widowControl w:val="0"/>
              <w:jc w:val="right"/>
              <w:rPr>
                <w:rFonts w:ascii="Times New Roman" w:hAnsi="Times New Roman" w:eastAsia="宋体"/>
                <w:szCs w:val="21"/>
              </w:rPr>
            </w:pPr>
            <w:r>
              <w:rPr>
                <w:rFonts w:ascii="Times New Roman" w:hAnsi="Times New Roman" w:eastAsia="宋体"/>
              </w:rPr>
              <w:t>146,517.53</w:t>
            </w:r>
          </w:p>
        </w:tc>
        <w:tc>
          <w:tcPr>
            <w:tcW w:w="604" w:type="pct"/>
            <w:vAlign w:val="center"/>
          </w:tcPr>
          <w:p>
            <w:pPr>
              <w:widowControl w:val="0"/>
              <w:jc w:val="right"/>
              <w:rPr>
                <w:rFonts w:ascii="Times New Roman" w:hAnsi="Times New Roman" w:eastAsia="宋体"/>
                <w:szCs w:val="21"/>
              </w:rPr>
            </w:pPr>
            <w:r>
              <w:rPr>
                <w:rFonts w:ascii="Times New Roman" w:hAnsi="Times New Roman" w:eastAsia="宋体"/>
              </w:rPr>
              <w:t>14,441.36</w:t>
            </w:r>
          </w:p>
        </w:tc>
        <w:tc>
          <w:tcPr>
            <w:tcW w:w="617" w:type="pct"/>
            <w:vAlign w:val="center"/>
          </w:tcPr>
          <w:p>
            <w:pPr>
              <w:widowControl w:val="0"/>
              <w:jc w:val="right"/>
              <w:rPr>
                <w:rFonts w:ascii="Times New Roman" w:hAnsi="Times New Roman" w:eastAsia="宋体"/>
                <w:szCs w:val="21"/>
              </w:rPr>
            </w:pPr>
            <w:r>
              <w:rPr>
                <w:rFonts w:ascii="Times New Roman" w:hAnsi="Times New Roman" w:eastAsia="宋体"/>
              </w:rPr>
              <w:t>92.37</w:t>
            </w:r>
          </w:p>
        </w:tc>
        <w:tc>
          <w:tcPr>
            <w:tcW w:w="604" w:type="pct"/>
            <w:vAlign w:val="center"/>
          </w:tcPr>
          <w:p>
            <w:pPr>
              <w:widowControl w:val="0"/>
              <w:jc w:val="right"/>
              <w:rPr>
                <w:rFonts w:ascii="Times New Roman" w:hAnsi="Times New Roman" w:eastAsia="宋体"/>
                <w:szCs w:val="21"/>
              </w:rPr>
            </w:pPr>
            <w:r>
              <w:rPr>
                <w:rFonts w:ascii="Times New Roman" w:hAnsi="Times New Roman" w:eastAsia="宋体"/>
              </w:rPr>
              <w:t>57.34</w:t>
            </w:r>
          </w:p>
        </w:tc>
        <w:tc>
          <w:tcPr>
            <w:tcW w:w="597" w:type="pct"/>
            <w:vAlign w:val="center"/>
          </w:tcPr>
          <w:p>
            <w:pPr>
              <w:widowControl w:val="0"/>
              <w:jc w:val="right"/>
              <w:rPr>
                <w:rFonts w:ascii="Times New Roman" w:hAnsi="Times New Roman" w:eastAsia="宋体"/>
                <w:szCs w:val="21"/>
              </w:rPr>
            </w:pPr>
            <w:r>
              <w:rPr>
                <w:rFonts w:ascii="Times New Roman" w:hAnsi="Times New Roman" w:eastAsia="宋体"/>
              </w:rPr>
              <w:t>263.49</w:t>
            </w:r>
          </w:p>
        </w:tc>
      </w:tr>
    </w:tbl>
    <w:p>
      <w:pPr>
        <w:rPr>
          <w:szCs w:val="21"/>
        </w:rPr>
      </w:pPr>
    </w:p>
    <w:p>
      <w:pPr>
        <w:rPr>
          <w:szCs w:val="21"/>
        </w:rPr>
      </w:pPr>
      <w:r>
        <w:rPr>
          <w:rFonts w:hint="eastAsia"/>
          <w:szCs w:val="21"/>
        </w:rPr>
        <w:t>产销量情况说明</w:t>
      </w:r>
    </w:p>
    <w:sdt>
      <w:sdtPr>
        <w:rPr>
          <w:rFonts w:hint="eastAsia"/>
          <w:szCs w:val="21"/>
        </w:rPr>
        <w:alias w:val="产销量情况说明"/>
        <w:tag w:val="_GBC_1aea839efa9940859168bf3f05061254"/>
        <w:id w:val="25612"/>
        <w:placeholder>
          <w:docPart w:val="GBC22222222222222222222222222222"/>
        </w:placeholder>
      </w:sdtPr>
      <w:sdtEndPr>
        <w:rPr>
          <w:rFonts w:hint="eastAsia"/>
          <w:szCs w:val="21"/>
        </w:rPr>
      </w:sdtEndPr>
      <w:sdtContent>
        <w:p>
          <w:r>
            <w:rPr>
              <w:rFonts w:hint="eastAsia"/>
              <w:szCs w:val="21"/>
              <w:lang w:eastAsia="zh-CN"/>
            </w:rPr>
            <w:t>无</w:t>
          </w:r>
        </w:p>
      </w:sdtContent>
    </w:sdt>
    <w:p>
      <w:pPr>
        <w:pStyle w:val="6"/>
        <w:numPr>
          <w:ilvl w:val="0"/>
          <w:numId w:val="10"/>
        </w:numPr>
        <w:tabs>
          <w:tab w:val="left" w:pos="567"/>
        </w:tabs>
        <w:ind w:left="105" w:firstLine="0"/>
      </w:pPr>
      <w:bookmarkStart w:id="39"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25613"/>
        <w:placeholder>
          <w:docPart w:val="GBC22222222222222222222222222222"/>
        </w:placeholder>
      </w:sdtPr>
      <w:sdtEndPr>
        <w:rPr>
          <w:rFonts w:hint="eastAsia"/>
        </w:rPr>
      </w:sdtEnd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bookmarkEnd w:id="39"/>
    <w:p>
      <w:pPr>
        <w:pStyle w:val="6"/>
        <w:numPr>
          <w:ilvl w:val="0"/>
          <w:numId w:val="10"/>
        </w:numPr>
        <w:tabs>
          <w:tab w:val="left" w:pos="567"/>
        </w:tabs>
        <w:ind w:left="105" w:firstLine="0"/>
        <w:rPr>
          <w:szCs w:val="21"/>
        </w:rPr>
      </w:pPr>
      <w:r>
        <w:rPr>
          <w:szCs w:val="21"/>
        </w:rPr>
        <w:t>成本分析表</w:t>
      </w:r>
    </w:p>
    <w:p>
      <w:pPr>
        <w:pStyle w:val="63"/>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25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112"/>
        <w:gridCol w:w="1701"/>
        <w:gridCol w:w="1054"/>
        <w:gridCol w:w="1720"/>
        <w:gridCol w:w="1088"/>
        <w:gridCol w:w="1300"/>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rPr>
              <w:rFonts w:ascii="Times New Roman" w:hAnsi="Times New Roman" w:eastAsia="宋体"/>
            </w:rPr>
            <w:tag w:val="_PLD_23eca1a24a6a46819aede5056d21b4e0"/>
            <w:id w:val="3478"/>
          </w:sdtPr>
          <w:sdtEndPr>
            <w:rPr>
              <w:rFonts w:ascii="Times New Roman" w:hAnsi="Times New Roman" w:eastAsia="宋体"/>
            </w:rPr>
          </w:sdtEndPr>
          <w:sdtContent>
            <w:tc>
              <w:tcPr>
                <w:tcW w:w="5000" w:type="pct"/>
                <w:gridSpan w:val="8"/>
                <w:vAlign w:val="center"/>
              </w:tcPr>
              <w:p>
                <w:pPr>
                  <w:widowControl w:val="0"/>
                  <w:jc w:val="center"/>
                  <w:rPr>
                    <w:rFonts w:ascii="Times New Roman" w:hAnsi="Times New Roman" w:eastAsia="宋体"/>
                    <w:szCs w:val="21"/>
                  </w:rPr>
                </w:pPr>
                <w:r>
                  <w:rPr>
                    <w:rFonts w:ascii="Times New Roman" w:hAnsi="Times New Roman" w:eastAsia="宋体"/>
                    <w:szCs w:val="21"/>
                  </w:rPr>
                  <w:t>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Times New Roman" w:hAnsi="Times New Roman" w:eastAsia="宋体"/>
            </w:rPr>
            <w:tag w:val="_PLD_6ed773a4437a4fe9b33abca9c4813940"/>
            <w:id w:val="3479"/>
          </w:sdtPr>
          <w:sdtEndPr>
            <w:rPr>
              <w:rFonts w:ascii="Times New Roman" w:hAnsi="Times New Roman" w:eastAsia="宋体"/>
            </w:rPr>
          </w:sdtEndPr>
          <w:sdtContent>
            <w:tc>
              <w:tcPr>
                <w:tcW w:w="354" w:type="pct"/>
                <w:vAlign w:val="center"/>
              </w:tcPr>
              <w:p>
                <w:pPr>
                  <w:widowControl w:val="0"/>
                  <w:jc w:val="center"/>
                  <w:rPr>
                    <w:rFonts w:ascii="Times New Roman" w:hAnsi="Times New Roman" w:eastAsia="宋体"/>
                    <w:szCs w:val="21"/>
                  </w:rPr>
                </w:pPr>
                <w:r>
                  <w:rPr>
                    <w:rFonts w:ascii="Times New Roman" w:hAnsi="Times New Roman" w:eastAsia="宋体"/>
                    <w:szCs w:val="21"/>
                  </w:rPr>
                  <w:t>分行业</w:t>
                </w:r>
              </w:p>
            </w:tc>
          </w:sdtContent>
        </w:sdt>
        <w:sdt>
          <w:sdtPr>
            <w:rPr>
              <w:rFonts w:ascii="Times New Roman" w:hAnsi="Times New Roman" w:eastAsia="宋体"/>
            </w:rPr>
            <w:tag w:val="_PLD_11eb33bcb20d4489a1b9fff2216d0a84"/>
            <w:id w:val="3480"/>
          </w:sdtPr>
          <w:sdtEndPr>
            <w:rPr>
              <w:rFonts w:ascii="Times New Roman" w:hAnsi="Times New Roman" w:eastAsia="宋体"/>
            </w:rPr>
          </w:sdtEndPr>
          <w:sdtContent>
            <w:tc>
              <w:tcPr>
                <w:tcW w:w="603" w:type="pct"/>
                <w:vAlign w:val="center"/>
              </w:tcPr>
              <w:p>
                <w:pPr>
                  <w:widowControl w:val="0"/>
                  <w:jc w:val="center"/>
                  <w:rPr>
                    <w:rFonts w:ascii="Times New Roman" w:hAnsi="Times New Roman" w:eastAsia="宋体"/>
                    <w:szCs w:val="21"/>
                  </w:rPr>
                </w:pPr>
                <w:r>
                  <w:rPr>
                    <w:rFonts w:ascii="Times New Roman" w:hAnsi="Times New Roman" w:eastAsia="宋体"/>
                    <w:szCs w:val="21"/>
                  </w:rPr>
                  <w:t>成本构成项目</w:t>
                </w:r>
              </w:p>
            </w:tc>
          </w:sdtContent>
        </w:sdt>
        <w:sdt>
          <w:sdtPr>
            <w:rPr>
              <w:rFonts w:ascii="Times New Roman" w:hAnsi="Times New Roman" w:eastAsia="宋体"/>
            </w:rPr>
            <w:tag w:val="_PLD_25c03477e66a432199f6493c38aaca71"/>
            <w:id w:val="3481"/>
          </w:sdtPr>
          <w:sdtEndPr>
            <w:rPr>
              <w:rFonts w:ascii="Times New Roman" w:hAnsi="Times New Roman" w:eastAsia="宋体"/>
            </w:rPr>
          </w:sdtEndPr>
          <w:sdtContent>
            <w:tc>
              <w:tcPr>
                <w:tcW w:w="922" w:type="pct"/>
                <w:vAlign w:val="center"/>
              </w:tcPr>
              <w:p>
                <w:pPr>
                  <w:widowControl w:val="0"/>
                  <w:jc w:val="center"/>
                  <w:rPr>
                    <w:rFonts w:ascii="Times New Roman" w:hAnsi="Times New Roman" w:eastAsia="宋体"/>
                    <w:szCs w:val="21"/>
                  </w:rPr>
                </w:pPr>
                <w:r>
                  <w:rPr>
                    <w:rFonts w:ascii="Times New Roman" w:hAnsi="Times New Roman" w:eastAsia="宋体"/>
                    <w:szCs w:val="21"/>
                  </w:rPr>
                  <w:t>本期金额</w:t>
                </w:r>
              </w:p>
            </w:tc>
          </w:sdtContent>
        </w:sdt>
        <w:sdt>
          <w:sdtPr>
            <w:rPr>
              <w:rFonts w:ascii="Times New Roman" w:hAnsi="Times New Roman" w:eastAsia="宋体"/>
            </w:rPr>
            <w:tag w:val="_PLD_29b86b13ed1449cfb64b8547d9ed08a7"/>
            <w:id w:val="3482"/>
          </w:sdtPr>
          <w:sdtEndPr>
            <w:rPr>
              <w:rFonts w:ascii="Times New Roman" w:hAnsi="Times New Roman" w:eastAsia="宋体"/>
            </w:rPr>
          </w:sdtEndPr>
          <w:sdtContent>
            <w:tc>
              <w:tcPr>
                <w:tcW w:w="571" w:type="pct"/>
                <w:vAlign w:val="center"/>
              </w:tcPr>
              <w:p>
                <w:pPr>
                  <w:widowControl w:val="0"/>
                  <w:jc w:val="center"/>
                  <w:rPr>
                    <w:rFonts w:ascii="Times New Roman" w:hAnsi="Times New Roman" w:eastAsia="宋体"/>
                    <w:szCs w:val="21"/>
                  </w:rPr>
                </w:pPr>
                <w:r>
                  <w:rPr>
                    <w:rFonts w:ascii="Times New Roman" w:hAnsi="Times New Roman" w:eastAsia="宋体"/>
                    <w:szCs w:val="21"/>
                  </w:rPr>
                  <w:t>本期占总成本比例(</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5ff02c2ae2d941d5bb2ed5b1e6bfa8e6"/>
            <w:id w:val="3483"/>
          </w:sdtPr>
          <w:sdtEndPr>
            <w:rPr>
              <w:rFonts w:ascii="Times New Roman" w:hAnsi="Times New Roman" w:eastAsia="宋体"/>
            </w:rPr>
          </w:sdtEndPr>
          <w:sdtContent>
            <w:tc>
              <w:tcPr>
                <w:tcW w:w="933" w:type="pct"/>
                <w:vAlign w:val="center"/>
              </w:tcPr>
              <w:p>
                <w:pPr>
                  <w:widowControl w:val="0"/>
                  <w:jc w:val="center"/>
                  <w:rPr>
                    <w:rFonts w:ascii="Times New Roman" w:hAnsi="Times New Roman" w:eastAsia="宋体"/>
                    <w:szCs w:val="21"/>
                  </w:rPr>
                </w:pPr>
                <w:r>
                  <w:rPr>
                    <w:rFonts w:ascii="Times New Roman" w:hAnsi="Times New Roman" w:eastAsia="宋体"/>
                    <w:szCs w:val="21"/>
                  </w:rPr>
                  <w:t>上年同期金额</w:t>
                </w:r>
              </w:p>
            </w:tc>
          </w:sdtContent>
        </w:sdt>
        <w:sdt>
          <w:sdtPr>
            <w:rPr>
              <w:rFonts w:ascii="Times New Roman" w:hAnsi="Times New Roman" w:eastAsia="宋体"/>
            </w:rPr>
            <w:tag w:val="_PLD_517f7979a01748fba12b11d5561fdcdd"/>
            <w:id w:val="3484"/>
          </w:sdtPr>
          <w:sdtEndPr>
            <w:rPr>
              <w:rFonts w:ascii="Times New Roman" w:hAnsi="Times New Roman" w:eastAsia="宋体"/>
            </w:rPr>
          </w:sdtEndPr>
          <w:sdtContent>
            <w:tc>
              <w:tcPr>
                <w:tcW w:w="590" w:type="pct"/>
                <w:vAlign w:val="center"/>
              </w:tcPr>
              <w:p>
                <w:pPr>
                  <w:widowControl w:val="0"/>
                  <w:jc w:val="center"/>
                  <w:rPr>
                    <w:rFonts w:ascii="Times New Roman" w:hAnsi="Times New Roman" w:eastAsia="宋体"/>
                    <w:szCs w:val="21"/>
                  </w:rPr>
                </w:pPr>
                <w:r>
                  <w:rPr>
                    <w:rFonts w:ascii="Times New Roman" w:hAnsi="Times New Roman" w:eastAsia="宋体"/>
                    <w:szCs w:val="21"/>
                  </w:rPr>
                  <w:t>上年同期占总成本比例(</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51133d067ddc4eeda00133d4c26d206f"/>
            <w:id w:val="3485"/>
          </w:sdtPr>
          <w:sdtEndPr>
            <w:rPr>
              <w:rFonts w:ascii="Times New Roman" w:hAnsi="Times New Roman" w:eastAsia="宋体"/>
            </w:rPr>
          </w:sdtEndPr>
          <w:sdtContent>
            <w:tc>
              <w:tcPr>
                <w:tcW w:w="705" w:type="pct"/>
                <w:vAlign w:val="center"/>
              </w:tcPr>
              <w:p>
                <w:pPr>
                  <w:widowControl w:val="0"/>
                  <w:jc w:val="center"/>
                  <w:rPr>
                    <w:rFonts w:ascii="Times New Roman" w:hAnsi="Times New Roman" w:eastAsia="宋体"/>
                    <w:szCs w:val="21"/>
                  </w:rPr>
                </w:pPr>
                <w:r>
                  <w:rPr>
                    <w:rFonts w:ascii="Times New Roman" w:hAnsi="Times New Roman" w:eastAsia="宋体"/>
                    <w:szCs w:val="21"/>
                  </w:rPr>
                  <w:t>本期金额较上年同期变动比例(</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88c2b4dabd62472381be05c0702377e2"/>
            <w:id w:val="3486"/>
          </w:sdtPr>
          <w:sdtEndPr>
            <w:rPr>
              <w:rFonts w:ascii="Times New Roman" w:hAnsi="Times New Roman" w:eastAsia="宋体"/>
            </w:rPr>
          </w:sdtEndPr>
          <w:sdtContent>
            <w:tc>
              <w:tcPr>
                <w:tcW w:w="318" w:type="pct"/>
                <w:vAlign w:val="center"/>
              </w:tcPr>
              <w:p>
                <w:pPr>
                  <w:widowControl w:val="0"/>
                  <w:jc w:val="center"/>
                  <w:rPr>
                    <w:rFonts w:ascii="Times New Roman" w:hAnsi="Times New Roman" w:eastAsia="宋体"/>
                    <w:szCs w:val="21"/>
                  </w:rPr>
                </w:pPr>
                <w:r>
                  <w:rPr>
                    <w:rFonts w:ascii="Times New Roman" w:hAnsi="Times New Roman" w:eastAsia="宋体"/>
                    <w:szCs w:val="21"/>
                  </w:rPr>
                  <w:t>情况</w:t>
                </w:r>
              </w:p>
              <w:p>
                <w:pPr>
                  <w:widowControl w:val="0"/>
                  <w:jc w:val="center"/>
                  <w:rPr>
                    <w:rFonts w:ascii="Times New Roman" w:hAnsi="Times New Roman" w:eastAsia="宋体"/>
                    <w:szCs w:val="21"/>
                  </w:rPr>
                </w:pPr>
                <w:r>
                  <w:rPr>
                    <w:rFonts w:ascii="Times New Roman" w:hAnsi="Times New Roman" w:eastAsia="宋体"/>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restart"/>
            <w:vAlign w:val="center"/>
          </w:tcPr>
          <w:p>
            <w:pPr>
              <w:widowControl w:val="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工业</w:t>
            </w: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材料</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542,281,766.55 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65.99 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348,926,502.88 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62.88 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55.41 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hint="eastAsia" w:ascii="Times New Roman" w:hAnsi="Times New Roman" w:eastAsia="宋体"/>
                <w:szCs w:val="21"/>
                <w:lang w:val="en-US" w:eastAsia="zh-CN"/>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人工</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58,447,507.26 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7.11 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45,275,280.50 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8.16 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29.09 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hint="eastAsia" w:ascii="Times New Roman" w:hAnsi="Times New Roman" w:eastAsia="宋体"/>
                <w:szCs w:val="21"/>
                <w:lang w:val="en-US" w:eastAsia="zh-CN"/>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燃料动力</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16,916,153.25 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2.06 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14,174,638.28 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2.55 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19.34 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hint="eastAsia" w:ascii="Times New Roman" w:hAnsi="Times New Roman" w:eastAsia="宋体"/>
                <w:szCs w:val="21"/>
                <w:lang w:val="en-US" w:eastAsia="zh-CN"/>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制造费用</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34,765,718.30 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4.23 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40,369,211.15 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7.27 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-13.88 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hint="eastAsia" w:ascii="Times New Roman" w:hAnsi="Times New Roman" w:eastAsia="宋体"/>
                <w:szCs w:val="21"/>
                <w:lang w:val="en-US" w:eastAsia="zh-CN"/>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运输费用</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34,728,315.59 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4.23 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23,547,146.16 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4.24 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47.48 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hint="eastAsia" w:ascii="Times New Roman" w:hAnsi="Times New Roman" w:eastAsia="宋体"/>
                <w:szCs w:val="21"/>
                <w:lang w:val="en-US" w:eastAsia="zh-CN"/>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外购产品采购成本</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125,755,646.74 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15.30 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64,841,170.08 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11.69 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93.94 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hint="eastAsia" w:ascii="Times New Roman" w:hAnsi="Times New Roman" w:eastAsia="宋体"/>
                <w:szCs w:val="21"/>
                <w:lang w:val="en-US" w:eastAsia="zh-CN"/>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工业成本小计</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rPr>
              <w:t>812,895,107.69 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98.92 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537,133,949.05 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96.80 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51.34 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Align w:val="center"/>
          </w:tcPr>
          <w:p>
            <w:pPr>
              <w:widowControl w:val="0"/>
              <w:jc w:val="center"/>
              <w:rPr>
                <w:rFonts w:hint="eastAsia" w:ascii="Times New Roman" w:hAnsi="Times New Roman" w:eastAsia="宋体"/>
                <w:szCs w:val="21"/>
                <w:lang w:val="en-US" w:eastAsia="zh-CN"/>
              </w:rPr>
            </w:pPr>
            <w:r>
              <w:rPr>
                <w:rFonts w:hint="eastAsia" w:ascii="Times New Roman" w:hAnsi="Times New Roman" w:eastAsia="宋体" w:cs="宋体"/>
                <w:szCs w:val="21"/>
              </w:rPr>
              <w:t>商业贸易</w:t>
            </w: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商业贸易成本</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rPr>
              <w:t>8,842,782.46 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1.08 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17,770,163.02 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3.20 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-50.24 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Align w:val="center"/>
          </w:tcPr>
          <w:p>
            <w:pPr>
              <w:widowControl w:val="0"/>
              <w:jc w:val="center"/>
              <w:rPr>
                <w:rFonts w:hint="eastAsia" w:ascii="Times New Roman" w:hAnsi="Times New Roman" w:eastAsia="宋体"/>
                <w:szCs w:val="21"/>
                <w:lang w:val="en-US" w:eastAsia="zh-CN"/>
              </w:rPr>
            </w:pPr>
            <w:r>
              <w:rPr>
                <w:rFonts w:hint="eastAsia" w:ascii="Times New Roman" w:hAnsi="Times New Roman" w:eastAsia="宋体"/>
                <w:szCs w:val="21"/>
              </w:rPr>
              <w:t>合计</w:t>
            </w:r>
          </w:p>
        </w:tc>
        <w:tc>
          <w:tcPr>
            <w:tcW w:w="603" w:type="pct"/>
            <w:vAlign w:val="center"/>
          </w:tcPr>
          <w:p>
            <w:pPr>
              <w:widowControl w:val="0"/>
              <w:jc w:val="center"/>
              <w:rPr>
                <w:rFonts w:ascii="Times New Roman" w:hAnsi="Times New Roman" w:eastAsia="宋体"/>
                <w:szCs w:val="21"/>
              </w:rPr>
            </w:pPr>
          </w:p>
        </w:tc>
        <w:tc>
          <w:tcPr>
            <w:tcW w:w="922" w:type="pct"/>
            <w:vAlign w:val="center"/>
          </w:tcPr>
          <w:p>
            <w:pPr>
              <w:widowControl w:val="0"/>
              <w:jc w:val="right"/>
              <w:rPr>
                <w:rFonts w:hint="eastAsia" w:ascii="Times New Roman" w:hAnsi="Times New Roman" w:eastAsia="宋体"/>
                <w:szCs w:val="21"/>
                <w:lang w:eastAsia="zh-CN"/>
              </w:rPr>
            </w:pPr>
            <w:r>
              <w:rPr>
                <w:rFonts w:hint="eastAsia" w:ascii="Times New Roman" w:hAnsi="Times New Roman" w:eastAsia="宋体"/>
                <w:color w:val="auto"/>
                <w:szCs w:val="21"/>
                <w:lang w:eastAsia="zh-CN"/>
              </w:rPr>
              <w:t>821,737,890.15 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554,904,112.07 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48.09 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rPr>
              <w:rFonts w:ascii="Times New Roman" w:hAnsi="Times New Roman" w:eastAsia="宋体"/>
            </w:rPr>
            <w:tag w:val="_PLD_0092d9f33f1f4ccb96da6cc52c190e39"/>
            <w:id w:val="3487"/>
          </w:sdtPr>
          <w:sdtEndPr>
            <w:rPr>
              <w:rFonts w:ascii="Times New Roman" w:hAnsi="Times New Roman" w:eastAsia="宋体"/>
            </w:rPr>
          </w:sdtEndPr>
          <w:sdtContent>
            <w:tc>
              <w:tcPr>
                <w:tcW w:w="5000" w:type="pct"/>
                <w:gridSpan w:val="8"/>
                <w:vAlign w:val="center"/>
              </w:tcPr>
              <w:p>
                <w:pPr>
                  <w:widowControl w:val="0"/>
                  <w:jc w:val="center"/>
                  <w:rPr>
                    <w:rFonts w:ascii="Times New Roman" w:hAnsi="Times New Roman" w:eastAsia="宋体"/>
                    <w:szCs w:val="21"/>
                  </w:rPr>
                </w:pPr>
                <w:r>
                  <w:rPr>
                    <w:rFonts w:ascii="Times New Roman" w:hAnsi="Times New Roman" w:eastAsia="宋体"/>
                    <w:szCs w:val="21"/>
                  </w:rPr>
                  <w:t>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ascii="Times New Roman" w:hAnsi="Times New Roman" w:eastAsia="宋体"/>
            </w:rPr>
            <w:tag w:val="_PLD_c196e3eb716a4b75bda8de0a1a1a5780"/>
            <w:id w:val="3488"/>
          </w:sdtPr>
          <w:sdtEndPr>
            <w:rPr>
              <w:rFonts w:ascii="Times New Roman" w:hAnsi="Times New Roman" w:eastAsia="宋体"/>
            </w:rPr>
          </w:sdtEndPr>
          <w:sdtContent>
            <w:tc>
              <w:tcPr>
                <w:tcW w:w="354" w:type="pct"/>
                <w:vAlign w:val="center"/>
              </w:tcPr>
              <w:p>
                <w:pPr>
                  <w:widowControl w:val="0"/>
                  <w:jc w:val="center"/>
                  <w:rPr>
                    <w:rFonts w:ascii="Times New Roman" w:hAnsi="Times New Roman" w:eastAsia="宋体"/>
                    <w:szCs w:val="21"/>
                  </w:rPr>
                </w:pPr>
                <w:r>
                  <w:rPr>
                    <w:rFonts w:ascii="Times New Roman" w:hAnsi="Times New Roman" w:eastAsia="宋体"/>
                    <w:szCs w:val="21"/>
                  </w:rPr>
                  <w:t>分</w:t>
                </w:r>
                <w:r>
                  <w:rPr>
                    <w:rFonts w:hint="eastAsia" w:ascii="Times New Roman" w:hAnsi="Times New Roman" w:eastAsia="宋体"/>
                    <w:szCs w:val="21"/>
                  </w:rPr>
                  <w:t>产品</w:t>
                </w:r>
              </w:p>
            </w:tc>
          </w:sdtContent>
        </w:sdt>
        <w:sdt>
          <w:sdtPr>
            <w:rPr>
              <w:rFonts w:ascii="Times New Roman" w:hAnsi="Times New Roman" w:eastAsia="宋体"/>
            </w:rPr>
            <w:tag w:val="_PLD_9a4782df875a421fa22d5bb28b135494"/>
            <w:id w:val="3489"/>
          </w:sdtPr>
          <w:sdtEndPr>
            <w:rPr>
              <w:rFonts w:ascii="Times New Roman" w:hAnsi="Times New Roman" w:eastAsia="宋体"/>
            </w:rPr>
          </w:sdtEndPr>
          <w:sdtContent>
            <w:tc>
              <w:tcPr>
                <w:tcW w:w="603" w:type="pct"/>
                <w:vAlign w:val="center"/>
              </w:tcPr>
              <w:p>
                <w:pPr>
                  <w:widowControl w:val="0"/>
                  <w:jc w:val="center"/>
                  <w:rPr>
                    <w:rFonts w:ascii="Times New Roman" w:hAnsi="Times New Roman" w:eastAsia="宋体"/>
                    <w:szCs w:val="21"/>
                  </w:rPr>
                </w:pPr>
                <w:r>
                  <w:rPr>
                    <w:rFonts w:ascii="Times New Roman" w:hAnsi="Times New Roman" w:eastAsia="宋体"/>
                    <w:szCs w:val="21"/>
                  </w:rPr>
                  <w:t>成本构成项目</w:t>
                </w:r>
              </w:p>
            </w:tc>
          </w:sdtContent>
        </w:sdt>
        <w:sdt>
          <w:sdtPr>
            <w:rPr>
              <w:rFonts w:ascii="Times New Roman" w:hAnsi="Times New Roman" w:eastAsia="宋体"/>
            </w:rPr>
            <w:tag w:val="_PLD_3ddf6750761e4cb5a3c10274752059ad"/>
            <w:id w:val="3490"/>
          </w:sdtPr>
          <w:sdtEndPr>
            <w:rPr>
              <w:rFonts w:ascii="Times New Roman" w:hAnsi="Times New Roman" w:eastAsia="宋体"/>
            </w:rPr>
          </w:sdtEndPr>
          <w:sdtContent>
            <w:tc>
              <w:tcPr>
                <w:tcW w:w="922" w:type="pct"/>
                <w:vAlign w:val="center"/>
              </w:tcPr>
              <w:p>
                <w:pPr>
                  <w:widowControl w:val="0"/>
                  <w:jc w:val="center"/>
                  <w:rPr>
                    <w:rFonts w:ascii="Times New Roman" w:hAnsi="Times New Roman" w:eastAsia="宋体"/>
                    <w:szCs w:val="21"/>
                  </w:rPr>
                </w:pPr>
                <w:r>
                  <w:rPr>
                    <w:rFonts w:ascii="Times New Roman" w:hAnsi="Times New Roman" w:eastAsia="宋体"/>
                    <w:szCs w:val="21"/>
                  </w:rPr>
                  <w:t>本期金额</w:t>
                </w:r>
              </w:p>
            </w:tc>
          </w:sdtContent>
        </w:sdt>
        <w:sdt>
          <w:sdtPr>
            <w:rPr>
              <w:rFonts w:ascii="Times New Roman" w:hAnsi="Times New Roman" w:eastAsia="宋体"/>
            </w:rPr>
            <w:tag w:val="_PLD_dcb03e51a739483781a7336e1a9b6c53"/>
            <w:id w:val="3491"/>
          </w:sdtPr>
          <w:sdtEndPr>
            <w:rPr>
              <w:rFonts w:ascii="Times New Roman" w:hAnsi="Times New Roman" w:eastAsia="宋体"/>
            </w:rPr>
          </w:sdtEndPr>
          <w:sdtContent>
            <w:tc>
              <w:tcPr>
                <w:tcW w:w="571" w:type="pct"/>
                <w:vAlign w:val="center"/>
              </w:tcPr>
              <w:p>
                <w:pPr>
                  <w:widowControl w:val="0"/>
                  <w:jc w:val="center"/>
                  <w:rPr>
                    <w:rFonts w:ascii="Times New Roman" w:hAnsi="Times New Roman" w:eastAsia="宋体"/>
                    <w:szCs w:val="21"/>
                  </w:rPr>
                </w:pPr>
                <w:r>
                  <w:rPr>
                    <w:rFonts w:ascii="Times New Roman" w:hAnsi="Times New Roman" w:eastAsia="宋体"/>
                    <w:szCs w:val="21"/>
                  </w:rPr>
                  <w:t>本期占总成本比例(</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fe6b2171d862410980857c00f504b451"/>
            <w:id w:val="3492"/>
          </w:sdtPr>
          <w:sdtEndPr>
            <w:rPr>
              <w:rFonts w:ascii="Times New Roman" w:hAnsi="Times New Roman" w:eastAsia="宋体"/>
            </w:rPr>
          </w:sdtEndPr>
          <w:sdtContent>
            <w:tc>
              <w:tcPr>
                <w:tcW w:w="933" w:type="pct"/>
                <w:vAlign w:val="center"/>
              </w:tcPr>
              <w:p>
                <w:pPr>
                  <w:widowControl w:val="0"/>
                  <w:jc w:val="center"/>
                  <w:rPr>
                    <w:rFonts w:ascii="Times New Roman" w:hAnsi="Times New Roman" w:eastAsia="宋体"/>
                    <w:szCs w:val="21"/>
                  </w:rPr>
                </w:pPr>
                <w:r>
                  <w:rPr>
                    <w:rFonts w:ascii="Times New Roman" w:hAnsi="Times New Roman" w:eastAsia="宋体"/>
                    <w:szCs w:val="21"/>
                  </w:rPr>
                  <w:t>上年同期金额</w:t>
                </w:r>
              </w:p>
            </w:tc>
          </w:sdtContent>
        </w:sdt>
        <w:sdt>
          <w:sdtPr>
            <w:rPr>
              <w:rFonts w:ascii="Times New Roman" w:hAnsi="Times New Roman" w:eastAsia="宋体"/>
            </w:rPr>
            <w:tag w:val="_PLD_4cf5110e7be04df78012e249a0900292"/>
            <w:id w:val="3493"/>
          </w:sdtPr>
          <w:sdtEndPr>
            <w:rPr>
              <w:rFonts w:ascii="Times New Roman" w:hAnsi="Times New Roman" w:eastAsia="宋体"/>
            </w:rPr>
          </w:sdtEndPr>
          <w:sdtContent>
            <w:tc>
              <w:tcPr>
                <w:tcW w:w="590" w:type="pct"/>
                <w:vAlign w:val="center"/>
              </w:tcPr>
              <w:p>
                <w:pPr>
                  <w:widowControl w:val="0"/>
                  <w:jc w:val="center"/>
                  <w:rPr>
                    <w:rFonts w:ascii="Times New Roman" w:hAnsi="Times New Roman" w:eastAsia="宋体"/>
                    <w:szCs w:val="21"/>
                  </w:rPr>
                </w:pPr>
                <w:r>
                  <w:rPr>
                    <w:rFonts w:ascii="Times New Roman" w:hAnsi="Times New Roman" w:eastAsia="宋体"/>
                    <w:szCs w:val="21"/>
                  </w:rPr>
                  <w:t>上年同期占总成本比例(</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efbc8491fdf34506bf7690ab3a8f6402"/>
            <w:id w:val="3494"/>
          </w:sdtPr>
          <w:sdtEndPr>
            <w:rPr>
              <w:rFonts w:ascii="Times New Roman" w:hAnsi="Times New Roman" w:eastAsia="宋体"/>
            </w:rPr>
          </w:sdtEndPr>
          <w:sdtContent>
            <w:tc>
              <w:tcPr>
                <w:tcW w:w="705" w:type="pct"/>
                <w:vAlign w:val="center"/>
              </w:tcPr>
              <w:p>
                <w:pPr>
                  <w:widowControl w:val="0"/>
                  <w:jc w:val="center"/>
                  <w:rPr>
                    <w:rFonts w:ascii="Times New Roman" w:hAnsi="Times New Roman" w:eastAsia="宋体"/>
                    <w:szCs w:val="21"/>
                  </w:rPr>
                </w:pPr>
                <w:r>
                  <w:rPr>
                    <w:rFonts w:ascii="Times New Roman" w:hAnsi="Times New Roman" w:eastAsia="宋体"/>
                    <w:szCs w:val="21"/>
                  </w:rPr>
                  <w:t>本期金额较上年同期变动比例(</w:t>
                </w:r>
                <w:r>
                  <w:rPr>
                    <w:rFonts w:hint="eastAsia" w:ascii="Times New Roman" w:hAnsi="Times New Roman" w:eastAsia="宋体"/>
                    <w:szCs w:val="21"/>
                  </w:rPr>
                  <w:t>%</w:t>
                </w:r>
                <w:r>
                  <w:rPr>
                    <w:rFonts w:ascii="Times New Roman" w:hAnsi="Times New Roman" w:eastAsia="宋体"/>
                    <w:szCs w:val="21"/>
                  </w:rPr>
                  <w:t>)</w:t>
                </w:r>
              </w:p>
            </w:tc>
          </w:sdtContent>
        </w:sdt>
        <w:sdt>
          <w:sdtPr>
            <w:rPr>
              <w:rFonts w:ascii="Times New Roman" w:hAnsi="Times New Roman" w:eastAsia="宋体"/>
            </w:rPr>
            <w:tag w:val="_PLD_b8e943b8220340c7810a554346594426"/>
            <w:id w:val="3495"/>
          </w:sdtPr>
          <w:sdtEndPr>
            <w:rPr>
              <w:rFonts w:ascii="Times New Roman" w:hAnsi="Times New Roman" w:eastAsia="宋体"/>
            </w:rPr>
          </w:sdtEndPr>
          <w:sdtContent>
            <w:tc>
              <w:tcPr>
                <w:tcW w:w="318" w:type="pct"/>
                <w:vAlign w:val="center"/>
              </w:tcPr>
              <w:p>
                <w:pPr>
                  <w:widowControl w:val="0"/>
                  <w:jc w:val="center"/>
                  <w:rPr>
                    <w:rFonts w:ascii="Times New Roman" w:hAnsi="Times New Roman" w:eastAsia="宋体"/>
                    <w:szCs w:val="21"/>
                  </w:rPr>
                </w:pPr>
                <w:r>
                  <w:rPr>
                    <w:rFonts w:ascii="Times New Roman" w:hAnsi="Times New Roman" w:eastAsia="宋体"/>
                    <w:szCs w:val="21"/>
                  </w:rPr>
                  <w:t>情况</w:t>
                </w:r>
              </w:p>
              <w:p>
                <w:pPr>
                  <w:widowControl w:val="0"/>
                  <w:jc w:val="center"/>
                  <w:rPr>
                    <w:rFonts w:ascii="Times New Roman" w:hAnsi="Times New Roman" w:eastAsia="宋体"/>
                    <w:szCs w:val="21"/>
                  </w:rPr>
                </w:pPr>
                <w:r>
                  <w:rPr>
                    <w:rFonts w:ascii="Times New Roman" w:hAnsi="Times New Roman" w:eastAsia="宋体"/>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restart"/>
            <w:vAlign w:val="center"/>
          </w:tcPr>
          <w:p>
            <w:pPr>
              <w:widowControl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日化产品</w:t>
            </w:r>
          </w:p>
        </w:tc>
        <w:tc>
          <w:tcPr>
            <w:tcW w:w="603" w:type="pct"/>
            <w:tcBorders>
              <w:bottom w:val="single" w:color="auto" w:sz="4" w:space="0"/>
            </w:tcBorders>
            <w:vAlign w:val="center"/>
          </w:tcPr>
          <w:p>
            <w:pPr>
              <w:widowControl w:val="0"/>
              <w:jc w:val="center"/>
              <w:rPr>
                <w:rFonts w:ascii="Times New Roman" w:hAnsi="Times New Roman" w:eastAsia="宋体"/>
                <w:szCs w:val="21"/>
              </w:rPr>
            </w:pPr>
            <w:r>
              <w:rPr>
                <w:rFonts w:ascii="Times New Roman" w:hAnsi="Times New Roman" w:eastAsia="宋体"/>
              </w:rPr>
              <w:t>材料</w:t>
            </w:r>
          </w:p>
        </w:tc>
        <w:tc>
          <w:tcPr>
            <w:tcW w:w="922"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color w:val="auto"/>
              </w:rPr>
              <w:t>496,539,755.43 </w:t>
            </w:r>
          </w:p>
        </w:tc>
        <w:tc>
          <w:tcPr>
            <w:tcW w:w="571"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66.41 </w:t>
            </w:r>
          </w:p>
        </w:tc>
        <w:tc>
          <w:tcPr>
            <w:tcW w:w="933"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311,192,306.98 </w:t>
            </w:r>
          </w:p>
        </w:tc>
        <w:tc>
          <w:tcPr>
            <w:tcW w:w="590"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64.67 </w:t>
            </w:r>
          </w:p>
        </w:tc>
        <w:tc>
          <w:tcPr>
            <w:tcW w:w="705"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59.56 </w:t>
            </w:r>
          </w:p>
        </w:tc>
        <w:tc>
          <w:tcPr>
            <w:tcW w:w="318" w:type="pct"/>
            <w:tcBorders>
              <w:bottom w:val="single" w:color="auto" w:sz="4" w:space="0"/>
            </w:tcBorders>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人工</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50,400,146.57 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6.74 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37,078,910.70 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7.71 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35.93 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燃料动力</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12,979,468.55 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1.74 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10,066,363.06 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2.09 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28.94 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制造费用</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31,332,598.80 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4.19 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36,352,918.56 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7.55 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-13.81 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运输费用</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33,409,148.03 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4.47 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22,384,198.20 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4.65 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49.25 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外购产品采购成本</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122,988,577.25 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16.45 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64,120,128.51 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13.33 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91.81 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小计</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rPr>
              <w:t>747,649,694.63 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481,194,826.01 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55.37 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restart"/>
            <w:vAlign w:val="center"/>
          </w:tcPr>
          <w:p>
            <w:pPr>
              <w:widowControl w:val="0"/>
              <w:bidi w:val="0"/>
              <w:jc w:val="both"/>
              <w:rPr>
                <w:rFonts w:ascii="Times New Roman" w:hAnsi="Times New Roman" w:eastAsia="宋体"/>
                <w:lang w:val="en-US" w:eastAsia="zh-CN"/>
              </w:rPr>
            </w:pPr>
          </w:p>
          <w:p>
            <w:pPr>
              <w:widowControl w:val="0"/>
              <w:bidi w:val="0"/>
              <w:jc w:val="both"/>
              <w:rPr>
                <w:rFonts w:hint="default" w:ascii="Times New Roman" w:hAnsi="Times New Roman" w:eastAsia="宋体"/>
                <w:lang w:val="en-US" w:eastAsia="zh-CN"/>
              </w:rPr>
            </w:pPr>
            <w:r>
              <w:rPr>
                <w:rFonts w:hint="eastAsia" w:ascii="Times New Roman" w:hAnsi="Times New Roman" w:eastAsia="宋体"/>
                <w:lang w:val="en-US" w:eastAsia="zh-CN"/>
              </w:rPr>
              <w:t>药品</w:t>
            </w: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材料</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45,742,011.12 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70.11 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37,734,195.90 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67.46 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21.22 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人工</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8,047,360.69 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12.33 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8,196,369.80 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14.65 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-1.82 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燃料动力</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3,936,684.70 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6.03 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4,108,275.22 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7.34 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-4.18 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制造费用</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3,433,119.50 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5.26 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4,016,292.59 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7.18 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-14.52 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运输费用</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1,319,167.56 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2.02 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1,162,947.96 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2.08 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13.43 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外购产品采购成本</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color w:val="auto"/>
              </w:rPr>
              <w:t>2,767,069.49 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4.24 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721,041.57 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1.29 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283.76 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Merge w:val="continue"/>
            <w:vAlign w:val="center"/>
          </w:tcPr>
          <w:p>
            <w:pPr>
              <w:widowControl w:val="0"/>
              <w:jc w:val="center"/>
              <w:rPr>
                <w:rFonts w:ascii="Times New Roman" w:hAnsi="Times New Roman" w:eastAsia="宋体"/>
                <w:szCs w:val="21"/>
              </w:rPr>
            </w:pPr>
          </w:p>
        </w:tc>
        <w:tc>
          <w:tcPr>
            <w:tcW w:w="603" w:type="pct"/>
            <w:vAlign w:val="center"/>
          </w:tcPr>
          <w:p>
            <w:pPr>
              <w:widowControl w:val="0"/>
              <w:jc w:val="center"/>
              <w:rPr>
                <w:rFonts w:ascii="Times New Roman" w:hAnsi="Times New Roman" w:eastAsia="宋体"/>
                <w:szCs w:val="21"/>
              </w:rPr>
            </w:pPr>
            <w:r>
              <w:rPr>
                <w:rFonts w:ascii="Times New Roman" w:hAnsi="Times New Roman" w:eastAsia="宋体"/>
              </w:rPr>
              <w:t>小计</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rPr>
              <w:t>65,245,413.06 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55,939,123.04 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16.64 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vAlign w:val="center"/>
          </w:tcPr>
          <w:p>
            <w:pPr>
              <w:widowControl w:val="0"/>
              <w:jc w:val="center"/>
              <w:rPr>
                <w:rFonts w:ascii="Times New Roman" w:hAnsi="Times New Roman" w:eastAsia="宋体"/>
                <w:szCs w:val="21"/>
              </w:rPr>
            </w:pPr>
            <w:r>
              <w:rPr>
                <w:rFonts w:ascii="Times New Roman" w:hAnsi="Times New Roman" w:eastAsia="宋体"/>
              </w:rPr>
              <w:t>商业贸易</w:t>
            </w:r>
          </w:p>
        </w:tc>
        <w:tc>
          <w:tcPr>
            <w:tcW w:w="603" w:type="pct"/>
            <w:vAlign w:val="center"/>
          </w:tcPr>
          <w:p>
            <w:pPr>
              <w:widowControl w:val="0"/>
              <w:jc w:val="center"/>
              <w:rPr>
                <w:rFonts w:ascii="Times New Roman" w:hAnsi="Times New Roman" w:eastAsia="宋体"/>
              </w:rPr>
            </w:pPr>
            <w:r>
              <w:rPr>
                <w:rFonts w:ascii="Times New Roman" w:hAnsi="Times New Roman" w:eastAsia="宋体"/>
              </w:rPr>
              <w:t>商业贸易</w:t>
            </w:r>
          </w:p>
        </w:tc>
        <w:tc>
          <w:tcPr>
            <w:tcW w:w="922" w:type="pct"/>
            <w:vAlign w:val="center"/>
          </w:tcPr>
          <w:p>
            <w:pPr>
              <w:widowControl w:val="0"/>
              <w:jc w:val="right"/>
              <w:rPr>
                <w:rFonts w:ascii="Times New Roman" w:hAnsi="Times New Roman" w:eastAsia="宋体"/>
                <w:szCs w:val="21"/>
              </w:rPr>
            </w:pPr>
            <w:r>
              <w:rPr>
                <w:rFonts w:ascii="Times New Roman" w:hAnsi="Times New Roman" w:eastAsia="宋体"/>
              </w:rPr>
              <w:t>8,842,782.46 </w:t>
            </w:r>
          </w:p>
        </w:tc>
        <w:tc>
          <w:tcPr>
            <w:tcW w:w="571"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933" w:type="pct"/>
            <w:vAlign w:val="center"/>
          </w:tcPr>
          <w:p>
            <w:pPr>
              <w:widowControl w:val="0"/>
              <w:jc w:val="right"/>
              <w:rPr>
                <w:rFonts w:ascii="Times New Roman" w:hAnsi="Times New Roman" w:eastAsia="宋体"/>
                <w:szCs w:val="21"/>
              </w:rPr>
            </w:pPr>
            <w:r>
              <w:rPr>
                <w:rFonts w:ascii="Times New Roman" w:hAnsi="Times New Roman" w:eastAsia="宋体"/>
              </w:rPr>
              <w:t>17,770,163.02 </w:t>
            </w:r>
          </w:p>
        </w:tc>
        <w:tc>
          <w:tcPr>
            <w:tcW w:w="590" w:type="pct"/>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705" w:type="pct"/>
            <w:vAlign w:val="center"/>
          </w:tcPr>
          <w:p>
            <w:pPr>
              <w:widowControl w:val="0"/>
              <w:jc w:val="right"/>
              <w:rPr>
                <w:rFonts w:ascii="Times New Roman" w:hAnsi="Times New Roman" w:eastAsia="宋体"/>
                <w:szCs w:val="21"/>
              </w:rPr>
            </w:pPr>
            <w:r>
              <w:rPr>
                <w:rFonts w:ascii="Times New Roman" w:hAnsi="Times New Roman" w:eastAsia="宋体"/>
              </w:rPr>
              <w:t>-50.2</w:t>
            </w:r>
            <w:r>
              <w:rPr>
                <w:rFonts w:hint="eastAsia" w:ascii="Times New Roman" w:hAnsi="Times New Roman" w:eastAsia="宋体"/>
                <w:lang w:val="en-US" w:eastAsia="zh-CN"/>
              </w:rPr>
              <w:t>4</w:t>
            </w:r>
            <w:r>
              <w:rPr>
                <w:rFonts w:ascii="Times New Roman" w:hAnsi="Times New Roman" w:eastAsia="宋体"/>
              </w:rPr>
              <w:t> </w:t>
            </w:r>
          </w:p>
        </w:tc>
        <w:tc>
          <w:tcPr>
            <w:tcW w:w="318" w:type="pct"/>
          </w:tcPr>
          <w:p>
            <w:pPr>
              <w:widowControl w:val="0"/>
              <w:jc w:val="left"/>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54" w:type="pct"/>
            <w:tcBorders>
              <w:bottom w:val="single" w:color="auto" w:sz="4" w:space="0"/>
            </w:tcBorders>
            <w:vAlign w:val="center"/>
          </w:tcPr>
          <w:p>
            <w:pPr>
              <w:widowControl w:val="0"/>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合计</w:t>
            </w:r>
          </w:p>
        </w:tc>
        <w:tc>
          <w:tcPr>
            <w:tcW w:w="603" w:type="pct"/>
            <w:tcBorders>
              <w:bottom w:val="single" w:color="auto" w:sz="4" w:space="0"/>
            </w:tcBorders>
            <w:vAlign w:val="center"/>
          </w:tcPr>
          <w:p>
            <w:pPr>
              <w:widowControl w:val="0"/>
              <w:jc w:val="center"/>
              <w:rPr>
                <w:rFonts w:ascii="Times New Roman" w:hAnsi="Times New Roman" w:eastAsia="宋体"/>
              </w:rPr>
            </w:pPr>
          </w:p>
        </w:tc>
        <w:tc>
          <w:tcPr>
            <w:tcW w:w="922"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821,737,890.15 </w:t>
            </w:r>
          </w:p>
        </w:tc>
        <w:tc>
          <w:tcPr>
            <w:tcW w:w="571"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933"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554,904,112.07 </w:t>
            </w:r>
          </w:p>
        </w:tc>
        <w:tc>
          <w:tcPr>
            <w:tcW w:w="590"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100.00 </w:t>
            </w:r>
          </w:p>
        </w:tc>
        <w:tc>
          <w:tcPr>
            <w:tcW w:w="705" w:type="pct"/>
            <w:tcBorders>
              <w:bottom w:val="single" w:color="auto" w:sz="4" w:space="0"/>
            </w:tcBorders>
            <w:vAlign w:val="center"/>
          </w:tcPr>
          <w:p>
            <w:pPr>
              <w:widowControl w:val="0"/>
              <w:jc w:val="right"/>
              <w:rPr>
                <w:rFonts w:ascii="Times New Roman" w:hAnsi="Times New Roman" w:eastAsia="宋体"/>
                <w:szCs w:val="21"/>
              </w:rPr>
            </w:pPr>
            <w:r>
              <w:rPr>
                <w:rFonts w:ascii="Times New Roman" w:hAnsi="Times New Roman" w:eastAsia="宋体"/>
              </w:rPr>
              <w:t>48.09 </w:t>
            </w:r>
          </w:p>
        </w:tc>
        <w:tc>
          <w:tcPr>
            <w:tcW w:w="318" w:type="pct"/>
            <w:tcBorders>
              <w:bottom w:val="single" w:color="auto" w:sz="4" w:space="0"/>
            </w:tcBorders>
          </w:tcPr>
          <w:p>
            <w:pPr>
              <w:widowControl w:val="0"/>
              <w:jc w:val="left"/>
              <w:rPr>
                <w:rFonts w:ascii="Times New Roman" w:hAnsi="Times New Roman" w:eastAsia="宋体"/>
                <w:szCs w:val="21"/>
              </w:rPr>
            </w:pPr>
          </w:p>
        </w:tc>
      </w:tr>
    </w:tbl>
    <w:p/>
    <w:p>
      <w:pPr>
        <w:rPr>
          <w:szCs w:val="21"/>
        </w:rPr>
      </w:pPr>
      <w:r>
        <w:rPr>
          <w:rFonts w:hint="eastAsia"/>
          <w:szCs w:val="21"/>
        </w:rPr>
        <w:t>成本分析其他情况说明</w:t>
      </w:r>
    </w:p>
    <w:sdt>
      <w:sdtPr>
        <w:rPr>
          <w:rFonts w:hint="eastAsia"/>
          <w:szCs w:val="21"/>
        </w:rPr>
        <w:alias w:val="成本分析其他情况"/>
        <w:tag w:val="_GBC_93fdd34ed0d546d3bf448336c6187b3a"/>
        <w:id w:val="25633"/>
        <w:placeholder>
          <w:docPart w:val="GBC22222222222222222222222222222"/>
        </w:placeholder>
      </w:sdtPr>
      <w:sdtEndPr>
        <w:rPr>
          <w:rFonts w:hint="eastAsia"/>
          <w:szCs w:val="21"/>
        </w:rPr>
      </w:sdtEndPr>
      <w:sdtContent>
        <w:p>
          <w:pPr>
            <w:rPr>
              <w:szCs w:val="21"/>
            </w:rPr>
          </w:pPr>
          <w:r>
            <w:rPr>
              <w:rFonts w:hint="eastAsia"/>
              <w:szCs w:val="21"/>
              <w:lang w:eastAsia="zh-CN"/>
            </w:rPr>
            <w:t>无</w:t>
          </w:r>
        </w:p>
      </w:sdtContent>
    </w:sdt>
    <w:p>
      <w:pPr>
        <w:rPr>
          <w:szCs w:val="21"/>
        </w:rPr>
      </w:pPr>
    </w:p>
    <w:p>
      <w:pPr>
        <w:pStyle w:val="6"/>
        <w:numPr>
          <w:ilvl w:val="0"/>
          <w:numId w:val="10"/>
        </w:numPr>
        <w:tabs>
          <w:tab w:val="left" w:pos="567"/>
        </w:tabs>
        <w:ind w:left="105" w:firstLine="0"/>
        <w:rPr>
          <w:szCs w:val="21"/>
        </w:rPr>
      </w:pPr>
      <w:bookmarkStart w:id="40" w:name="_Hlk89876513"/>
      <w:r>
        <w:rPr>
          <w:szCs w:val="21"/>
        </w:rPr>
        <w:t>报告期</w:t>
      </w:r>
      <w:r>
        <w:t>主要子公司股权变动导致合并范围变化</w:t>
      </w:r>
    </w:p>
    <w:sdt>
      <w:sdtPr>
        <w:alias w:val="是否适用：报告期主要子公司股权变动导致合并范围变化 [双击切换]"/>
        <w:tag w:val="_GBC_f684be8377fd464e8fc7d9a0e6df7b78"/>
        <w:id w:val="25634"/>
        <w:placeholder>
          <w:docPart w:val="GBC22222222222222222222222222222"/>
        </w:placeholder>
      </w:sdtPr>
      <w:sdtContent>
        <w:p>
          <w:pPr>
            <w:outlineLvl w:val="9"/>
            <w:rPr>
              <w:color w:val="333399"/>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6"/>
        <w:numPr>
          <w:ilvl w:val="0"/>
          <w:numId w:val="10"/>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25635"/>
        <w:placeholder>
          <w:docPart w:val="GBC22222222222222222222222222222"/>
        </w:placeholder>
      </w:sdtPr>
      <w:sdtContent>
        <w:p>
          <w:pPr>
            <w:outlineLvl w:val="9"/>
            <w:rPr>
              <w:color w:val="333399"/>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bookmarkEnd w:id="40"/>
    <w:p>
      <w:pPr>
        <w:pStyle w:val="6"/>
        <w:numPr>
          <w:ilvl w:val="0"/>
          <w:numId w:val="10"/>
        </w:numPr>
        <w:tabs>
          <w:tab w:val="left" w:pos="567"/>
        </w:tabs>
        <w:ind w:left="105" w:firstLine="0"/>
        <w:rPr>
          <w:szCs w:val="21"/>
        </w:rPr>
      </w:pPr>
      <w:r>
        <w:rPr>
          <w:szCs w:val="21"/>
        </w:rPr>
        <w:t>主要销售客户及主要供应商情况</w:t>
      </w:r>
    </w:p>
    <w:p>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25636"/>
        <w:lock w:val="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hint="default" w:ascii="Times New Roman" w:hAnsi="Times New Roman" w:cs="Times New Roman"/>
          <w:szCs w:val="21"/>
        </w:rPr>
      </w:pPr>
      <w:r>
        <w:rPr>
          <w:rFonts w:hint="eastAsia"/>
          <w:szCs w:val="21"/>
        </w:rPr>
        <w:t>前五名客户销售额</w:t>
      </w:r>
      <w:sdt>
        <w:sdtPr>
          <w:rPr>
            <w:rFonts w:hint="eastAsia"/>
            <w:szCs w:val="21"/>
          </w:rPr>
          <w:alias w:val="前五名客户销售额"/>
          <w:tag w:val="_GBC_e497000fdfbc4e548555b7f8ddf9780c"/>
          <w:id w:val="25637"/>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13,433.64</w:t>
          </w:r>
        </w:sdtContent>
      </w:sdt>
      <w:sdt>
        <w:sdtPr>
          <w:rPr>
            <w:rFonts w:hint="default" w:ascii="Times New Roman" w:hAnsi="Times New Roman" w:cs="Times New Roman"/>
            <w:szCs w:val="21"/>
          </w:rPr>
          <w:alias w:val="单位：前五名客户销售额"/>
          <w:tag w:val="_GBC_4bd6620b209a4bae8dc3404e8b89ea35"/>
          <w:id w:val="256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imes New Roman" w:hAnsi="Times New Roman" w:cs="Times New Roman"/>
            <w:szCs w:val="21"/>
          </w:rPr>
        </w:sdtEndPr>
        <w:sdtContent>
          <w:r>
            <w:rPr>
              <w:rFonts w:hint="default" w:ascii="Times New Roman" w:hAnsi="Times New Roman" w:cs="Times New Roman"/>
              <w:szCs w:val="21"/>
            </w:rPr>
            <w:t>万元</w:t>
          </w:r>
        </w:sdtContent>
      </w:sdt>
      <w:r>
        <w:rPr>
          <w:szCs w:val="21"/>
        </w:rPr>
        <w:t>，占年度销售总额</w:t>
      </w:r>
      <w:sdt>
        <w:sdtPr>
          <w:rPr>
            <w:szCs w:val="21"/>
          </w:rPr>
          <w:alias w:val="前五名客户销售额占年度销售总额比例"/>
          <w:tag w:val="_GBC_68b3c8b493d04b6c9db16e7e475d7b35"/>
          <w:id w:val="25639"/>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w:t>
          </w:r>
          <w:r>
            <w:rPr>
              <w:rFonts w:hint="default" w:ascii="Times New Roman" w:hAnsi="Times New Roman" w:cs="Times New Roman"/>
              <w:szCs w:val="21"/>
              <w:lang w:val="en-US" w:eastAsia="zh-CN"/>
            </w:rPr>
            <w:t>3.76</w:t>
          </w:r>
        </w:sdtContent>
      </w:sdt>
      <w:r>
        <w:rPr>
          <w:rFonts w:hint="default" w:ascii="Times New Roman" w:hAnsi="Times New Roman" w:cs="Times New Roman"/>
          <w:szCs w:val="21"/>
        </w:rPr>
        <w:t>%；其中前五名客户销售额中关联方销售额</w:t>
      </w:r>
      <w:sdt>
        <w:sdtPr>
          <w:rPr>
            <w:rFonts w:hint="default" w:ascii="Times New Roman" w:hAnsi="Times New Roman" w:cs="Times New Roman"/>
            <w:szCs w:val="21"/>
          </w:rPr>
          <w:alias w:val="前五名客户销售额中关联方销售额"/>
          <w:tag w:val="_GBC_bfa0971257a44f65996f01cfb0497b07"/>
          <w:id w:val="25640"/>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sdt>
        <w:sdtPr>
          <w:rPr>
            <w:rFonts w:hint="default" w:ascii="Times New Roman" w:hAnsi="Times New Roman" w:cs="Times New Roman"/>
            <w:szCs w:val="21"/>
          </w:rPr>
          <w:alias w:val="单位：前五名客户销售额中关联方销售额"/>
          <w:tag w:val="_GBC_f3c03afc93a5429f9fa45fc25f9018ab"/>
          <w:id w:val="256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，占年度销售总额</w:t>
      </w:r>
      <w:sdt>
        <w:sdtPr>
          <w:rPr>
            <w:rFonts w:hint="default" w:ascii="Times New Roman" w:hAnsi="Times New Roman" w:cs="Times New Roman"/>
            <w:szCs w:val="21"/>
          </w:rPr>
          <w:alias w:val="前五名客户销售额中关联方销售额占年度销售总额比例"/>
          <w:tag w:val="_GBC_a84a9f2fd5cd467fa7226eab846a8fd4"/>
          <w:id w:val="25642"/>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r>
        <w:rPr>
          <w:rFonts w:hint="default" w:ascii="Times New Roman" w:hAnsi="Times New Roman" w:cs="Times New Roman"/>
          <w:szCs w:val="21"/>
        </w:rPr>
        <w:t>%。</w:t>
      </w:r>
    </w:p>
    <w:p>
      <w:pPr>
        <w:rPr>
          <w:szCs w:val="21"/>
        </w:rPr>
      </w:pPr>
    </w:p>
    <w:p>
      <w:r>
        <w:rPr>
          <w:rFonts w:hint="eastAsia"/>
        </w:rPr>
        <w:t>报告期内向单个客户的销售比例超过总额的</w:t>
      </w:r>
      <w:r>
        <w:rPr>
          <w:rFonts w:hint="default" w:ascii="Times New Roman" w:hAnsi="Times New Roman" w:cs="Times New Roman"/>
        </w:rPr>
        <w:t>50%、</w:t>
      </w:r>
      <w:r>
        <w:t>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2564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25644"/>
        <w:lock w:val="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hint="default" w:ascii="Times New Roman" w:hAnsi="Times New Roman" w:cs="Times New Roman"/>
        </w:rPr>
      </w:pPr>
      <w:r>
        <w:rPr>
          <w:rFonts w:hint="eastAsia"/>
          <w:szCs w:val="21"/>
        </w:rPr>
        <w:t>前五名供</w:t>
      </w:r>
      <w:r>
        <w:rPr>
          <w:rFonts w:hint="default" w:ascii="Times New Roman" w:hAnsi="Times New Roman" w:cs="Times New Roman"/>
          <w:szCs w:val="21"/>
        </w:rPr>
        <w:t>应商采购额</w:t>
      </w:r>
      <w:sdt>
        <w:sdtPr>
          <w:rPr>
            <w:rFonts w:hint="default" w:ascii="Times New Roman" w:hAnsi="Times New Roman" w:cs="Times New Roman"/>
            <w:szCs w:val="21"/>
          </w:rPr>
          <w:alias w:val="前五名供应商采购额"/>
          <w:tag w:val="_GBC_4552254972a04ec6983b359a0f18d4bf"/>
          <w:id w:val="25645"/>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13,317.75</w:t>
          </w:r>
        </w:sdtContent>
      </w:sdt>
      <w:sdt>
        <w:sdtPr>
          <w:rPr>
            <w:rFonts w:hint="default" w:ascii="Times New Roman" w:hAnsi="Times New Roman" w:cs="Times New Roman"/>
            <w:szCs w:val="21"/>
          </w:rPr>
          <w:alias w:val="单位：前五名供应商采购额"/>
          <w:tag w:val="_GBC_418fcbdb1c1a4643afb7cce014bdeca2"/>
          <w:id w:val="256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，占年度采购总额</w:t>
      </w:r>
      <w:sdt>
        <w:sdtPr>
          <w:rPr>
            <w:rFonts w:hint="default" w:ascii="Times New Roman" w:hAnsi="Times New Roman" w:cs="Times New Roman"/>
            <w:szCs w:val="21"/>
          </w:rPr>
          <w:alias w:val="前五名供应商采购额占年度采购总额比例"/>
          <w:tag w:val="_GBC_f32c49f691154cc4b6ba587f4a582958"/>
          <w:id w:val="25647"/>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1</w:t>
          </w:r>
          <w:r>
            <w:rPr>
              <w:rFonts w:hint="default" w:ascii="Times New Roman" w:hAnsi="Times New Roman" w:cs="Times New Roman"/>
              <w:szCs w:val="21"/>
              <w:lang w:val="en-US" w:eastAsia="zh-CN"/>
            </w:rPr>
            <w:t>6.71</w:t>
          </w:r>
        </w:sdtContent>
      </w:sdt>
      <w:r>
        <w:rPr>
          <w:rFonts w:hint="default" w:ascii="Times New Roman" w:hAnsi="Times New Roman" w:cs="Times New Roman"/>
          <w:szCs w:val="21"/>
        </w:rPr>
        <w:t>%；其中前五名供应商采购额中关联方采购额</w:t>
      </w:r>
      <w:sdt>
        <w:sdtPr>
          <w:rPr>
            <w:rFonts w:hint="default" w:ascii="Times New Roman" w:hAnsi="Times New Roman" w:cs="Times New Roman"/>
            <w:szCs w:val="21"/>
          </w:rPr>
          <w:alias w:val="前五名供应商采购额中关联方采购额"/>
          <w:tag w:val="_GBC_b4791060802442e186017fdd5f31805a"/>
          <w:id w:val="25648"/>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sdt>
        <w:sdtPr>
          <w:rPr>
            <w:rFonts w:hint="default" w:ascii="Times New Roman" w:hAnsi="Times New Roman" w:cs="Times New Roman"/>
            <w:szCs w:val="21"/>
          </w:rPr>
          <w:alias w:val="单位：前五名供应商采购额中关联方采购额"/>
          <w:tag w:val="_GBC_bac6c3f63a9a4b0db685f5ee8e883818"/>
          <w:id w:val="256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ascii="Times New Roman" w:hAnsi="Times New Roman" w:cs="Times New Roman"/>
            <w:szCs w:val="21"/>
          </w:rPr>
        </w:sdtEndPr>
        <w:sdtContent>
          <w:r>
            <w:rPr>
              <w:rFonts w:hint="default" w:ascii="Times New Roman" w:hAnsi="Times New Roman" w:cs="Times New Roman"/>
              <w:szCs w:val="21"/>
            </w:rPr>
            <w:t>万元</w:t>
          </w:r>
        </w:sdtContent>
      </w:sdt>
      <w:r>
        <w:rPr>
          <w:rFonts w:hint="default" w:ascii="Times New Roman" w:hAnsi="Times New Roman" w:cs="Times New Roman"/>
          <w:szCs w:val="21"/>
        </w:rPr>
        <w:t>，占年度采购总额</w:t>
      </w:r>
      <w:sdt>
        <w:sdtPr>
          <w:rPr>
            <w:rFonts w:hint="default" w:ascii="Times New Roman" w:hAnsi="Times New Roman" w:cs="Times New Roman"/>
            <w:szCs w:val="21"/>
          </w:rPr>
          <w:alias w:val="前五名供应商采购额中关联方采购额占年度采购总额比例"/>
          <w:tag w:val="_GBC_41b2f0a67a5743e1a4ccf8f427eec0a3"/>
          <w:id w:val="25650"/>
          <w:placeholder>
            <w:docPart w:val="GBC22222222222222222222222222222"/>
          </w:placeholder>
        </w:sdtPr>
        <w:sdtEndPr>
          <w:rPr>
            <w:rFonts w:hint="default" w:ascii="Times New Roman" w:hAnsi="Times New Roman" w:cs="Times New Roman"/>
            <w:szCs w:val="21"/>
          </w:rPr>
        </w:sdtEndPr>
        <w:sdtContent>
          <w:r>
            <w:rPr>
              <w:rFonts w:hint="default" w:ascii="Times New Roman" w:hAnsi="Times New Roman" w:cs="Times New Roman"/>
              <w:szCs w:val="21"/>
              <w:lang w:eastAsia="zh-CN"/>
            </w:rPr>
            <w:t>0</w:t>
          </w:r>
        </w:sdtContent>
      </w:sdt>
      <w:r>
        <w:rPr>
          <w:rFonts w:hint="default" w:ascii="Times New Roman" w:hAnsi="Times New Roman" w:cs="Times New Roman"/>
        </w:rPr>
        <w:t>%。</w:t>
      </w:r>
    </w:p>
    <w:p>
      <w:pPr>
        <w:rPr>
          <w:rFonts w:hint="default" w:ascii="Times New Roman" w:hAnsi="Times New Roman" w:cs="Times New Roman"/>
          <w:szCs w:val="21"/>
        </w:rPr>
      </w:pPr>
    </w:p>
    <w:p>
      <w:pPr>
        <w:rPr>
          <w:rFonts w:hint="default" w:ascii="Times New Roman" w:hAnsi="Times New Roman" w:cs="Times New Roman"/>
        </w:rPr>
      </w:pPr>
      <w:r>
        <w:rPr>
          <w:rFonts w:hint="default" w:ascii="Times New Roman" w:hAnsi="Times New Roman" w:cs="Times New Roman"/>
        </w:rP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2565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r>
        <w:rPr>
          <w:rFonts w:hint="eastAsia"/>
          <w:szCs w:val="21"/>
        </w:rPr>
        <w:t>其他说明</w:t>
      </w:r>
    </w:p>
    <w:sdt>
      <w:sdtPr>
        <w:rPr>
          <w:szCs w:val="21"/>
        </w:rPr>
        <w:alias w:val="主要销售客户及主要供应商情况其他说明"/>
        <w:tag w:val="_GBC_671f841429ed4c5aaa013b86ad58b88f"/>
        <w:id w:val="25652"/>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5"/>
        <w:numPr>
          <w:ilvl w:val="0"/>
          <w:numId w:val="9"/>
        </w:numPr>
      </w:pPr>
      <w:r>
        <w:rPr>
          <w:rFonts w:hint="eastAsia"/>
        </w:rPr>
        <w:t>费用</w:t>
      </w:r>
    </w:p>
    <w:sdt>
      <w:sdtPr>
        <w:alias w:val="是否适用：费用[双击切换]"/>
        <w:tag w:val="_GBC_fa9cd5e43a8f426c8b793a737190d8db"/>
        <w:id w:val="2565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Times New Roman" w:hAnsi="Times New Roman"/>
          <w:sz w:val="21"/>
          <w:szCs w:val="21"/>
        </w:rPr>
        <w:alias w:val="费用情况说明"/>
        <w:tag w:val="_GBC_02a46af1e8d349d8b753768e17da35a1"/>
        <w:id w:val="25654"/>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本报告期公司费用无重大变化，详见本节“五、报告期内主要经营情况”之“（一）主营业务分析”之“1.利润表及现金流量表相关科目变动分析表”。</w:t>
          </w:r>
        </w:p>
        <w:p>
          <w:pPr>
            <w:rPr>
              <w:szCs w:val="21"/>
            </w:rPr>
          </w:pPr>
        </w:p>
      </w:sdtContent>
    </w:sdt>
    <w:p>
      <w:pPr>
        <w:pStyle w:val="5"/>
        <w:numPr>
          <w:ilvl w:val="0"/>
          <w:numId w:val="9"/>
        </w:numPr>
        <w:rPr>
          <w:rStyle w:val="52"/>
          <w:b/>
          <w:bCs/>
        </w:rPr>
      </w:pPr>
      <w:r>
        <w:rPr>
          <w:rFonts w:hint="eastAsia"/>
        </w:rPr>
        <w:t>研发投入</w:t>
      </w:r>
    </w:p>
    <w:p>
      <w:pPr>
        <w:pStyle w:val="63"/>
        <w:numPr>
          <w:ilvl w:val="0"/>
          <w:numId w:val="11"/>
        </w:numPr>
        <w:spacing w:before="60" w:after="60"/>
        <w:ind w:firstLineChars="0"/>
        <w:rPr>
          <w:rStyle w:val="52"/>
          <w:szCs w:val="21"/>
        </w:rPr>
      </w:pPr>
      <w:r>
        <w:rPr>
          <w:rStyle w:val="52"/>
          <w:szCs w:val="21"/>
        </w:rPr>
        <w:t>研发</w:t>
      </w:r>
      <w:r>
        <w:rPr>
          <w:rStyle w:val="52"/>
          <w:rFonts w:hint="eastAsia"/>
          <w:szCs w:val="21"/>
        </w:rPr>
        <w:t>投入</w:t>
      </w:r>
      <w:r>
        <w:rPr>
          <w:rStyle w:val="52"/>
          <w:szCs w:val="21"/>
        </w:rPr>
        <w:t>情况表</w:t>
      </w:r>
    </w:p>
    <w:sdt>
      <w:sdtPr>
        <w:rPr>
          <w:rStyle w:val="52"/>
          <w:rFonts w:hint="eastAsia"/>
          <w:b w:val="0"/>
          <w:szCs w:val="21"/>
        </w:rPr>
        <w:alias w:val="是否适用：研发投入情况表[双击切换]"/>
        <w:tag w:val="_GBC_b745f9cad6de412690fcb0f363f3eadb"/>
        <w:id w:val="25655"/>
        <w:placeholder>
          <w:docPart w:val="GBC22222222222222222222222222222"/>
        </w:placeholder>
      </w:sdtPr>
      <w:sdtEndPr>
        <w:rPr>
          <w:rStyle w:val="52"/>
          <w:rFonts w:hint="eastAsia"/>
          <w:b w:val="0"/>
          <w:szCs w:val="21"/>
        </w:rPr>
      </w:sdtEndPr>
      <w:sdtContent>
        <w:p>
          <w:pPr>
            <w:rPr>
              <w:rStyle w:val="52"/>
              <w:b w:val="0"/>
              <w:szCs w:val="21"/>
            </w:rPr>
          </w:pPr>
          <w:r>
            <w:rPr>
              <w:rStyle w:val="52"/>
              <w:b w:val="0"/>
              <w:szCs w:val="21"/>
            </w:rPr>
            <w:fldChar w:fldCharType="begin"/>
          </w:r>
          <w:r>
            <w:rPr>
              <w:rStyle w:val="52"/>
              <w:b w:val="0"/>
              <w:szCs w:val="21"/>
            </w:rPr>
            <w:instrText xml:space="preserve"> </w:instrText>
          </w:r>
          <w:r>
            <w:rPr>
              <w:rStyle w:val="52"/>
              <w:rFonts w:hint="eastAsia"/>
              <w:b w:val="0"/>
              <w:szCs w:val="21"/>
            </w:rPr>
            <w:instrText xml:space="preserve">MACROBUTTON  SnrToggleCheckbox √适用 </w:instrText>
          </w:r>
          <w:r>
            <w:rPr>
              <w:rStyle w:val="52"/>
              <w:b w:val="0"/>
              <w:szCs w:val="21"/>
            </w:rPr>
            <w:instrText xml:space="preserve"> </w:instrText>
          </w:r>
          <w:r>
            <w:rPr>
              <w:rStyle w:val="52"/>
              <w:b w:val="0"/>
              <w:szCs w:val="21"/>
            </w:rPr>
            <w:fldChar w:fldCharType="end"/>
          </w:r>
          <w:r>
            <w:rPr>
              <w:rStyle w:val="52"/>
              <w:b w:val="0"/>
              <w:szCs w:val="21"/>
            </w:rPr>
            <w:fldChar w:fldCharType="begin"/>
          </w:r>
          <w:r>
            <w:rPr>
              <w:rStyle w:val="52"/>
              <w:b w:val="0"/>
              <w:szCs w:val="21"/>
            </w:rPr>
            <w:instrText xml:space="preserve"> MACROBUTTON  SnrToggleCheckbox □不适用 </w:instrText>
          </w:r>
          <w:r>
            <w:rPr>
              <w:rStyle w:val="52"/>
              <w:b w:val="0"/>
              <w:szCs w:val="21"/>
            </w:rPr>
            <w:fldChar w:fldCharType="end"/>
          </w:r>
        </w:p>
      </w:sdtContent>
    </w:sdt>
    <w:p>
      <w:pPr>
        <w:jc w:val="right"/>
        <w:rPr>
          <w:rStyle w:val="52"/>
          <w:b w:val="0"/>
          <w:szCs w:val="21"/>
        </w:rPr>
      </w:pPr>
      <w:r>
        <w:rPr>
          <w:rFonts w:hint="eastAsia"/>
          <w:szCs w:val="21"/>
        </w:rPr>
        <w:t>单位：</w:t>
      </w:r>
      <w:sdt>
        <w:sdtPr>
          <w:rPr>
            <w:rFonts w:hint="eastAsia"/>
            <w:szCs w:val="21"/>
          </w:rPr>
          <w:alias w:val="单位：研发支出"/>
          <w:tag w:val="_GBC_74cd81424a3c41dd9b3b9f335eae8c21"/>
          <w:id w:val="256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5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25657"/>
          </w:sdtPr>
          <w:sdtContent>
            <w:tc>
              <w:tcPr>
                <w:tcW w:w="2097" w:type="pct"/>
              </w:tcPr>
              <w:p>
                <w:pPr>
                  <w:widowControl w:val="0"/>
                  <w:jc w:val="both"/>
                  <w:rPr>
                    <w:rStyle w:val="52"/>
                    <w:b w:val="0"/>
                    <w:bCs w:val="0"/>
                    <w:szCs w:val="21"/>
                  </w:rPr>
                </w:pPr>
                <w:r>
                  <w:rPr>
                    <w:szCs w:val="21"/>
                  </w:rPr>
                  <w:t>本期费用化研发</w:t>
                </w:r>
                <w:r>
                  <w:rPr>
                    <w:rFonts w:hint="eastAsia"/>
                    <w:szCs w:val="21"/>
                  </w:rPr>
                  <w:t>投入</w:t>
                </w:r>
              </w:p>
            </w:tc>
          </w:sdtContent>
        </w:sdt>
        <w:tc>
          <w:tcPr>
            <w:tcW w:w="2903" w:type="pct"/>
          </w:tcPr>
          <w:p>
            <w:pPr>
              <w:widowControl w:val="0"/>
              <w:jc w:val="right"/>
              <w:rPr>
                <w:rStyle w:val="52"/>
                <w:rFonts w:hint="default" w:ascii="Times New Roman" w:hAnsi="Times New Roman" w:eastAsia="宋体" w:cs="Times New Roman"/>
                <w:b w:val="0"/>
                <w:szCs w:val="21"/>
                <w:lang w:val="en-US" w:eastAsia="zh-CN"/>
              </w:rPr>
            </w:pPr>
            <w:r>
              <w:rPr>
                <w:rStyle w:val="52"/>
                <w:rFonts w:hint="default" w:ascii="Times New Roman" w:hAnsi="Times New Roman" w:cs="Times New Roman"/>
                <w:b w:val="0"/>
                <w:szCs w:val="21"/>
                <w:lang w:val="en-US" w:eastAsia="zh-CN"/>
              </w:rPr>
              <w:t>15,705,583.61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97" w:type="pct"/>
          </w:tcPr>
          <w:p>
            <w:pPr>
              <w:widowControl w:val="0"/>
              <w:jc w:val="both"/>
              <w:rPr>
                <w:rStyle w:val="52"/>
                <w:szCs w:val="21"/>
              </w:rPr>
            </w:pPr>
            <w:r>
              <w:rPr>
                <w:szCs w:val="21"/>
              </w:rPr>
              <w:t>本期资本化研发</w:t>
            </w:r>
            <w:r>
              <w:rPr>
                <w:rFonts w:hint="eastAsia"/>
                <w:szCs w:val="21"/>
              </w:rPr>
              <w:t>投入</w:t>
            </w:r>
          </w:p>
        </w:tc>
        <w:tc>
          <w:tcPr>
            <w:tcW w:w="2903" w:type="pct"/>
          </w:tcPr>
          <w:p>
            <w:pPr>
              <w:widowControl w:val="0"/>
              <w:jc w:val="right"/>
              <w:rPr>
                <w:rStyle w:val="52"/>
                <w:rFonts w:hint="default" w:ascii="Times New Roman" w:hAnsi="Times New Roman" w:cs="Times New Roman"/>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097" w:type="pct"/>
          </w:tcPr>
          <w:p>
            <w:pPr>
              <w:widowControl w:val="0"/>
              <w:jc w:val="both"/>
              <w:rPr>
                <w:rStyle w:val="52"/>
                <w:szCs w:val="21"/>
              </w:rPr>
            </w:pPr>
            <w:r>
              <w:rPr>
                <w:szCs w:val="21"/>
              </w:rPr>
              <w:t>研发</w:t>
            </w:r>
            <w:r>
              <w:rPr>
                <w:rFonts w:hint="eastAsia"/>
                <w:szCs w:val="21"/>
              </w:rPr>
              <w:t>投入</w:t>
            </w:r>
            <w:r>
              <w:rPr>
                <w:szCs w:val="21"/>
              </w:rPr>
              <w:t>合计</w:t>
            </w:r>
          </w:p>
        </w:tc>
        <w:tc>
          <w:tcPr>
            <w:tcW w:w="2903" w:type="pct"/>
          </w:tcPr>
          <w:p>
            <w:pPr>
              <w:widowControl w:val="0"/>
              <w:jc w:val="right"/>
              <w:rPr>
                <w:rStyle w:val="52"/>
                <w:rFonts w:hint="default" w:ascii="Times New Roman" w:hAnsi="Times New Roman" w:eastAsia="宋体" w:cs="Times New Roman"/>
                <w:b w:val="0"/>
                <w:szCs w:val="21"/>
                <w:lang w:eastAsia="zh-CN"/>
              </w:rPr>
            </w:pPr>
            <w:r>
              <w:rPr>
                <w:rStyle w:val="52"/>
                <w:rFonts w:hint="default" w:ascii="Times New Roman" w:hAnsi="Times New Roman" w:cs="Times New Roman"/>
                <w:b w:val="0"/>
                <w:szCs w:val="21"/>
                <w:lang w:eastAsia="zh-CN"/>
              </w:rPr>
              <w:t>15,705,583.61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pPr>
              <w:widowControl w:val="0"/>
              <w:jc w:val="both"/>
              <w:rPr>
                <w:rStyle w:val="52"/>
                <w:szCs w:val="21"/>
              </w:rPr>
            </w:pPr>
            <w:r>
              <w:rPr>
                <w:szCs w:val="21"/>
              </w:rPr>
              <w:t>研发</w:t>
            </w:r>
            <w:r>
              <w:rPr>
                <w:rFonts w:hint="eastAsia"/>
                <w:szCs w:val="21"/>
              </w:rPr>
              <w:t>投入</w:t>
            </w:r>
            <w:r>
              <w:rPr>
                <w:szCs w:val="21"/>
              </w:rPr>
              <w:t>总额占营业收入比例（%）</w:t>
            </w:r>
          </w:p>
        </w:tc>
        <w:tc>
          <w:tcPr>
            <w:tcW w:w="2903" w:type="pct"/>
          </w:tcPr>
          <w:p>
            <w:pPr>
              <w:widowControl w:val="0"/>
              <w:jc w:val="right"/>
              <w:rPr>
                <w:rStyle w:val="52"/>
                <w:rFonts w:hint="default" w:ascii="Times New Roman" w:hAnsi="Times New Roman" w:eastAsia="宋体" w:cs="Times New Roman"/>
                <w:b w:val="0"/>
                <w:szCs w:val="21"/>
                <w:lang w:val="en-US" w:eastAsia="zh-CN"/>
              </w:rPr>
            </w:pPr>
            <w:r>
              <w:rPr>
                <w:rStyle w:val="52"/>
                <w:rFonts w:hint="default" w:ascii="Times New Roman" w:hAnsi="Times New Roman" w:cs="Times New Roman"/>
                <w:b w:val="0"/>
                <w:szCs w:val="21"/>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pPr>
              <w:widowControl w:val="0"/>
              <w:jc w:val="both"/>
              <w:rPr>
                <w:szCs w:val="21"/>
              </w:rPr>
            </w:pPr>
            <w:r>
              <w:rPr>
                <w:rFonts w:hint="eastAsia"/>
                <w:szCs w:val="21"/>
              </w:rPr>
              <w:t>研发投入资本化的比重</w:t>
            </w:r>
            <w:r>
              <w:rPr>
                <w:szCs w:val="21"/>
              </w:rPr>
              <w:t>（%）</w:t>
            </w:r>
          </w:p>
        </w:tc>
        <w:tc>
          <w:tcPr>
            <w:tcW w:w="2903" w:type="pct"/>
          </w:tcPr>
          <w:p>
            <w:pPr>
              <w:widowControl w:val="0"/>
              <w:jc w:val="right"/>
              <w:rPr>
                <w:rFonts w:hint="eastAsia" w:eastAsia="宋体"/>
                <w:bCs/>
                <w:szCs w:val="21"/>
                <w:lang w:val="en-US" w:eastAsia="zh-CN"/>
              </w:rPr>
            </w:pPr>
          </w:p>
        </w:tc>
      </w:tr>
    </w:tbl>
    <w:p/>
    <w:p>
      <w:pPr>
        <w:pStyle w:val="63"/>
        <w:numPr>
          <w:ilvl w:val="0"/>
          <w:numId w:val="11"/>
        </w:numPr>
        <w:spacing w:before="60" w:after="60"/>
        <w:ind w:firstLineChars="0"/>
        <w:rPr>
          <w:rStyle w:val="52"/>
          <w:szCs w:val="21"/>
        </w:rPr>
      </w:pPr>
      <w:bookmarkStart w:id="41" w:name="_Hlk89876622"/>
      <w:r>
        <w:rPr>
          <w:rStyle w:val="52"/>
          <w:rFonts w:hint="eastAsia"/>
          <w:szCs w:val="21"/>
        </w:rPr>
        <w:t>研发人员情况表</w:t>
      </w:r>
    </w:p>
    <w:sdt>
      <w:sdtPr>
        <w:rPr>
          <w:rFonts w:hint="eastAsia"/>
        </w:rPr>
        <w:alias w:val="是否适用：研发人员情况[双击切换]"/>
        <w:tag w:val="_GBC_ef3f376f125b4e219be789ed3078c140"/>
        <w:id w:val="25658"/>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tbl>
      <w:tblPr>
        <w:tblStyle w:val="37"/>
        <w:tblW w:w="9150" w:type="dxa"/>
        <w:jc w:val="center"/>
        <w:tblLayout w:type="autofit"/>
        <w:tblCellMar>
          <w:top w:w="0" w:type="dxa"/>
          <w:left w:w="108" w:type="dxa"/>
          <w:bottom w:w="0" w:type="dxa"/>
          <w:right w:w="108" w:type="dxa"/>
        </w:tblCellMar>
      </w:tblPr>
      <w:tblGrid>
        <w:gridCol w:w="5808"/>
        <w:gridCol w:w="3342"/>
      </w:tblGrid>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szCs w:val="21"/>
            </w:rPr>
            <w:tag w:val="_PLD_13cec8f1a3504661b1b570efe7519fa3"/>
            <w:id w:val="25659"/>
          </w:sdtPr>
          <w:sdtEndPr>
            <w:rPr>
              <w:rFonts w:hint="default" w:ascii="Times New Roman" w:hAnsi="Times New Roman" w:cs="Times New Roman"/>
              <w:szCs w:val="21"/>
            </w:rPr>
          </w:sdtEndPr>
          <w:sdtContent>
            <w:tc>
              <w:tcPr>
                <w:tcW w:w="580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公司研发人员的数量</w:t>
                </w:r>
              </w:p>
            </w:tc>
          </w:sdtContent>
        </w:sdt>
        <w:sdt>
          <w:sdtPr>
            <w:rPr>
              <w:rFonts w:hint="default" w:ascii="Times New Roman" w:hAnsi="Times New Roman" w:cs="Times New Roman"/>
            </w:rPr>
            <w:alias w:val="公司研发人员的数量"/>
            <w:tag w:val="_GBC_a84a5cadb95b4b7595981b8f24d727c8"/>
            <w:id w:val="25660"/>
          </w:sdtPr>
          <w:sdtEndPr>
            <w:rPr>
              <w:rFonts w:hint="default" w:ascii="Times New Roman" w:hAnsi="Times New Roman" w:cs="Times New Roman"/>
            </w:rPr>
          </w:sdtEndPr>
          <w:sdtContent>
            <w:tc>
              <w:tcPr>
                <w:tcW w:w="3342" w:type="dxa"/>
                <w:tcBorders>
                  <w:top w:val="single" w:color="auto" w:sz="4" w:space="0"/>
                  <w:left w:val="nil"/>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157</w:t>
                </w:r>
              </w:p>
            </w:tc>
          </w:sdtContent>
        </w:sdt>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研发人员数量占公司总人数的比例（%）</w:t>
            </w:r>
          </w:p>
        </w:tc>
        <w:tc>
          <w:tcPr>
            <w:tcW w:w="3342" w:type="dxa"/>
            <w:tcBorders>
              <w:top w:val="nil"/>
              <w:left w:val="nil"/>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10.16</w:t>
            </w:r>
          </w:p>
        </w:tc>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szCs w:val="21"/>
            </w:rPr>
            <w:tag w:val="_PLD_b048dc379aae455a86f744476f1bb4a1"/>
            <w:id w:val="25661"/>
          </w:sdtPr>
          <w:sdtEndPr>
            <w:rPr>
              <w:rFonts w:hint="default" w:ascii="Times New Roman" w:hAnsi="Times New Roman" w:cs="Times New Roman"/>
              <w:szCs w:val="21"/>
            </w:rPr>
          </w:sdtEndPr>
          <w:sdtContent>
            <w:tc>
              <w:tcPr>
                <w:tcW w:w="91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研发人员学历结构</w:t>
                </w:r>
              </w:p>
            </w:tc>
          </w:sdtContent>
        </w:sdt>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szCs w:val="21"/>
            </w:rPr>
            <w:tag w:val="_PLD_f770501e43654648a563d2a86970204f"/>
            <w:id w:val="25662"/>
          </w:sdtPr>
          <w:sdtEndPr>
            <w:rPr>
              <w:rFonts w:hint="default"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学历结构类别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学历结构人数</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博士研究生</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0</w:t>
            </w:r>
          </w:p>
        </w:tc>
      </w:tr>
      <w:tr>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硕士研究生</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20</w:t>
            </w:r>
          </w:p>
        </w:tc>
      </w:tr>
      <w:tr>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本科</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74</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专科</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35</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高中及以下</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rPr>
            </w:pPr>
            <w:r>
              <w:rPr>
                <w:rFonts w:hint="default" w:ascii="Times New Roman" w:hAnsi="Times New Roman" w:cs="Times New Roman"/>
              </w:rPr>
              <w:t>28</w:t>
            </w:r>
          </w:p>
        </w:tc>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szCs w:val="21"/>
            </w:rPr>
            <w:tag w:val="_PLD_10352dc928264c50aa8776e0ae8ec569"/>
            <w:id w:val="25663"/>
          </w:sdtPr>
          <w:sdtEndPr>
            <w:rPr>
              <w:rFonts w:hint="default" w:ascii="Times New Roman" w:hAnsi="Times New Roman" w:cs="Times New Roman"/>
              <w:szCs w:val="21"/>
            </w:rPr>
          </w:sdtEndPr>
          <w:sdtContent>
            <w:tc>
              <w:tcPr>
                <w:tcW w:w="915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研发人员年龄结构</w:t>
                </w:r>
              </w:p>
            </w:tc>
          </w:sdtContent>
        </w:sdt>
      </w:tr>
      <w:tr>
        <w:tblPrEx>
          <w:tblCellMar>
            <w:top w:w="0" w:type="dxa"/>
            <w:left w:w="108" w:type="dxa"/>
            <w:bottom w:w="0" w:type="dxa"/>
            <w:right w:w="108" w:type="dxa"/>
          </w:tblCellMar>
        </w:tblPrEx>
        <w:trPr>
          <w:trHeight w:val="270" w:hRule="atLeast"/>
          <w:jc w:val="center"/>
        </w:trPr>
        <w:sdt>
          <w:sdtPr>
            <w:rPr>
              <w:rFonts w:hint="default" w:ascii="Times New Roman" w:hAnsi="Times New Roman" w:cs="Times New Roman"/>
              <w:szCs w:val="21"/>
            </w:rPr>
            <w:tag w:val="_PLD_b9dd411387bd4ae4b04fe660cc0aac1b"/>
            <w:id w:val="25664"/>
          </w:sdtPr>
          <w:sdtEndPr>
            <w:rPr>
              <w:rFonts w:hint="default"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年龄结构类别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年龄结构人数</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30岁以下（不含30岁）</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59</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30-40岁（含30岁，不含40岁）</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55</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40-50岁（含40岁，不含50岁）</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25</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50-60岁（含50岁，不含60岁）</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18</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60岁及以上</w:t>
            </w:r>
          </w:p>
        </w:tc>
        <w:tc>
          <w:tcPr>
            <w:tcW w:w="3342" w:type="dxa"/>
            <w:tcBorders>
              <w:top w:val="nil"/>
              <w:left w:val="nil"/>
              <w:bottom w:val="single" w:color="auto" w:sz="4" w:space="0"/>
              <w:right w:val="single" w:color="auto" w:sz="4" w:space="0"/>
            </w:tcBorders>
            <w:shd w:val="clear" w:color="auto" w:fill="auto"/>
            <w:noWrap/>
            <w:vAlign w:val="center"/>
          </w:tcPr>
          <w:p>
            <w:pPr>
              <w:jc w:val="right"/>
              <w:rPr>
                <w:rFonts w:hint="default" w:ascii="Times New Roman" w:hAnsi="Times New Roman" w:cs="Times New Roman"/>
                <w:szCs w:val="21"/>
              </w:rPr>
            </w:pPr>
            <w:r>
              <w:rPr>
                <w:rFonts w:hint="default" w:ascii="Times New Roman" w:hAnsi="Times New Roman" w:cs="Times New Roman"/>
              </w:rPr>
              <w:t>0</w:t>
            </w:r>
          </w:p>
        </w:tc>
      </w:tr>
    </w:tbl>
    <w:p>
      <w:r>
        <w:rPr>
          <w:rFonts w:hint="eastAsia" w:ascii="Calibri" w:hAnsi="Calibri" w:eastAsia="宋体" w:cs="Times New Roman"/>
          <w:sz w:val="21"/>
          <w:szCs w:val="21"/>
          <w:lang w:val="en-US" w:eastAsia="zh-CN"/>
        </w:rPr>
        <w:t>说明：研发人员包括母公司及所有子公司的研发人员。</w:t>
      </w:r>
    </w:p>
    <w:p/>
    <w:bookmarkEnd w:id="41"/>
    <w:p>
      <w:pPr>
        <w:pStyle w:val="63"/>
        <w:numPr>
          <w:ilvl w:val="0"/>
          <w:numId w:val="11"/>
        </w:numPr>
        <w:spacing w:before="60" w:after="60"/>
        <w:ind w:firstLineChars="0"/>
        <w:rPr>
          <w:rStyle w:val="52"/>
          <w:szCs w:val="21"/>
        </w:rPr>
      </w:pPr>
      <w:r>
        <w:rPr>
          <w:rStyle w:val="52"/>
          <w:szCs w:val="21"/>
        </w:rPr>
        <w:t>情况说明</w:t>
      </w:r>
    </w:p>
    <w:sdt>
      <w:sdtPr>
        <w:rPr>
          <w:rStyle w:val="52"/>
          <w:b w:val="0"/>
          <w:szCs w:val="21"/>
        </w:rPr>
        <w:alias w:val="是否适用：研发支出情况说明[双击切换]"/>
        <w:tag w:val="_GBC_b983f5c63407411d82434ca6547deae8"/>
        <w:id w:val="25665"/>
        <w:placeholder>
          <w:docPart w:val="GBC22222222222222222222222222222"/>
        </w:placeholder>
      </w:sdtPr>
      <w:sdtEndPr>
        <w:rPr>
          <w:rStyle w:val="52"/>
          <w:b w:val="0"/>
          <w:szCs w:val="21"/>
        </w:rPr>
      </w:sdtEndPr>
      <w:sdtContent>
        <w:p>
          <w:pPr>
            <w:rPr>
              <w:rStyle w:val="52"/>
              <w:b w:val="0"/>
              <w:szCs w:val="21"/>
            </w:rPr>
          </w:pPr>
          <w:r>
            <w:rPr>
              <w:rStyle w:val="52"/>
              <w:b w:val="0"/>
              <w:szCs w:val="21"/>
            </w:rPr>
            <w:fldChar w:fldCharType="begin"/>
          </w:r>
          <w:r>
            <w:rPr>
              <w:rStyle w:val="52"/>
              <w:rFonts w:hint="eastAsia"/>
              <w:b w:val="0"/>
              <w:szCs w:val="21"/>
              <w:lang w:eastAsia="zh-CN"/>
            </w:rPr>
            <w:instrText xml:space="preserve">MACROBUTTON  SnrToggleCheckbox □适用 </w:instrText>
          </w:r>
          <w:r>
            <w:rPr>
              <w:rStyle w:val="52"/>
              <w:b w:val="0"/>
              <w:szCs w:val="21"/>
            </w:rPr>
            <w:fldChar w:fldCharType="end"/>
          </w:r>
          <w:r>
            <w:rPr>
              <w:rStyle w:val="52"/>
              <w:b w:val="0"/>
              <w:szCs w:val="21"/>
            </w:rPr>
            <w:fldChar w:fldCharType="begin"/>
          </w:r>
          <w:r>
            <w:rPr>
              <w:rStyle w:val="52"/>
              <w:rFonts w:hint="eastAsia"/>
              <w:b w:val="0"/>
              <w:szCs w:val="21"/>
              <w:lang w:eastAsia="zh-CN"/>
            </w:rPr>
            <w:instrText xml:space="preserve"> MACROBUTTON  SnrToggleCheckbox √不适用 </w:instrText>
          </w:r>
          <w:r>
            <w:rPr>
              <w:rStyle w:val="52"/>
              <w:b w:val="0"/>
              <w:szCs w:val="21"/>
            </w:rPr>
            <w:fldChar w:fldCharType="end"/>
          </w:r>
        </w:p>
      </w:sdtContent>
    </w:sdt>
    <w:p>
      <w:pPr>
        <w:outlineLvl w:val="9"/>
        <w:rPr>
          <w:rStyle w:val="52"/>
          <w:b w:val="0"/>
          <w:szCs w:val="21"/>
        </w:rPr>
      </w:pPr>
    </w:p>
    <w:p>
      <w:pPr>
        <w:pStyle w:val="63"/>
        <w:numPr>
          <w:ilvl w:val="0"/>
          <w:numId w:val="11"/>
        </w:numPr>
        <w:spacing w:before="60" w:after="60"/>
        <w:ind w:firstLineChars="0"/>
        <w:rPr>
          <w:rStyle w:val="52"/>
          <w:szCs w:val="21"/>
        </w:rPr>
      </w:pPr>
      <w:bookmarkStart w:id="42" w:name="_Hlk89876701"/>
      <w:r>
        <w:rPr>
          <w:rStyle w:val="52"/>
          <w:rFonts w:hint="eastAsia"/>
          <w:szCs w:val="21"/>
        </w:rPr>
        <w:t>研发人员构成发生重大变化的原因及对公司未来发展的影响</w:t>
      </w:r>
    </w:p>
    <w:sdt>
      <w:sdtPr>
        <w:rPr>
          <w:rStyle w:val="119"/>
          <w:b w:val="0"/>
          <w:szCs w:val="21"/>
        </w:rPr>
        <w:alias w:val="是否适用：研发人员构成发生重大变化的原因及对公司未来发展的影响 [双击切换]"/>
        <w:tag w:val="_GBC_03b44883afff4742a08c198d082c26b3"/>
        <w:id w:val="25666"/>
        <w:placeholder>
          <w:docPart w:val="GBC22222222222222222222222222222"/>
        </w:placeholder>
      </w:sdtPr>
      <w:sdtEndPr>
        <w:rPr>
          <w:rStyle w:val="119"/>
          <w:b w:val="0"/>
          <w:szCs w:val="21"/>
        </w:rPr>
      </w:sdtEndPr>
      <w:sdtContent>
        <w:p>
          <w:pPr>
            <w:outlineLvl w:val="9"/>
            <w:rPr>
              <w:rStyle w:val="119"/>
              <w:szCs w:val="21"/>
            </w:rPr>
          </w:pPr>
          <w:r>
            <w:rPr>
              <w:rStyle w:val="119"/>
              <w:b w:val="0"/>
              <w:szCs w:val="21"/>
            </w:rPr>
            <w:fldChar w:fldCharType="begin"/>
          </w:r>
          <w:r>
            <w:rPr>
              <w:rStyle w:val="119"/>
              <w:rFonts w:hint="eastAsia"/>
              <w:b w:val="0"/>
              <w:szCs w:val="21"/>
              <w:lang w:eastAsia="zh-CN"/>
            </w:rPr>
            <w:instrText xml:space="preserve"> MACROBUTTON  SnrToggleCheckbox □适用 </w:instrText>
          </w:r>
          <w:r>
            <w:rPr>
              <w:rStyle w:val="119"/>
              <w:b w:val="0"/>
              <w:szCs w:val="21"/>
            </w:rPr>
            <w:fldChar w:fldCharType="end"/>
          </w:r>
          <w:r>
            <w:rPr>
              <w:rStyle w:val="119"/>
              <w:b w:val="0"/>
              <w:szCs w:val="21"/>
            </w:rPr>
            <w:fldChar w:fldCharType="begin"/>
          </w:r>
          <w:r>
            <w:rPr>
              <w:rStyle w:val="119"/>
              <w:rFonts w:hint="eastAsia"/>
              <w:b w:val="0"/>
              <w:szCs w:val="21"/>
              <w:lang w:eastAsia="zh-CN"/>
            </w:rPr>
            <w:instrText xml:space="preserve"> MACROBUTTON  SnrToggleCheckbox √不适用 </w:instrText>
          </w:r>
          <w:r>
            <w:rPr>
              <w:rStyle w:val="119"/>
              <w:b w:val="0"/>
              <w:szCs w:val="21"/>
            </w:rPr>
            <w:fldChar w:fldCharType="end"/>
          </w:r>
        </w:p>
      </w:sdtContent>
    </w:sdt>
    <w:p>
      <w:pPr>
        <w:rPr>
          <w:szCs w:val="21"/>
        </w:rPr>
      </w:pPr>
    </w:p>
    <w:bookmarkEnd w:id="42"/>
    <w:p>
      <w:pPr>
        <w:pStyle w:val="5"/>
        <w:numPr>
          <w:ilvl w:val="0"/>
          <w:numId w:val="9"/>
        </w:numPr>
      </w:pPr>
      <w:r>
        <w:rPr>
          <w:rFonts w:hint="eastAsia"/>
        </w:rPr>
        <w:t>现金流</w:t>
      </w:r>
    </w:p>
    <w:sdt>
      <w:sdtPr>
        <w:alias w:val="是否适用：现金流[双击切换]"/>
        <w:tag w:val="_GBC_3340f2fc4f854cc1882e18412cf992f6"/>
        <w:id w:val="2566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25668"/>
        <w:placeholder>
          <w:docPart w:val="GBC22222222222222222222222222222"/>
        </w:placeholder>
      </w:sdtPr>
      <w:sdtEndPr>
        <w:rPr>
          <w:rFonts w:hint="eastAsia"/>
          <w:szCs w:val="21"/>
        </w:rPr>
      </w:sdtEndPr>
      <w:sdtContent>
        <w:p>
          <w:pPr>
            <w:rPr>
              <w:rFonts w:hint="eastAsia"/>
              <w:szCs w:val="21"/>
            </w:rPr>
          </w:pPr>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728"/>
            <w:gridCol w:w="1596"/>
            <w:gridCol w:w="1019"/>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45" w:type="pct"/>
                <w:vAlign w:val="center"/>
              </w:tcPr>
              <w:p>
                <w:pPr>
                  <w:pStyle w:val="32"/>
                  <w:jc w:val="center"/>
                  <w:rPr>
                    <w:rFonts w:ascii="Times New Roman" w:hAnsi="Times New Roman" w:cs="Times New Roman"/>
                    <w:sz w:val="21"/>
                    <w:szCs w:val="21"/>
                  </w:rPr>
                </w:pPr>
                <w:r>
                  <w:rPr>
                    <w:rFonts w:ascii="Times New Roman" w:cs="Times New Roman"/>
                    <w:sz w:val="21"/>
                    <w:szCs w:val="21"/>
                  </w:rPr>
                  <w:t>科目名称</w:t>
                </w:r>
              </w:p>
            </w:tc>
            <w:tc>
              <w:tcPr>
                <w:tcW w:w="954" w:type="pct"/>
                <w:vAlign w:val="center"/>
              </w:tcPr>
              <w:p>
                <w:pPr>
                  <w:pStyle w:val="32"/>
                  <w:jc w:val="center"/>
                  <w:rPr>
                    <w:rFonts w:ascii="Times New Roman" w:hAnsi="Times New Roman" w:cs="Times New Roman"/>
                    <w:sz w:val="21"/>
                    <w:szCs w:val="21"/>
                  </w:rPr>
                </w:pPr>
                <w:r>
                  <w:rPr>
                    <w:rFonts w:ascii="Times New Roman" w:cs="Times New Roman"/>
                    <w:sz w:val="21"/>
                    <w:szCs w:val="21"/>
                  </w:rPr>
                  <w:t>年初至报告期末</w:t>
                </w:r>
              </w:p>
            </w:tc>
            <w:tc>
              <w:tcPr>
                <w:tcW w:w="881" w:type="pct"/>
                <w:vAlign w:val="center"/>
              </w:tcPr>
              <w:p>
                <w:pPr>
                  <w:pStyle w:val="32"/>
                  <w:jc w:val="center"/>
                  <w:rPr>
                    <w:rFonts w:ascii="Times New Roman" w:hAnsi="Times New Roman" w:cs="Times New Roman"/>
                    <w:sz w:val="21"/>
                    <w:szCs w:val="21"/>
                  </w:rPr>
                </w:pPr>
                <w:r>
                  <w:rPr>
                    <w:rFonts w:ascii="Times New Roman" w:cs="Times New Roman"/>
                    <w:sz w:val="21"/>
                    <w:szCs w:val="21"/>
                  </w:rPr>
                  <w:t>去年同期</w:t>
                </w:r>
              </w:p>
            </w:tc>
            <w:tc>
              <w:tcPr>
                <w:tcW w:w="563" w:type="pct"/>
                <w:vAlign w:val="center"/>
              </w:tcPr>
              <w:p>
                <w:pPr>
                  <w:pStyle w:val="32"/>
                  <w:jc w:val="center"/>
                  <w:rPr>
                    <w:rFonts w:ascii="Times New Roman" w:hAnsi="Times New Roman" w:cs="Times New Roman"/>
                    <w:sz w:val="21"/>
                    <w:szCs w:val="21"/>
                  </w:rPr>
                </w:pPr>
                <w:r>
                  <w:rPr>
                    <w:rFonts w:hint="eastAsia" w:ascii="Times New Roman" w:cs="Times New Roman"/>
                    <w:sz w:val="21"/>
                    <w:szCs w:val="21"/>
                  </w:rPr>
                  <w:t>变动比例（</w:t>
                </w:r>
                <w:r>
                  <w:rPr>
                    <w:rFonts w:hint="eastAsia" w:cs="Times New Roman"/>
                    <w:sz w:val="21"/>
                    <w:szCs w:val="21"/>
                  </w:rPr>
                  <w:t>%</w:t>
                </w:r>
                <w:r>
                  <w:rPr>
                    <w:rFonts w:hint="eastAsia" w:ascii="Times New Roman" w:cs="Times New Roman"/>
                    <w:sz w:val="21"/>
                    <w:szCs w:val="21"/>
                  </w:rPr>
                  <w:t>）</w:t>
                </w:r>
              </w:p>
            </w:tc>
            <w:tc>
              <w:tcPr>
                <w:tcW w:w="1654" w:type="pct"/>
                <w:vAlign w:val="center"/>
              </w:tcPr>
              <w:p>
                <w:pPr>
                  <w:pStyle w:val="32"/>
                  <w:jc w:val="center"/>
                  <w:rPr>
                    <w:rFonts w:ascii="Times New Roman" w:cs="Times New Roman"/>
                    <w:sz w:val="21"/>
                    <w:szCs w:val="21"/>
                  </w:rPr>
                </w:pPr>
                <w:r>
                  <w:rPr>
                    <w:rFonts w:hint="eastAsia" w:ascii="Times New Roman" w:cs="Times New Roman"/>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Align w:val="center"/>
              </w:tcPr>
              <w:p>
                <w:pPr>
                  <w:jc w:val="both"/>
                  <w:rPr>
                    <w:rFonts w:ascii="Times New Roman" w:hAnsi="Times New Roman" w:cs="Times New Roman"/>
                    <w:szCs w:val="21"/>
                  </w:rPr>
                </w:pPr>
                <w:r>
                  <w:rPr>
                    <w:rFonts w:ascii="Times New Roman" w:cs="Times New Roman"/>
                    <w:szCs w:val="21"/>
                  </w:rPr>
                  <w:t>经营活动产生的现金流量净额</w:t>
                </w:r>
              </w:p>
            </w:tc>
            <w:tc>
              <w:tcPr>
                <w:tcW w:w="954" w:type="pct"/>
                <w:vAlign w:val="center"/>
              </w:tcPr>
              <w:p>
                <w:pPr>
                  <w:keepNext w:val="0"/>
                  <w:keepLines w:val="0"/>
                  <w:widowControl/>
                  <w:suppressLineNumbers w:val="0"/>
                  <w:jc w:val="right"/>
                  <w:textAlignment w:val="bottom"/>
                  <w:rPr>
                    <w:rFonts w:ascii="Times New Roman" w:hAnsi="Times New Roman" w:cs="Times New Roman"/>
                    <w:szCs w:val="21"/>
                  </w:rPr>
                </w:pPr>
                <w:r>
                  <w:rPr>
                    <w:rFonts w:hint="eastAsia" w:ascii="Times New Roman" w:hAnsi="Times New Roman" w:cs="Times New Roman"/>
                    <w:i w:val="0"/>
                    <w:iCs w:val="0"/>
                    <w:color w:val="000000"/>
                    <w:kern w:val="0"/>
                    <w:sz w:val="21"/>
                    <w:szCs w:val="21"/>
                    <w:u w:val="none"/>
                    <w:lang w:val="en-US" w:eastAsia="zh-CN" w:bidi="ar"/>
                  </w:rPr>
                  <w:t>38,368,320.17</w:t>
                </w:r>
              </w:p>
            </w:tc>
            <w:tc>
              <w:tcPr>
                <w:tcW w:w="881" w:type="pct"/>
                <w:vAlign w:val="center"/>
              </w:tcPr>
              <w:p>
                <w:pPr>
                  <w:keepNext w:val="0"/>
                  <w:keepLines w:val="0"/>
                  <w:widowControl/>
                  <w:suppressLineNumbers w:val="0"/>
                  <w:jc w:val="right"/>
                  <w:textAlignment w:val="bottom"/>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27,580,148.16</w:t>
                </w:r>
              </w:p>
            </w:tc>
            <w:tc>
              <w:tcPr>
                <w:tcW w:w="563"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eastAsia="zh-CN"/>
                  </w:rPr>
                  <w:t>39.1</w:t>
                </w:r>
                <w:r>
                  <w:rPr>
                    <w:rFonts w:hint="eastAsia" w:ascii="Times New Roman" w:hAnsi="Times New Roman" w:cs="Times New Roman"/>
                    <w:lang w:val="en-US" w:eastAsia="zh-CN"/>
                  </w:rPr>
                  <w:t>2</w:t>
                </w:r>
              </w:p>
            </w:tc>
            <w:tc>
              <w:tcPr>
                <w:tcW w:w="1654" w:type="pct"/>
                <w:vAlign w:val="center"/>
              </w:tcPr>
              <w:p>
                <w:pPr>
                  <w:pStyle w:val="63"/>
                  <w:ind w:firstLine="0" w:firstLineChars="0"/>
                  <w:jc w:val="left"/>
                  <w:rPr>
                    <w:rFonts w:ascii="Times New Roman" w:hAnsi="Times New Roman" w:cs="Times New Roman"/>
                    <w:szCs w:val="21"/>
                  </w:rPr>
                </w:pPr>
                <w:r>
                  <w:rPr>
                    <w:rFonts w:hint="eastAsia" w:ascii="宋体" w:hAnsi="宋体"/>
                    <w:szCs w:val="21"/>
                    <w:lang w:val="en-US" w:eastAsia="zh-CN"/>
                  </w:rPr>
                  <w:t>主要系本期收入增加、销售商品收到的款项增加。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Align w:val="center"/>
              </w:tcPr>
              <w:p>
                <w:pPr>
                  <w:jc w:val="both"/>
                  <w:rPr>
                    <w:rFonts w:ascii="Times New Roman" w:hAnsi="Times New Roman" w:cs="Times New Roman"/>
                    <w:szCs w:val="21"/>
                  </w:rPr>
                </w:pPr>
                <w:r>
                  <w:rPr>
                    <w:rFonts w:ascii="Times New Roman" w:cs="Times New Roman"/>
                    <w:szCs w:val="21"/>
                  </w:rPr>
                  <w:t>投资活动产生的现金流量净额</w:t>
                </w:r>
              </w:p>
            </w:tc>
            <w:tc>
              <w:tcPr>
                <w:tcW w:w="954" w:type="pct"/>
                <w:vAlign w:val="center"/>
              </w:tcPr>
              <w:p>
                <w:pPr>
                  <w:keepNext w:val="0"/>
                  <w:keepLines w:val="0"/>
                  <w:widowControl/>
                  <w:suppressLineNumbers w:val="0"/>
                  <w:jc w:val="right"/>
                  <w:textAlignment w:val="bottom"/>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-5,088,960.82</w:t>
                </w:r>
              </w:p>
            </w:tc>
            <w:tc>
              <w:tcPr>
                <w:tcW w:w="881" w:type="pct"/>
                <w:vAlign w:val="center"/>
              </w:tcPr>
              <w:p>
                <w:pPr>
                  <w:keepNext w:val="0"/>
                  <w:keepLines w:val="0"/>
                  <w:widowControl/>
                  <w:suppressLineNumbers w:val="0"/>
                  <w:jc w:val="right"/>
                  <w:textAlignment w:val="bottom"/>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-9,240,515.83</w:t>
                </w:r>
              </w:p>
            </w:tc>
            <w:tc>
              <w:tcPr>
                <w:tcW w:w="563" w:type="pct"/>
                <w:vAlign w:val="center"/>
              </w:tcPr>
              <w:p>
                <w:pPr>
                  <w:jc w:val="right"/>
                  <w:rPr>
                    <w:rFonts w:hint="default" w:ascii="Times New Roman" w:hAnsi="Times New Roman" w:cs="Times New Roman"/>
                    <w:szCs w:val="21"/>
                  </w:rPr>
                </w:pPr>
                <w:r>
                  <w:rPr>
                    <w:rFonts w:hint="default" w:ascii="Times New Roman" w:hAnsi="Times New Roman" w:cs="Times New Roman"/>
                  </w:rPr>
                  <w:t>不适用</w:t>
                </w:r>
              </w:p>
            </w:tc>
            <w:tc>
              <w:tcPr>
                <w:tcW w:w="1654" w:type="pct"/>
                <w:vAlign w:val="center"/>
              </w:tcPr>
              <w:p>
                <w:pPr>
                  <w:jc w:val="both"/>
                  <w:rPr>
                    <w:rFonts w:hint="eastAsia" w:ascii="Times New Roman" w:hAnsi="Times New Roman" w:eastAsia="宋体" w:cs="Times New Roman"/>
                    <w:szCs w:val="21"/>
                    <w:lang w:eastAsia="zh-CN"/>
                  </w:rPr>
                </w:pPr>
                <w:r>
                  <w:rPr>
                    <w:rFonts w:hint="eastAsia"/>
                  </w:rPr>
                  <w:t>该项同比</w:t>
                </w:r>
                <w:r>
                  <w:rPr>
                    <w:rFonts w:hint="eastAsia"/>
                    <w:lang w:val="en-US" w:eastAsia="zh-CN"/>
                  </w:rPr>
                  <w:t>增加</w:t>
                </w:r>
                <w:r>
                  <w:rPr>
                    <w:rFonts w:hint="eastAsia"/>
                  </w:rPr>
                  <w:t>主要系上年同期参与申购中信证</w:t>
                </w:r>
                <w:r>
                  <w:rPr>
                    <w:rFonts w:hint="default" w:ascii="Times New Roman" w:hAnsi="Times New Roman" w:cs="Times New Roman"/>
                  </w:rPr>
                  <w:t>券配股，详见公告2022-001</w:t>
                </w:r>
                <w:r>
                  <w:rPr>
                    <w:rFonts w:hint="eastAsia"/>
                  </w:rPr>
                  <w:t>，本期无此项目</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Align w:val="center"/>
              </w:tcPr>
              <w:p>
                <w:pPr>
                  <w:jc w:val="both"/>
                  <w:rPr>
                    <w:rFonts w:ascii="Times New Roman" w:hAnsi="Times New Roman" w:cs="Times New Roman"/>
                    <w:szCs w:val="21"/>
                  </w:rPr>
                </w:pPr>
                <w:r>
                  <w:rPr>
                    <w:rFonts w:ascii="Times New Roman" w:cs="Times New Roman"/>
                    <w:szCs w:val="21"/>
                  </w:rPr>
                  <w:t>筹资活动产生的现金流量净额</w:t>
                </w:r>
              </w:p>
            </w:tc>
            <w:tc>
              <w:tcPr>
                <w:tcW w:w="954" w:type="pct"/>
                <w:vAlign w:val="center"/>
              </w:tcPr>
              <w:p>
                <w:pPr>
                  <w:keepNext w:val="0"/>
                  <w:keepLines w:val="0"/>
                  <w:widowControl/>
                  <w:suppressLineNumbers w:val="0"/>
                  <w:jc w:val="right"/>
                  <w:textAlignment w:val="bottom"/>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34,804,229.73</w:t>
                </w:r>
              </w:p>
            </w:tc>
            <w:tc>
              <w:tcPr>
                <w:tcW w:w="881" w:type="pct"/>
                <w:vAlign w:val="center"/>
              </w:tcPr>
              <w:p>
                <w:pPr>
                  <w:keepNext w:val="0"/>
                  <w:keepLines w:val="0"/>
                  <w:widowControl/>
                  <w:suppressLineNumbers w:val="0"/>
                  <w:jc w:val="right"/>
                  <w:textAlignment w:val="bottom"/>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-34,187,563.32</w:t>
                </w:r>
              </w:p>
            </w:tc>
            <w:tc>
              <w:tcPr>
                <w:tcW w:w="563" w:type="pct"/>
                <w:vAlign w:val="center"/>
              </w:tcPr>
              <w:p>
                <w:pPr>
                  <w:jc w:val="right"/>
                  <w:rPr>
                    <w:rFonts w:hint="default" w:ascii="Times New Roman" w:hAnsi="Times New Roman" w:cs="Times New Roman"/>
                  </w:rPr>
                </w:pPr>
                <w:r>
                  <w:rPr>
                    <w:rFonts w:hint="default" w:ascii="Times New Roman" w:hAnsi="Times New Roman" w:cs="Times New Roman"/>
                  </w:rPr>
                  <w:t>不适用</w:t>
                </w:r>
              </w:p>
            </w:tc>
            <w:tc>
              <w:tcPr>
                <w:tcW w:w="1654" w:type="pct"/>
                <w:vAlign w:val="center"/>
              </w:tcPr>
              <w:p>
                <w:pPr>
                  <w:jc w:val="both"/>
                </w:pPr>
                <w:r>
                  <w:rPr>
                    <w:rFonts w:hint="eastAsia" w:ascii="宋体" w:hAnsi="宋体"/>
                    <w:szCs w:val="21"/>
                    <w:lang w:val="en-US" w:eastAsia="zh-CN"/>
                  </w:rPr>
                  <w:t>主要系本期借款较上年同期增加。</w:t>
                </w:r>
              </w:p>
            </w:tc>
          </w:tr>
        </w:tbl>
        <w:p>
          <w:pPr>
            <w:rPr>
              <w:szCs w:val="21"/>
            </w:rPr>
          </w:pPr>
        </w:p>
      </w:sdtContent>
    </w:sdt>
    <w:p>
      <w:pPr>
        <w:pStyle w:val="4"/>
        <w:numPr>
          <w:ilvl w:val="0"/>
          <w:numId w:val="8"/>
        </w:numPr>
        <w:ind w:left="368" w:hanging="369" w:hangingChars="175"/>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25669"/>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25670"/>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lang w:val="en-US" w:eastAsia="zh-CN"/>
            </w:rPr>
            <w:t>本期公允价值变动收</w:t>
          </w:r>
          <w:r>
            <w:rPr>
              <w:rFonts w:hint="default" w:ascii="Times New Roman" w:hAnsi="Times New Roman" w:cs="Times New Roman"/>
              <w:szCs w:val="21"/>
              <w:lang w:val="en-US" w:eastAsia="zh-CN"/>
            </w:rPr>
            <w:t>益为463.26万元，去年同期为-4,916.36万</w:t>
          </w:r>
          <w:r>
            <w:rPr>
              <w:rFonts w:hint="eastAsia"/>
              <w:szCs w:val="21"/>
              <w:lang w:val="en-US" w:eastAsia="zh-CN"/>
            </w:rPr>
            <w:t>元,同比波动较大主要受公司持有的中信证券股票公允价值变动影响，该项变动对公司利润影响较大。</w:t>
          </w:r>
        </w:p>
      </w:sdtContent>
    </w:sdt>
    <w:p>
      <w:pPr>
        <w:rPr>
          <w:szCs w:val="21"/>
        </w:rPr>
      </w:pPr>
    </w:p>
    <w:p>
      <w:pPr>
        <w:pStyle w:val="4"/>
        <w:numPr>
          <w:ilvl w:val="0"/>
          <w:numId w:val="8"/>
        </w:numPr>
        <w:rPr>
          <w:szCs w:val="21"/>
        </w:rPr>
      </w:pPr>
      <w:r>
        <w:rPr>
          <w:szCs w:val="21"/>
        </w:rPr>
        <w:t>资产、负债情况分析</w:t>
      </w:r>
    </w:p>
    <w:p>
      <w:sdt>
        <w:sdtPr>
          <w:rPr>
            <w:rFonts w:hint="eastAsia"/>
          </w:rPr>
          <w:alias w:val="是否适用：资产、负债情况分析[双击切换]"/>
          <w:tag w:val="_GBC_73f72b786f764d01bef1bb70d2d6e5c6"/>
          <w:id w:val="25671"/>
          <w:lock w:val="contentLocked"/>
          <w:placeholder>
            <w:docPart w:val="GBC22222222222222222222222222222"/>
          </w:placeholder>
        </w:sdtPr>
        <w:sdtEndPr>
          <w:rPr>
            <w:rFonts w:hint="eastAsia"/>
          </w:rPr>
        </w:sdtEndPr>
        <w:sdtContent>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sdtContent>
      </w:sdt>
    </w:p>
    <w:p>
      <w:pPr>
        <w:pStyle w:val="5"/>
        <w:numPr>
          <w:ilvl w:val="0"/>
          <w:numId w:val="12"/>
        </w:numPr>
      </w:pPr>
      <w:r>
        <w:t>资产</w:t>
      </w:r>
      <w:r>
        <w:rPr>
          <w:rFonts w:hint="eastAsia"/>
        </w:rPr>
        <w:t>及</w:t>
      </w:r>
      <w:r>
        <w:t>负债</w:t>
      </w:r>
      <w:r>
        <w:rPr>
          <w:rFonts w:hint="eastAsia"/>
          <w:szCs w:val="21"/>
        </w:rPr>
        <w:t>状</w:t>
      </w:r>
      <w:r>
        <w:rPr>
          <w:szCs w:val="21"/>
        </w:rPr>
        <w:t>况</w:t>
      </w:r>
    </w:p>
    <w:p>
      <w:pPr>
        <w:jc w:val="right"/>
        <w:rPr>
          <w:szCs w:val="21"/>
        </w:rPr>
      </w:pPr>
      <w:r>
        <w:rPr>
          <w:rFonts w:hint="eastAsia"/>
          <w:szCs w:val="21"/>
        </w:rPr>
        <w:t>单位：</w:t>
      </w:r>
      <w:sdt>
        <w:sdtPr>
          <w:rPr>
            <w:rFonts w:hint="eastAsia"/>
            <w:szCs w:val="21"/>
          </w:rPr>
          <w:alias w:val="单位：资产负债状况分析"/>
          <w:tag w:val="_GBC_f016c1cffd884dd784e4fb134fd0d4df"/>
          <w:id w:val="25672"/>
          <w:placeholder>
            <w:docPart w:val="{2bc3c27e-63d8-4da1-9589-ef5afbbcff09}"/>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pPr w:leftFromText="180" w:rightFromText="180" w:vertAnchor="text" w:horzAnchor="page" w:tblpX="1254" w:tblpY="25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482"/>
        <w:gridCol w:w="750"/>
        <w:gridCol w:w="1478"/>
        <w:gridCol w:w="854"/>
        <w:gridCol w:w="969"/>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hint="default" w:ascii="Times New Roman" w:hAnsi="Times New Roman" w:cs="Times New Roman"/>
            </w:rPr>
            <w:tag w:val="_PLD_8f1f37d9a09f4bf3a8f4c407297e58ed"/>
            <w:id w:val="3559"/>
          </w:sdtPr>
          <w:sdtEndPr>
            <w:rPr>
              <w:rFonts w:hint="default" w:ascii="Times New Roman" w:hAnsi="Times New Roman" w:cs="Times New Roman"/>
            </w:rPr>
          </w:sdtEndPr>
          <w:sdtContent>
            <w:tc>
              <w:tcPr>
                <w:tcW w:w="760" w:type="pct"/>
                <w:vAlign w:val="center"/>
              </w:tcPr>
              <w:p>
                <w:pPr>
                  <w:widowControl w:val="0"/>
                  <w:jc w:val="center"/>
                  <w:rPr>
                    <w:rStyle w:val="52"/>
                    <w:rFonts w:hint="default" w:ascii="Times New Roman" w:hAnsi="Times New Roman" w:cs="Times New Roman"/>
                    <w:szCs w:val="21"/>
                  </w:rPr>
                </w:pPr>
                <w:r>
                  <w:rPr>
                    <w:rFonts w:hint="default" w:ascii="Times New Roman" w:hAnsi="Times New Roman" w:cs="Times New Roman"/>
                    <w:szCs w:val="21"/>
                  </w:rPr>
                  <w:t>项目名称</w:t>
                </w:r>
              </w:p>
            </w:tc>
          </w:sdtContent>
        </w:sdt>
        <w:sdt>
          <w:sdtPr>
            <w:rPr>
              <w:rFonts w:hint="default" w:ascii="Times New Roman" w:hAnsi="Times New Roman" w:cs="Times New Roman"/>
            </w:rPr>
            <w:tag w:val="_PLD_a4c00a3d0d0a42e28bc6a14dd6d26320"/>
            <w:id w:val="3560"/>
          </w:sdtPr>
          <w:sdtEndPr>
            <w:rPr>
              <w:rFonts w:hint="default" w:ascii="Times New Roman" w:hAnsi="Times New Roman" w:cs="Times New Roman"/>
            </w:rPr>
          </w:sdtEndPr>
          <w:sdtContent>
            <w:tc>
              <w:tcPr>
                <w:tcW w:w="818" w:type="pct"/>
                <w:vAlign w:val="center"/>
              </w:tcPr>
              <w:p>
                <w:pPr>
                  <w:widowControl w:val="0"/>
                  <w:jc w:val="right"/>
                  <w:rPr>
                    <w:rStyle w:val="52"/>
                    <w:rFonts w:hint="default" w:ascii="Times New Roman" w:hAnsi="Times New Roman" w:cs="Times New Roman"/>
                    <w:szCs w:val="21"/>
                  </w:rPr>
                </w:pPr>
                <w:r>
                  <w:rPr>
                    <w:rFonts w:hint="default" w:ascii="Times New Roman" w:hAnsi="Times New Roman" w:cs="Times New Roman"/>
                    <w:szCs w:val="21"/>
                  </w:rPr>
                  <w:t>本期期末数</w:t>
                </w:r>
              </w:p>
            </w:tc>
          </w:sdtContent>
        </w:sdt>
        <w:sdt>
          <w:sdtPr>
            <w:rPr>
              <w:rFonts w:hint="default" w:ascii="Times New Roman" w:hAnsi="Times New Roman" w:cs="Times New Roman"/>
            </w:rPr>
            <w:tag w:val="_PLD_17de20223ad64b528b824744807b0036"/>
            <w:id w:val="3561"/>
          </w:sdtPr>
          <w:sdtEndPr>
            <w:rPr>
              <w:rFonts w:hint="default" w:ascii="Times New Roman" w:hAnsi="Times New Roman" w:cs="Times New Roman"/>
            </w:rPr>
          </w:sdtEndPr>
          <w:sdtContent>
            <w:tc>
              <w:tcPr>
                <w:tcW w:w="414" w:type="pct"/>
                <w:vAlign w:val="center"/>
              </w:tcPr>
              <w:p>
                <w:pPr>
                  <w:widowControl w:val="0"/>
                  <w:jc w:val="right"/>
                  <w:rPr>
                    <w:rStyle w:val="52"/>
                    <w:rFonts w:hint="default" w:ascii="Times New Roman" w:hAnsi="Times New Roman" w:cs="Times New Roman"/>
                    <w:szCs w:val="21"/>
                  </w:rPr>
                </w:pPr>
                <w:r>
                  <w:rPr>
                    <w:rFonts w:hint="default" w:ascii="Times New Roman" w:hAnsi="Times New Roman" w:cs="Times New Roman"/>
                    <w:szCs w:val="21"/>
                  </w:rPr>
                  <w:t>本期期末数占总资产的比例（%）</w:t>
                </w:r>
              </w:p>
            </w:tc>
          </w:sdtContent>
        </w:sdt>
        <w:sdt>
          <w:sdtPr>
            <w:rPr>
              <w:rFonts w:hint="default" w:ascii="Times New Roman" w:hAnsi="Times New Roman" w:cs="Times New Roman"/>
            </w:rPr>
            <w:tag w:val="_PLD_d1b9e9483c3a41358f877758b5adb0fb"/>
            <w:id w:val="3562"/>
          </w:sdtPr>
          <w:sdtEndPr>
            <w:rPr>
              <w:rFonts w:hint="default" w:ascii="Times New Roman" w:hAnsi="Times New Roman" w:cs="Times New Roman"/>
            </w:rPr>
          </w:sdtEndPr>
          <w:sdtContent>
            <w:tc>
              <w:tcPr>
                <w:tcW w:w="816" w:type="pct"/>
                <w:vAlign w:val="center"/>
              </w:tcPr>
              <w:p>
                <w:pPr>
                  <w:widowControl w:val="0"/>
                  <w:jc w:val="right"/>
                  <w:rPr>
                    <w:rStyle w:val="52"/>
                    <w:rFonts w:hint="default" w:ascii="Times New Roman" w:hAnsi="Times New Roman" w:cs="Times New Roman"/>
                    <w:szCs w:val="21"/>
                  </w:rPr>
                </w:pPr>
                <w:r>
                  <w:rPr>
                    <w:rFonts w:hint="default" w:ascii="Times New Roman" w:hAnsi="Times New Roman" w:cs="Times New Roman"/>
                    <w:szCs w:val="21"/>
                  </w:rPr>
                  <w:t>上期期末数</w:t>
                </w:r>
              </w:p>
            </w:tc>
          </w:sdtContent>
        </w:sdt>
        <w:sdt>
          <w:sdtPr>
            <w:rPr>
              <w:rFonts w:hint="default" w:ascii="Times New Roman" w:hAnsi="Times New Roman" w:cs="Times New Roman"/>
            </w:rPr>
            <w:tag w:val="_PLD_3a8a8577e1a84f26856a900f7202f9a8"/>
            <w:id w:val="3563"/>
          </w:sdtPr>
          <w:sdtEndPr>
            <w:rPr>
              <w:rFonts w:hint="default" w:ascii="Times New Roman" w:hAnsi="Times New Roman" w:cs="Times New Roman"/>
            </w:rPr>
          </w:sdtEndPr>
          <w:sdtContent>
            <w:tc>
              <w:tcPr>
                <w:tcW w:w="471" w:type="pct"/>
                <w:vAlign w:val="center"/>
              </w:tcPr>
              <w:p>
                <w:pPr>
                  <w:widowControl w:val="0"/>
                  <w:jc w:val="right"/>
                  <w:rPr>
                    <w:rStyle w:val="52"/>
                    <w:rFonts w:hint="default" w:ascii="Times New Roman" w:hAnsi="Times New Roman" w:cs="Times New Roman"/>
                    <w:szCs w:val="21"/>
                  </w:rPr>
                </w:pPr>
                <w:r>
                  <w:rPr>
                    <w:rFonts w:hint="default" w:ascii="Times New Roman" w:hAnsi="Times New Roman" w:cs="Times New Roman"/>
                    <w:szCs w:val="21"/>
                  </w:rPr>
                  <w:t>上期期末数占总资产的比例（%）</w:t>
                </w:r>
              </w:p>
            </w:tc>
          </w:sdtContent>
        </w:sdt>
        <w:sdt>
          <w:sdtPr>
            <w:rPr>
              <w:rFonts w:hint="default" w:ascii="Times New Roman" w:hAnsi="Times New Roman" w:cs="Times New Roman"/>
            </w:rPr>
            <w:tag w:val="_PLD_8af1894621b84d44aec1deba51e3a7da"/>
            <w:id w:val="3564"/>
          </w:sdtPr>
          <w:sdtEndPr>
            <w:rPr>
              <w:rFonts w:hint="default" w:ascii="Times New Roman" w:hAnsi="Times New Roman" w:cs="Times New Roman"/>
            </w:rPr>
          </w:sdtEndPr>
          <w:sdtContent>
            <w:tc>
              <w:tcPr>
                <w:tcW w:w="535" w:type="pct"/>
                <w:vAlign w:val="center"/>
              </w:tcPr>
              <w:p>
                <w:pPr>
                  <w:widowControl w:val="0"/>
                  <w:jc w:val="right"/>
                  <w:rPr>
                    <w:rStyle w:val="52"/>
                    <w:rFonts w:hint="default" w:ascii="Times New Roman" w:hAnsi="Times New Roman" w:cs="Times New Roman"/>
                    <w:szCs w:val="21"/>
                  </w:rPr>
                </w:pPr>
                <w:r>
                  <w:rPr>
                    <w:rFonts w:hint="default" w:ascii="Times New Roman" w:hAnsi="Times New Roman" w:cs="Times New Roman"/>
                    <w:szCs w:val="21"/>
                  </w:rPr>
                  <w:t>本期期末金额较上期期末变动比例（%）</w:t>
                </w:r>
              </w:p>
            </w:tc>
          </w:sdtContent>
        </w:sdt>
        <w:sdt>
          <w:sdtPr>
            <w:rPr>
              <w:rFonts w:hint="default" w:ascii="Times New Roman" w:hAnsi="Times New Roman" w:cs="Times New Roman"/>
            </w:rPr>
            <w:tag w:val="_PLD_495436d1d45e4a9391194459a895631e"/>
            <w:id w:val="3565"/>
          </w:sdtPr>
          <w:sdtEndPr>
            <w:rPr>
              <w:rFonts w:hint="default" w:ascii="Times New Roman" w:hAnsi="Times New Roman" w:cs="Times New Roman"/>
            </w:rPr>
          </w:sdtEndPr>
          <w:sdtContent>
            <w:tc>
              <w:tcPr>
                <w:tcW w:w="1182" w:type="pct"/>
                <w:vAlign w:val="center"/>
              </w:tcPr>
              <w:p>
                <w:pPr>
                  <w:widowControl w:val="0"/>
                  <w:jc w:val="center"/>
                  <w:rPr>
                    <w:rStyle w:val="52"/>
                    <w:rFonts w:hint="default" w:ascii="Times New Roman" w:hAnsi="Times New Roman" w:cs="Times New Roman"/>
                    <w:szCs w:val="21"/>
                  </w:rPr>
                </w:pPr>
                <w:r>
                  <w:rPr>
                    <w:rFonts w:hint="default" w:ascii="Times New Roman" w:hAnsi="Times New Roman" w:cs="Times New Roman"/>
                    <w:szCs w:val="21"/>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 xml:space="preserve"> 应收票据</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10,209,048.25</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0.39</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4,223,921.40</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0.17</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141.70</w:t>
            </w:r>
          </w:p>
        </w:tc>
        <w:tc>
          <w:tcPr>
            <w:tcW w:w="1182" w:type="pct"/>
            <w:vAlign w:val="center"/>
          </w:tcPr>
          <w:p>
            <w:pPr>
              <w:widowControl w:val="0"/>
              <w:jc w:val="both"/>
              <w:rPr>
                <w:rStyle w:val="52"/>
                <w:rFonts w:hint="default" w:ascii="Times New Roman" w:hAnsi="Times New Roman" w:cs="Times New Roman"/>
                <w:b w:val="0"/>
                <w:szCs w:val="21"/>
              </w:rPr>
            </w:pPr>
            <w:r>
              <w:rPr>
                <w:rFonts w:hint="default" w:ascii="Times New Roman" w:hAnsi="Times New Roman" w:cs="Times New Roman"/>
              </w:rPr>
              <w:t>亿康</w:t>
            </w:r>
            <w:r>
              <w:rPr>
                <w:rFonts w:hint="eastAsia" w:ascii="Times New Roman" w:hAnsi="Times New Roman" w:cs="Times New Roman"/>
                <w:lang w:val="en-US" w:eastAsia="zh-CN"/>
              </w:rPr>
              <w:t>药业</w:t>
            </w:r>
            <w:r>
              <w:rPr>
                <w:rFonts w:hint="default" w:ascii="Times New Roman" w:hAnsi="Times New Roman" w:cs="Times New Roman"/>
              </w:rPr>
              <w:t>应收款项融资重分类至应收票据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长期应收款</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1,214,525.35</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0.05</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187,629.92</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0.01</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547.30</w:t>
            </w:r>
          </w:p>
        </w:tc>
        <w:tc>
          <w:tcPr>
            <w:tcW w:w="1182" w:type="pct"/>
            <w:vAlign w:val="center"/>
          </w:tcPr>
          <w:p>
            <w:pPr>
              <w:widowControl w:val="0"/>
              <w:jc w:val="both"/>
              <w:rPr>
                <w:rStyle w:val="52"/>
                <w:rFonts w:hint="default" w:ascii="Times New Roman" w:hAnsi="Times New Roman" w:cs="Times New Roman"/>
                <w:b w:val="0"/>
                <w:szCs w:val="21"/>
              </w:rPr>
            </w:pPr>
            <w:r>
              <w:rPr>
                <w:rFonts w:hint="default" w:ascii="Times New Roman" w:hAnsi="Times New Roman" w:cs="Times New Roman"/>
              </w:rPr>
              <w:t>本年度江苏</w:t>
            </w:r>
            <w:r>
              <w:rPr>
                <w:rFonts w:hint="eastAsia" w:ascii="Times New Roman" w:hAnsi="Times New Roman" w:cs="Times New Roman"/>
                <w:lang w:val="en-US" w:eastAsia="zh-CN"/>
              </w:rPr>
              <w:t>实业公司</w:t>
            </w:r>
            <w:r>
              <w:rPr>
                <w:rFonts w:hint="default" w:ascii="Times New Roman" w:hAnsi="Times New Roman" w:cs="Times New Roman"/>
              </w:rPr>
              <w:t>新增使用权资产转租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 xml:space="preserve"> 使用权资产</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4,054,182.77</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0.15</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1,325,020.94</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0.05</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205.97</w:t>
            </w:r>
          </w:p>
        </w:tc>
        <w:tc>
          <w:tcPr>
            <w:tcW w:w="1182" w:type="pct"/>
            <w:vAlign w:val="center"/>
          </w:tcPr>
          <w:p>
            <w:pPr>
              <w:widowControl w:val="0"/>
              <w:jc w:val="both"/>
              <w:rPr>
                <w:rStyle w:val="52"/>
                <w:rFonts w:hint="default" w:ascii="Times New Roman" w:hAnsi="Times New Roman" w:cs="Times New Roman"/>
                <w:b w:val="0"/>
                <w:szCs w:val="21"/>
              </w:rPr>
            </w:pPr>
            <w:r>
              <w:rPr>
                <w:rFonts w:hint="default" w:ascii="Times New Roman" w:hAnsi="Times New Roman" w:cs="Times New Roman"/>
              </w:rPr>
              <w:t>本年江苏</w:t>
            </w:r>
            <w:r>
              <w:rPr>
                <w:rFonts w:hint="eastAsia" w:ascii="Times New Roman" w:hAnsi="Times New Roman" w:cs="Times New Roman"/>
                <w:lang w:val="en-US" w:eastAsia="zh-CN"/>
              </w:rPr>
              <w:t>实业</w:t>
            </w:r>
            <w:r>
              <w:rPr>
                <w:rFonts w:hint="default" w:ascii="Times New Roman" w:hAnsi="Times New Roman" w:cs="Times New Roman"/>
              </w:rPr>
              <w:t>公司新增租入资产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长期待摊费用</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4,634,213.83</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0.18</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1,894,280.49</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0.08</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144.64</w:t>
            </w:r>
          </w:p>
        </w:tc>
        <w:tc>
          <w:tcPr>
            <w:tcW w:w="1182" w:type="pct"/>
            <w:vAlign w:val="center"/>
          </w:tcPr>
          <w:p>
            <w:pPr>
              <w:widowControl w:val="0"/>
              <w:jc w:val="both"/>
              <w:rPr>
                <w:rStyle w:val="52"/>
                <w:rFonts w:hint="eastAsia" w:ascii="Times New Roman" w:hAnsi="Times New Roman" w:eastAsia="宋体" w:cs="Times New Roman"/>
                <w:b w:val="0"/>
                <w:szCs w:val="21"/>
                <w:lang w:val="en-US" w:eastAsia="zh-CN"/>
              </w:rPr>
            </w:pPr>
            <w:r>
              <w:rPr>
                <w:rFonts w:hint="eastAsia" w:ascii="Times New Roman" w:hAnsi="Times New Roman" w:cs="Times New Roman"/>
                <w:lang w:val="en-US" w:eastAsia="zh-CN"/>
              </w:rPr>
              <w:t>芳草公司新增维修改造等费用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 xml:space="preserve"> 一年内到期的非流动资产</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721,993.28</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0.03</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181,862.42</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0.01</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297.00</w:t>
            </w:r>
          </w:p>
        </w:tc>
        <w:tc>
          <w:tcPr>
            <w:tcW w:w="1182" w:type="pct"/>
            <w:vAlign w:val="center"/>
          </w:tcPr>
          <w:p>
            <w:pPr>
              <w:widowControl w:val="0"/>
              <w:jc w:val="both"/>
              <w:rPr>
                <w:rStyle w:val="52"/>
                <w:rFonts w:hint="default" w:ascii="Times New Roman" w:hAnsi="Times New Roman" w:cs="Times New Roman"/>
                <w:b w:val="0"/>
                <w:szCs w:val="21"/>
              </w:rPr>
            </w:pPr>
            <w:r>
              <w:rPr>
                <w:rFonts w:hint="default" w:ascii="Times New Roman" w:hAnsi="Times New Roman" w:cs="Times New Roman"/>
              </w:rPr>
              <w:t>租赁应收款增加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短期借款</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58,000,000.00</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2.21</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43,000,000.00</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1.74</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34.88</w:t>
            </w:r>
          </w:p>
        </w:tc>
        <w:tc>
          <w:tcPr>
            <w:tcW w:w="1182" w:type="pct"/>
            <w:vAlign w:val="center"/>
          </w:tcPr>
          <w:p>
            <w:pPr>
              <w:widowControl w:val="0"/>
              <w:jc w:val="left"/>
              <w:rPr>
                <w:rStyle w:val="52"/>
                <w:rFonts w:hint="default" w:ascii="Times New Roman" w:hAnsi="Times New Roman" w:cs="Times New Roman"/>
                <w:b w:val="0"/>
                <w:szCs w:val="21"/>
              </w:rPr>
            </w:pPr>
            <w:r>
              <w:rPr>
                <w:rFonts w:hint="eastAsia" w:ascii="Times New Roman" w:hAnsi="Times New Roman" w:cs="Times New Roman"/>
                <w:lang w:val="en-US" w:eastAsia="zh-CN"/>
              </w:rPr>
              <w:t>本年度</w:t>
            </w:r>
            <w:r>
              <w:rPr>
                <w:rFonts w:hint="default" w:ascii="Times New Roman" w:hAnsi="Times New Roman" w:cs="Times New Roman"/>
              </w:rPr>
              <w:t>银行借款增加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应付票据</w:t>
            </w:r>
          </w:p>
        </w:tc>
        <w:tc>
          <w:tcPr>
            <w:tcW w:w="818" w:type="pct"/>
            <w:vAlign w:val="center"/>
          </w:tcPr>
          <w:p>
            <w:pPr>
              <w:widowControl w:val="0"/>
              <w:jc w:val="right"/>
              <w:rPr>
                <w:rStyle w:val="52"/>
                <w:rFonts w:hint="default" w:ascii="Times New Roman" w:hAnsi="Times New Roman" w:cs="Times New Roman"/>
                <w:b w:val="0"/>
                <w:szCs w:val="21"/>
              </w:rPr>
            </w:pPr>
          </w:p>
        </w:tc>
        <w:tc>
          <w:tcPr>
            <w:tcW w:w="414" w:type="pct"/>
            <w:vAlign w:val="center"/>
          </w:tcPr>
          <w:p>
            <w:pPr>
              <w:widowControl w:val="0"/>
              <w:jc w:val="right"/>
              <w:rPr>
                <w:rStyle w:val="52"/>
                <w:rFonts w:hint="default" w:ascii="Times New Roman" w:hAnsi="Times New Roman" w:cs="Times New Roman"/>
                <w:b w:val="0"/>
                <w:szCs w:val="21"/>
              </w:rPr>
            </w:pP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138,550.05</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0.01</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-100.00</w:t>
            </w:r>
          </w:p>
        </w:tc>
        <w:tc>
          <w:tcPr>
            <w:tcW w:w="1182"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票据结算减少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 xml:space="preserve"> 一年内到期的非流动负债</w:t>
            </w:r>
          </w:p>
        </w:tc>
        <w:tc>
          <w:tcPr>
            <w:tcW w:w="818"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25,667,756.84</w:t>
            </w:r>
          </w:p>
        </w:tc>
        <w:tc>
          <w:tcPr>
            <w:tcW w:w="414"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0.98</w:t>
            </w:r>
          </w:p>
        </w:tc>
        <w:tc>
          <w:tcPr>
            <w:tcW w:w="816"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666,149.95</w:t>
            </w:r>
          </w:p>
        </w:tc>
        <w:tc>
          <w:tcPr>
            <w:tcW w:w="471"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rPr>
              <w:t>0.03</w:t>
            </w:r>
          </w:p>
        </w:tc>
        <w:tc>
          <w:tcPr>
            <w:tcW w:w="535" w:type="pct"/>
            <w:vAlign w:val="center"/>
          </w:tcPr>
          <w:p>
            <w:pPr>
              <w:widowControl w:val="0"/>
              <w:jc w:val="right"/>
              <w:rPr>
                <w:rStyle w:val="52"/>
                <w:rFonts w:hint="default" w:ascii="Times New Roman" w:hAnsi="Times New Roman" w:cs="Times New Roman"/>
                <w:b w:val="0"/>
                <w:szCs w:val="21"/>
              </w:rPr>
            </w:pPr>
            <w:r>
              <w:rPr>
                <w:rFonts w:hint="default" w:ascii="Times New Roman" w:hAnsi="Times New Roman" w:cs="Times New Roman"/>
                <w:color w:val="auto"/>
              </w:rPr>
              <w:t>3,753.15</w:t>
            </w:r>
          </w:p>
        </w:tc>
        <w:tc>
          <w:tcPr>
            <w:tcW w:w="1182" w:type="pct"/>
            <w:vAlign w:val="center"/>
          </w:tcPr>
          <w:p>
            <w:pPr>
              <w:widowControl w:val="0"/>
              <w:jc w:val="left"/>
              <w:rPr>
                <w:rStyle w:val="52"/>
                <w:rFonts w:hint="default" w:ascii="Times New Roman" w:hAnsi="Times New Roman" w:cs="Times New Roman"/>
                <w:b w:val="0"/>
                <w:szCs w:val="21"/>
              </w:rPr>
            </w:pPr>
            <w:r>
              <w:rPr>
                <w:rFonts w:hint="default" w:ascii="Times New Roman" w:hAnsi="Times New Roman" w:cs="Times New Roman"/>
              </w:rPr>
              <w:t>亿康</w:t>
            </w:r>
            <w:r>
              <w:rPr>
                <w:rFonts w:hint="eastAsia" w:ascii="Times New Roman" w:hAnsi="Times New Roman" w:cs="Times New Roman"/>
                <w:lang w:val="en-US" w:eastAsia="zh-CN"/>
              </w:rPr>
              <w:t>药业长期</w:t>
            </w:r>
            <w:r>
              <w:rPr>
                <w:rFonts w:hint="default" w:ascii="Times New Roman" w:hAnsi="Times New Roman" w:cs="Times New Roman"/>
              </w:rPr>
              <w:t>借款重分类至一年内到期的非流动负债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Fonts w:hint="default" w:ascii="Times New Roman" w:hAnsi="Times New Roman" w:cs="Times New Roman"/>
              </w:rPr>
            </w:pPr>
            <w:r>
              <w:t>应交税费</w:t>
            </w:r>
          </w:p>
        </w:tc>
        <w:tc>
          <w:tcPr>
            <w:tcW w:w="818"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3,866,301.48</w:t>
            </w:r>
          </w:p>
        </w:tc>
        <w:tc>
          <w:tcPr>
            <w:tcW w:w="414"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0.15</w:t>
            </w:r>
          </w:p>
        </w:tc>
        <w:tc>
          <w:tcPr>
            <w:tcW w:w="816"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13,582,858.13</w:t>
            </w:r>
          </w:p>
        </w:tc>
        <w:tc>
          <w:tcPr>
            <w:tcW w:w="471"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0.55</w:t>
            </w:r>
          </w:p>
        </w:tc>
        <w:tc>
          <w:tcPr>
            <w:tcW w:w="535"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-71.54</w:t>
            </w:r>
          </w:p>
        </w:tc>
        <w:tc>
          <w:tcPr>
            <w:tcW w:w="1182" w:type="pct"/>
            <w:vAlign w:val="center"/>
          </w:tcPr>
          <w:p>
            <w:pPr>
              <w:widowControl w:val="0"/>
              <w:jc w:val="left"/>
              <w:rPr>
                <w:rFonts w:hint="default" w:ascii="Times New Roman" w:hAnsi="Times New Roman" w:cs="Times New Roman"/>
              </w:rPr>
            </w:pPr>
            <w:r>
              <w:t>获高新技术企业增值税加计递减以及缴纳获得延期缴纳的税款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Fonts w:hint="default" w:ascii="Times New Roman" w:hAnsi="Times New Roman" w:cs="Times New Roman"/>
              </w:rPr>
            </w:pPr>
            <w:r>
              <w:t>应付职工薪酬</w:t>
            </w:r>
          </w:p>
        </w:tc>
        <w:tc>
          <w:tcPr>
            <w:tcW w:w="818"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5,440,172.21</w:t>
            </w:r>
          </w:p>
        </w:tc>
        <w:tc>
          <w:tcPr>
            <w:tcW w:w="414"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0.21</w:t>
            </w:r>
          </w:p>
        </w:tc>
        <w:tc>
          <w:tcPr>
            <w:tcW w:w="816"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2,329,158.67</w:t>
            </w:r>
          </w:p>
        </w:tc>
        <w:tc>
          <w:tcPr>
            <w:tcW w:w="471"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0.09</w:t>
            </w:r>
          </w:p>
        </w:tc>
        <w:tc>
          <w:tcPr>
            <w:tcW w:w="535"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133.57</w:t>
            </w:r>
          </w:p>
        </w:tc>
        <w:tc>
          <w:tcPr>
            <w:tcW w:w="1182" w:type="pct"/>
            <w:vAlign w:val="center"/>
          </w:tcPr>
          <w:p>
            <w:pPr>
              <w:widowControl w:val="0"/>
              <w:jc w:val="left"/>
              <w:rPr>
                <w:rFonts w:hint="default" w:ascii="Times New Roman" w:hAnsi="Times New Roman" w:cs="Times New Roman"/>
              </w:rPr>
            </w:pPr>
            <w:r>
              <w:t>本年计提奖金增加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60" w:type="pct"/>
            <w:vAlign w:val="center"/>
          </w:tcPr>
          <w:p>
            <w:pPr>
              <w:widowControl w:val="0"/>
              <w:jc w:val="left"/>
              <w:rPr>
                <w:rFonts w:hint="default" w:ascii="Times New Roman" w:hAnsi="Times New Roman" w:cs="Times New Roman"/>
              </w:rPr>
            </w:pPr>
            <w:r>
              <w:t xml:space="preserve"> 租赁负债</w:t>
            </w:r>
          </w:p>
        </w:tc>
        <w:tc>
          <w:tcPr>
            <w:tcW w:w="818"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1,195,352.78 </w:t>
            </w:r>
          </w:p>
        </w:tc>
        <w:tc>
          <w:tcPr>
            <w:tcW w:w="414"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0.05 </w:t>
            </w:r>
          </w:p>
        </w:tc>
        <w:tc>
          <w:tcPr>
            <w:tcW w:w="816"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643,620.53 </w:t>
            </w:r>
          </w:p>
        </w:tc>
        <w:tc>
          <w:tcPr>
            <w:tcW w:w="471"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0.03 </w:t>
            </w:r>
          </w:p>
        </w:tc>
        <w:tc>
          <w:tcPr>
            <w:tcW w:w="535"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85.72 </w:t>
            </w:r>
          </w:p>
        </w:tc>
        <w:tc>
          <w:tcPr>
            <w:tcW w:w="1182" w:type="pct"/>
            <w:vAlign w:val="center"/>
          </w:tcPr>
          <w:p>
            <w:pPr>
              <w:widowControl w:val="0"/>
              <w:jc w:val="left"/>
              <w:rPr>
                <w:rFonts w:hint="default" w:ascii="Times New Roman" w:hAnsi="Times New Roman" w:cs="Times New Roman"/>
              </w:rPr>
            </w:pPr>
            <w:r>
              <w:t>江苏公司本年新增租入资产</w:t>
            </w:r>
          </w:p>
        </w:tc>
      </w:tr>
    </w:tbl>
    <w:p/>
    <w:p>
      <w:pPr>
        <w:rPr>
          <w:szCs w:val="21"/>
        </w:rPr>
      </w:pPr>
      <w:r>
        <w:rPr>
          <w:rFonts w:hint="eastAsia"/>
          <w:szCs w:val="21"/>
        </w:rPr>
        <w:t>其他说明</w:t>
      </w:r>
    </w:p>
    <w:sdt>
      <w:sdtPr>
        <w:rPr>
          <w:rFonts w:hint="eastAsia"/>
          <w:szCs w:val="21"/>
        </w:rPr>
        <w:alias w:val="资产及负债状况的其他说明"/>
        <w:tag w:val="_GBC_3aee54264edd4bb08807d2335eb33f43"/>
        <w:id w:val="25680"/>
        <w:placeholder>
          <w:docPart w:val="GBC22222222222222222222222222222"/>
        </w:placeholder>
      </w:sdtPr>
      <w:sdtEndPr>
        <w:rPr>
          <w:rFonts w:hint="eastAsia"/>
          <w:szCs w:val="21"/>
        </w:rPr>
      </w:sdtEndPr>
      <w:sdtContent>
        <w:p>
          <w:pPr>
            <w:rPr>
              <w:rFonts w:hint="eastAsia"/>
              <w:szCs w:val="21"/>
              <w:lang w:val="en-US" w:eastAsia="zh-CN"/>
            </w:rPr>
          </w:pPr>
          <w:r>
            <w:rPr>
              <w:rFonts w:hint="eastAsia"/>
              <w:szCs w:val="21"/>
              <w:lang w:val="en-US" w:eastAsia="zh-CN"/>
            </w:rPr>
            <w:t>无。</w:t>
          </w:r>
        </w:p>
        <w:p>
          <w:pPr>
            <w:rPr>
              <w:szCs w:val="21"/>
            </w:rPr>
          </w:pPr>
        </w:p>
      </w:sdtContent>
    </w:sdt>
    <w:p>
      <w:pPr>
        <w:pStyle w:val="5"/>
        <w:numPr>
          <w:ilvl w:val="0"/>
          <w:numId w:val="12"/>
        </w:numPr>
        <w:rPr>
          <w:rFonts w:ascii="宋体" w:hAnsi="宋体" w:eastAsia="宋体" w:cs="宋体"/>
          <w:kern w:val="0"/>
          <w:szCs w:val="21"/>
        </w:rPr>
      </w:pPr>
      <w:bookmarkStart w:id="43" w:name="_Hlk89877438"/>
      <w:r>
        <w:rPr>
          <w:rFonts w:hint="eastAsia" w:ascii="宋体" w:hAnsi="宋体" w:eastAsia="宋体" w:cs="宋体"/>
          <w:kern w:val="0"/>
          <w:szCs w:val="21"/>
        </w:rPr>
        <w:t>境外资产情况</w:t>
      </w:r>
    </w:p>
    <w:sdt>
      <w:sdtPr>
        <w:rPr>
          <w:rFonts w:hint="eastAsia"/>
          <w:szCs w:val="21"/>
        </w:rPr>
        <w:alias w:val="是否适用：境外资产情况 [双击切换]"/>
        <w:tag w:val="_GBC_7c019689b55740839a263ecc68721e10"/>
        <w:id w:val="25681"/>
        <w:placeholder>
          <w:docPart w:val="GBC22222222222222222222222222222"/>
        </w:placeholder>
      </w:sdtPr>
      <w:sdtEndPr>
        <w:rPr>
          <w:rFonts w:hint="eastAsia"/>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44" w:name="_Hlk89176028"/>
        </w:p>
        <w:p>
          <w:pPr>
            <w:rPr>
              <w:rFonts w:hint="eastAsia"/>
              <w:szCs w:val="21"/>
            </w:rPr>
          </w:pPr>
        </w:p>
      </w:sdtContent>
    </w:sdt>
    <w:bookmarkEnd w:id="43"/>
    <w:bookmarkEnd w:id="44"/>
    <w:p>
      <w:pPr>
        <w:pStyle w:val="5"/>
        <w:numPr>
          <w:ilvl w:val="0"/>
          <w:numId w:val="12"/>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2568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25683"/>
        <w:placeholder>
          <w:docPart w:val="GBC22222222222222222222222222222"/>
        </w:placeholder>
      </w:sdtPr>
      <w:sdtEndPr>
        <w:rPr>
          <w:szCs w:val="21"/>
        </w:rPr>
      </w:sdtEndPr>
      <w:sdtContent>
        <w:sdt>
          <w:sdtPr>
            <w:rPr>
              <w:rFonts w:ascii="宋体" w:hAnsi="宋体" w:eastAsia="宋体" w:cs="宋体"/>
              <w:sz w:val="21"/>
              <w:szCs w:val="21"/>
              <w:lang w:val="en-US" w:eastAsia="zh-CN" w:bidi="ar-SA"/>
            </w:rPr>
            <w:alias w:val="主要资产受限情况"/>
            <w:tag w:val="_GBC_cb7fe3db517742e2a0cff2593f270f8e"/>
            <w:id w:val="15941"/>
            <w:placeholder>
              <w:docPart w:val="{b57298ee-871e-451b-bc4c-3f907ccdf9b8}"/>
            </w:placeholder>
          </w:sdtPr>
          <w:sdtEndPr>
            <w:rPr>
              <w:rFonts w:ascii="宋体" w:hAnsi="宋体" w:eastAsia="宋体" w:cs="宋体"/>
              <w:sz w:val="21"/>
              <w:szCs w:val="21"/>
              <w:lang w:val="en-US" w:eastAsia="zh-CN" w:bidi="ar-SA"/>
            </w:rPr>
          </w:sdtEndPr>
          <w:sdtContent>
            <w:p>
              <w:pPr>
                <w:rPr>
                  <w:rFonts w:hint="eastAsia" w:ascii="宋体" w:hAnsi="宋体" w:eastAsia="宋体" w:cs="宋体"/>
                  <w:szCs w:val="21"/>
                </w:rPr>
              </w:pPr>
            </w:p>
            <w:p>
              <w:pPr>
                <w:jc w:val="right"/>
                <w:rPr>
                  <w:rFonts w:hint="eastAsia" w:ascii="宋体" w:hAnsi="宋体" w:eastAsia="宋体" w:cs="宋体"/>
                  <w:szCs w:val="21"/>
                </w:rPr>
              </w:pPr>
            </w:p>
            <w:p>
              <w:pPr>
                <w:jc w:val="right"/>
                <w:rPr>
                  <w:rFonts w:ascii="宋体" w:hAnsi="宋体" w:eastAsia="宋体" w:cs="宋体"/>
                  <w:szCs w:val="21"/>
                </w:rPr>
              </w:pPr>
              <w:r>
                <w:rPr>
                  <w:rFonts w:hint="eastAsia" w:ascii="宋体" w:hAnsi="宋体" w:eastAsia="宋体" w:cs="宋体"/>
                  <w:szCs w:val="21"/>
                </w:rPr>
                <w:t>单位：元  币种：人民币</w:t>
              </w:r>
            </w:p>
            <w:tbl>
              <w:tblPr>
                <w:tblStyle w:val="3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263"/>
                <w:gridCol w:w="2455"/>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widowControl w:val="0"/>
                      <w:jc w:val="center"/>
                      <w:rPr>
                        <w:rFonts w:ascii="Times New Roman" w:hAnsi="Times New Roman" w:eastAsia="宋体" w:cs="宋体"/>
                        <w:szCs w:val="21"/>
                      </w:rPr>
                    </w:pPr>
                    <w:r>
                      <w:rPr>
                        <w:rFonts w:ascii="Times New Roman" w:hAnsi="Times New Roman" w:eastAsia="宋体" w:cs="宋体"/>
                      </w:rPr>
                      <w:t>项目</w:t>
                    </w:r>
                  </w:p>
                </w:tc>
                <w:tc>
                  <w:tcPr>
                    <w:tcW w:w="2263" w:type="dxa"/>
                  </w:tcPr>
                  <w:p>
                    <w:pPr>
                      <w:widowControl w:val="0"/>
                      <w:jc w:val="center"/>
                      <w:rPr>
                        <w:rFonts w:ascii="Times New Roman" w:hAnsi="Times New Roman" w:eastAsia="宋体" w:cs="宋体"/>
                        <w:szCs w:val="21"/>
                      </w:rPr>
                    </w:pPr>
                    <w:r>
                      <w:rPr>
                        <w:rFonts w:ascii="Times New Roman" w:hAnsi="Times New Roman" w:eastAsia="宋体" w:cs="宋体"/>
                        <w:color w:val="auto"/>
                      </w:rPr>
                      <w:t> 2023年期末账面价值 </w:t>
                    </w:r>
                  </w:p>
                </w:tc>
                <w:tc>
                  <w:tcPr>
                    <w:tcW w:w="2455" w:type="dxa"/>
                  </w:tcPr>
                  <w:p>
                    <w:pPr>
                      <w:widowControl w:val="0"/>
                      <w:jc w:val="center"/>
                      <w:rPr>
                        <w:rFonts w:ascii="Times New Roman" w:hAnsi="Times New Roman" w:eastAsia="宋体" w:cs="宋体"/>
                      </w:rPr>
                    </w:pPr>
                    <w:r>
                      <w:rPr>
                        <w:rFonts w:ascii="Times New Roman" w:hAnsi="Times New Roman" w:eastAsia="宋体"/>
                      </w:rPr>
                      <w:t> 2022年期末账面价值 </w:t>
                    </w:r>
                  </w:p>
                </w:tc>
                <w:tc>
                  <w:tcPr>
                    <w:tcW w:w="3423" w:type="dxa"/>
                  </w:tcPr>
                  <w:p>
                    <w:pPr>
                      <w:widowControl w:val="0"/>
                      <w:jc w:val="center"/>
                      <w:rPr>
                        <w:rFonts w:ascii="Times New Roman" w:hAnsi="Times New Roman" w:eastAsia="宋体" w:cs="宋体"/>
                        <w:szCs w:val="21"/>
                      </w:rPr>
                    </w:pPr>
                    <w:r>
                      <w:rPr>
                        <w:rFonts w:ascii="Times New Roman" w:hAnsi="Times New Roman" w:eastAsia="宋体" w:cs="宋体"/>
                      </w:rPr>
                      <w:t>受限原因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98" w:type="dxa"/>
                    <w:vAlign w:val="center"/>
                  </w:tcPr>
                  <w:p>
                    <w:pPr>
                      <w:widowControl w:val="0"/>
                      <w:jc w:val="center"/>
                      <w:rPr>
                        <w:rFonts w:ascii="Times New Roman" w:hAnsi="Times New Roman" w:eastAsia="宋体" w:cs="宋体"/>
                        <w:szCs w:val="21"/>
                      </w:rPr>
                    </w:pPr>
                    <w:r>
                      <w:rPr>
                        <w:rFonts w:ascii="Times New Roman" w:hAnsi="Times New Roman" w:eastAsia="宋体" w:cs="宋体"/>
                      </w:rPr>
                      <w:t>货币资金</w:t>
                    </w:r>
                  </w:p>
                </w:tc>
                <w:tc>
                  <w:tcPr>
                    <w:tcW w:w="2263" w:type="dxa"/>
                    <w:vAlign w:val="center"/>
                  </w:tcPr>
                  <w:p>
                    <w:pPr>
                      <w:widowControl w:val="0"/>
                      <w:jc w:val="right"/>
                      <w:rPr>
                        <w:rFonts w:ascii="Times New Roman" w:hAnsi="Times New Roman" w:eastAsia="宋体" w:cs="Times New Roman"/>
                        <w:szCs w:val="21"/>
                      </w:rPr>
                    </w:pPr>
                    <w:r>
                      <w:rPr>
                        <w:rFonts w:hint="eastAsia" w:ascii="Times New Roman" w:hAnsi="Times New Roman" w:cs="Times New Roman"/>
                        <w:lang w:val="en-US" w:eastAsia="zh-CN"/>
                      </w:rPr>
                      <w:t>3,000.00</w:t>
                    </w:r>
                    <w:r>
                      <w:rPr>
                        <w:rFonts w:ascii="Times New Roman" w:hAnsi="Times New Roman" w:eastAsia="宋体" w:cs="Times New Roman"/>
                      </w:rPr>
                      <w:t> </w:t>
                    </w:r>
                  </w:p>
                </w:tc>
                <w:tc>
                  <w:tcPr>
                    <w:tcW w:w="2455" w:type="dxa"/>
                    <w:vAlign w:val="center"/>
                  </w:tcPr>
                  <w:p>
                    <w:pPr>
                      <w:widowControl w:val="0"/>
                      <w:jc w:val="right"/>
                      <w:rPr>
                        <w:rFonts w:ascii="Times New Roman" w:hAnsi="Times New Roman" w:eastAsia="宋体" w:cs="宋体"/>
                      </w:rPr>
                    </w:pPr>
                    <w:r>
                      <w:rPr>
                        <w:rFonts w:ascii="Times New Roman" w:hAnsi="Times New Roman" w:eastAsia="宋体"/>
                      </w:rPr>
                      <w:t> 138,550.05 </w:t>
                    </w:r>
                  </w:p>
                </w:tc>
                <w:tc>
                  <w:tcPr>
                    <w:tcW w:w="3423" w:type="dxa"/>
                  </w:tcPr>
                  <w:p>
                    <w:pPr>
                      <w:widowControl w:val="0"/>
                      <w:jc w:val="both"/>
                      <w:rPr>
                        <w:rFonts w:ascii="Times New Roman" w:hAnsi="Times New Roman" w:eastAsia="宋体" w:cs="宋体"/>
                        <w:szCs w:val="21"/>
                      </w:rPr>
                    </w:pPr>
                    <w:r>
                      <w:rPr>
                        <w:rFonts w:hint="eastAsia" w:ascii="Times New Roman" w:hAnsi="Times New Roman" w:eastAsia="宋体" w:cs="宋体"/>
                      </w:rPr>
                      <w:t>江苏</w:t>
                    </w:r>
                    <w:r>
                      <w:rPr>
                        <w:rFonts w:hint="eastAsia" w:ascii="Times New Roman" w:hAnsi="Times New Roman" w:cs="宋体"/>
                        <w:lang w:val="en-US" w:eastAsia="zh-CN"/>
                      </w:rPr>
                      <w:t>公司</w:t>
                    </w:r>
                    <w:r>
                      <w:rPr>
                        <w:rFonts w:hint="eastAsia" w:ascii="Times New Roman" w:hAnsi="Times New Roman" w:eastAsia="宋体" w:cs="宋体"/>
                      </w:rPr>
                      <w:t>ETC保证金，</w:t>
                    </w:r>
                    <w:r>
                      <w:rPr>
                        <w:rFonts w:hint="eastAsia" w:ascii="Times New Roman" w:hAnsi="Times New Roman" w:eastAsia="宋体" w:cs="宋体"/>
                        <w:color w:val="000000" w:themeColor="text1"/>
                        <w14:textFill>
                          <w14:solidFill>
                            <w14:schemeClr w14:val="tx1"/>
                          </w14:solidFill>
                        </w14:textFill>
                      </w:rPr>
                      <w:t>详见“七、</w:t>
                    </w:r>
                    <w:r>
                      <w:rPr>
                        <w:rFonts w:hint="eastAsia" w:ascii="Times New Roman" w:hAnsi="Times New Roman" w:cs="宋体"/>
                        <w:color w:val="000000" w:themeColor="text1"/>
                        <w:lang w:val="en-US" w:eastAsia="zh-CN"/>
                        <w14:textFill>
                          <w14:solidFill>
                            <w14:schemeClr w14:val="tx1"/>
                          </w14:solidFill>
                        </w14:textFill>
                      </w:rPr>
                      <w:t>合并财务报表项目</w:t>
                    </w:r>
                    <w:r>
                      <w:rPr>
                        <w:rFonts w:hint="eastAsia" w:ascii="Times New Roman" w:hAnsi="Times New Roman" w:eastAsia="宋体" w:cs="宋体"/>
                      </w:rPr>
                      <w:t>注释</w:t>
                    </w:r>
                    <w:r>
                      <w:rPr>
                        <w:rFonts w:ascii="Times New Roman" w:hAnsi="Times New Roman" w:eastAsia="宋体" w:cs="宋体"/>
                        <w:color w:val="000000" w:themeColor="text1"/>
                        <w14:textFill>
                          <w14:solidFill>
                            <w14:schemeClr w14:val="tx1"/>
                          </w14:solidFill>
                        </w14:textFill>
                      </w:rPr>
                      <w:t>1、货币资金”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pPr>
                      <w:widowControl w:val="0"/>
                      <w:jc w:val="center"/>
                      <w:rPr>
                        <w:rFonts w:ascii="Times New Roman" w:hAnsi="Times New Roman" w:eastAsia="宋体" w:cs="宋体"/>
                        <w:szCs w:val="21"/>
                      </w:rPr>
                    </w:pPr>
                    <w:r>
                      <w:rPr>
                        <w:rFonts w:ascii="Times New Roman" w:hAnsi="Times New Roman" w:eastAsia="宋体" w:cs="宋体"/>
                      </w:rPr>
                      <w:t>固定资产</w:t>
                    </w:r>
                  </w:p>
                </w:tc>
                <w:tc>
                  <w:tcPr>
                    <w:tcW w:w="2263" w:type="dxa"/>
                    <w:vAlign w:val="center"/>
                  </w:tcPr>
                  <w:p>
                    <w:pPr>
                      <w:widowControl w:val="0"/>
                      <w:jc w:val="right"/>
                      <w:rPr>
                        <w:rFonts w:ascii="Times New Roman" w:hAnsi="Times New Roman" w:eastAsia="宋体" w:cs="Times New Roman"/>
                        <w:szCs w:val="21"/>
                      </w:rPr>
                    </w:pPr>
                    <w:r>
                      <w:rPr>
                        <w:rFonts w:ascii="Times New Roman" w:hAnsi="Times New Roman" w:eastAsia="宋体" w:cs="Times New Roman"/>
                        <w:color w:val="auto"/>
                      </w:rPr>
                      <w:t> 88,189,111.37 </w:t>
                    </w:r>
                  </w:p>
                </w:tc>
                <w:tc>
                  <w:tcPr>
                    <w:tcW w:w="2455" w:type="dxa"/>
                    <w:vAlign w:val="center"/>
                  </w:tcPr>
                  <w:p>
                    <w:pPr>
                      <w:widowControl w:val="0"/>
                      <w:jc w:val="right"/>
                      <w:rPr>
                        <w:rFonts w:ascii="Times New Roman" w:hAnsi="Times New Roman" w:eastAsia="宋体" w:cs="宋体"/>
                      </w:rPr>
                    </w:pPr>
                    <w:r>
                      <w:t> </w:t>
                    </w:r>
                    <w:r>
                      <w:rPr>
                        <w:rFonts w:ascii="Times New Roman" w:hAnsi="Times New Roman" w:eastAsia="宋体" w:cs="Times New Roman"/>
                        <w:color w:val="auto"/>
                      </w:rPr>
                      <w:t>91,798,114.49 </w:t>
                    </w:r>
                  </w:p>
                </w:tc>
                <w:tc>
                  <w:tcPr>
                    <w:tcW w:w="3423" w:type="dxa"/>
                  </w:tcPr>
                  <w:p>
                    <w:pPr>
                      <w:widowControl w:val="0"/>
                      <w:jc w:val="both"/>
                      <w:rPr>
                        <w:rFonts w:ascii="Times New Roman" w:hAnsi="Times New Roman" w:eastAsia="宋体" w:cs="宋体"/>
                        <w:szCs w:val="21"/>
                      </w:rPr>
                    </w:pPr>
                    <w:r>
                      <w:rPr>
                        <w:rFonts w:ascii="Times New Roman" w:hAnsi="Times New Roman" w:eastAsia="宋体" w:cs="宋体"/>
                      </w:rPr>
                      <w:t>银行借款抵押</w:t>
                    </w:r>
                    <w:r>
                      <w:rPr>
                        <w:rFonts w:hint="eastAsia" w:ascii="Times New Roman" w:hAnsi="Times New Roman" w:eastAsia="宋体" w:cs="宋体"/>
                      </w:rPr>
                      <w:t>，详见“</w:t>
                    </w:r>
                    <w:r>
                      <w:rPr>
                        <w:rFonts w:hint="eastAsia" w:ascii="Times New Roman" w:hAnsi="Times New Roman" w:eastAsia="宋体" w:cs="宋体"/>
                        <w:color w:val="000000" w:themeColor="text1"/>
                        <w14:textFill>
                          <w14:solidFill>
                            <w14:schemeClr w14:val="tx1"/>
                          </w14:solidFill>
                        </w14:textFill>
                      </w:rPr>
                      <w:t>七、</w:t>
                    </w:r>
                    <w:r>
                      <w:rPr>
                        <w:rFonts w:hint="eastAsia" w:ascii="Times New Roman" w:hAnsi="Times New Roman" w:cs="宋体"/>
                        <w:color w:val="000000" w:themeColor="text1"/>
                        <w:lang w:val="en-US" w:eastAsia="zh-CN"/>
                        <w14:textFill>
                          <w14:solidFill>
                            <w14:schemeClr w14:val="tx1"/>
                          </w14:solidFill>
                        </w14:textFill>
                      </w:rPr>
                      <w:t>合并财务报表项目</w:t>
                    </w:r>
                    <w:r>
                      <w:rPr>
                        <w:rFonts w:hint="eastAsia" w:ascii="Times New Roman" w:hAnsi="Times New Roman" w:eastAsia="宋体" w:cs="宋体"/>
                      </w:rPr>
                      <w:t>注释</w:t>
                    </w:r>
                    <w:r>
                      <w:rPr>
                        <w:rFonts w:ascii="Times New Roman" w:hAnsi="Times New Roman" w:eastAsia="宋体" w:cs="宋体"/>
                      </w:rPr>
                      <w:t>32、短期借款”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pPr>
                      <w:widowControl w:val="0"/>
                      <w:jc w:val="center"/>
                      <w:rPr>
                        <w:rFonts w:ascii="Times New Roman" w:hAnsi="Times New Roman" w:eastAsia="宋体" w:cs="宋体"/>
                        <w:szCs w:val="21"/>
                      </w:rPr>
                    </w:pPr>
                    <w:r>
                      <w:rPr>
                        <w:rFonts w:ascii="Times New Roman" w:hAnsi="Times New Roman" w:eastAsia="宋体" w:cs="宋体"/>
                      </w:rPr>
                      <w:t>无形资产</w:t>
                    </w:r>
                  </w:p>
                </w:tc>
                <w:tc>
                  <w:tcPr>
                    <w:tcW w:w="2263" w:type="dxa"/>
                    <w:vAlign w:val="center"/>
                  </w:tcPr>
                  <w:p>
                    <w:pPr>
                      <w:widowControl w:val="0"/>
                      <w:jc w:val="right"/>
                      <w:rPr>
                        <w:rFonts w:ascii="Times New Roman" w:hAnsi="Times New Roman" w:eastAsia="宋体" w:cs="Times New Roman"/>
                        <w:szCs w:val="21"/>
                      </w:rPr>
                    </w:pPr>
                    <w:r>
                      <w:rPr>
                        <w:rFonts w:ascii="Times New Roman" w:hAnsi="Times New Roman" w:eastAsia="宋体" w:cs="Times New Roman"/>
                        <w:color w:val="auto"/>
                      </w:rPr>
                      <w:t> 21,741,037.11 </w:t>
                    </w:r>
                  </w:p>
                </w:tc>
                <w:tc>
                  <w:tcPr>
                    <w:tcW w:w="2455" w:type="dxa"/>
                    <w:vAlign w:val="center"/>
                  </w:tcPr>
                  <w:p>
                    <w:pPr>
                      <w:widowControl w:val="0"/>
                      <w:jc w:val="right"/>
                      <w:rPr>
                        <w:rFonts w:ascii="Times New Roman" w:hAnsi="Times New Roman" w:eastAsia="宋体" w:cs="宋体"/>
                      </w:rPr>
                    </w:pPr>
                    <w:r>
                      <w:rPr>
                        <w:rFonts w:ascii="Times New Roman" w:hAnsi="Times New Roman" w:eastAsia="宋体"/>
                        <w:color w:val="auto"/>
                      </w:rPr>
                      <w:t> 22,354,901.67 </w:t>
                    </w:r>
                  </w:p>
                </w:tc>
                <w:tc>
                  <w:tcPr>
                    <w:tcW w:w="3423" w:type="dxa"/>
                  </w:tcPr>
                  <w:p>
                    <w:pPr>
                      <w:widowControl w:val="0"/>
                      <w:jc w:val="both"/>
                      <w:rPr>
                        <w:rFonts w:ascii="Times New Roman" w:hAnsi="Times New Roman" w:eastAsia="宋体" w:cs="宋体"/>
                        <w:szCs w:val="21"/>
                      </w:rPr>
                    </w:pPr>
                    <w:r>
                      <w:rPr>
                        <w:rFonts w:ascii="Times New Roman" w:hAnsi="Times New Roman" w:eastAsia="宋体" w:cs="宋体"/>
                      </w:rPr>
                      <w:t>银行借款抵押</w:t>
                    </w:r>
                    <w:r>
                      <w:rPr>
                        <w:rFonts w:hint="eastAsia" w:ascii="Times New Roman" w:hAnsi="Times New Roman" w:eastAsia="宋体" w:cs="宋体"/>
                      </w:rPr>
                      <w:t>，详见“</w:t>
                    </w:r>
                    <w:r>
                      <w:rPr>
                        <w:rFonts w:hint="eastAsia" w:ascii="Times New Roman" w:hAnsi="Times New Roman" w:eastAsia="宋体" w:cs="宋体"/>
                        <w:color w:val="000000" w:themeColor="text1"/>
                        <w14:textFill>
                          <w14:solidFill>
                            <w14:schemeClr w14:val="tx1"/>
                          </w14:solidFill>
                        </w14:textFill>
                      </w:rPr>
                      <w:t>七、</w:t>
                    </w:r>
                    <w:r>
                      <w:rPr>
                        <w:rFonts w:hint="eastAsia" w:ascii="Times New Roman" w:hAnsi="Times New Roman" w:cs="宋体"/>
                        <w:color w:val="000000" w:themeColor="text1"/>
                        <w:lang w:val="en-US" w:eastAsia="zh-CN"/>
                        <w14:textFill>
                          <w14:solidFill>
                            <w14:schemeClr w14:val="tx1"/>
                          </w14:solidFill>
                        </w14:textFill>
                      </w:rPr>
                      <w:t>合并财务报表项目</w:t>
                    </w:r>
                    <w:r>
                      <w:rPr>
                        <w:rFonts w:hint="eastAsia" w:ascii="Times New Roman" w:hAnsi="Times New Roman" w:eastAsia="宋体" w:cs="宋体"/>
                      </w:rPr>
                      <w:t>注释</w:t>
                    </w:r>
                    <w:r>
                      <w:rPr>
                        <w:rFonts w:ascii="Times New Roman" w:hAnsi="Times New Roman" w:eastAsia="宋体" w:cs="宋体"/>
                      </w:rPr>
                      <w:t>32、短期借款”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pPr>
                      <w:widowControl w:val="0"/>
                      <w:jc w:val="center"/>
                      <w:rPr>
                        <w:rFonts w:ascii="Times New Roman" w:hAnsi="Times New Roman" w:eastAsia="宋体" w:cs="宋体"/>
                        <w:szCs w:val="21"/>
                      </w:rPr>
                    </w:pPr>
                    <w:r>
                      <w:rPr>
                        <w:rFonts w:ascii="Times New Roman" w:hAnsi="Times New Roman" w:eastAsia="宋体" w:cs="宋体"/>
                      </w:rPr>
                      <w:t>合计</w:t>
                    </w:r>
                  </w:p>
                </w:tc>
                <w:tc>
                  <w:tcPr>
                    <w:tcW w:w="2263" w:type="dxa"/>
                    <w:vAlign w:val="center"/>
                  </w:tcPr>
                  <w:p>
                    <w:pPr>
                      <w:widowControl w:val="0"/>
                      <w:jc w:val="right"/>
                      <w:rPr>
                        <w:rFonts w:ascii="Times New Roman" w:hAnsi="Times New Roman" w:eastAsia="宋体" w:cs="Times New Roman"/>
                        <w:szCs w:val="21"/>
                      </w:rPr>
                    </w:pPr>
                    <w:r>
                      <w:rPr>
                        <w:rFonts w:ascii="Times New Roman" w:hAnsi="Times New Roman" w:eastAsia="宋体" w:cs="Times New Roman"/>
                        <w:color w:val="auto"/>
                      </w:rPr>
                      <w:t> 109,93</w:t>
                    </w:r>
                    <w:r>
                      <w:rPr>
                        <w:rFonts w:hint="eastAsia" w:ascii="Times New Roman" w:hAnsi="Times New Roman" w:eastAsia="宋体" w:cs="Times New Roman"/>
                        <w:color w:val="auto"/>
                      </w:rPr>
                      <w:t>3</w:t>
                    </w:r>
                    <w:r>
                      <w:rPr>
                        <w:rFonts w:ascii="Times New Roman" w:hAnsi="Times New Roman" w:eastAsia="宋体" w:cs="Times New Roman"/>
                        <w:color w:val="auto"/>
                      </w:rPr>
                      <w:t>,148.48</w:t>
                    </w:r>
                  </w:p>
                </w:tc>
                <w:tc>
                  <w:tcPr>
                    <w:tcW w:w="2455" w:type="dxa"/>
                    <w:vAlign w:val="center"/>
                  </w:tcPr>
                  <w:p>
                    <w:pPr>
                      <w:widowControl w:val="0"/>
                      <w:jc w:val="right"/>
                      <w:rPr>
                        <w:rFonts w:ascii="Times New Roman" w:hAnsi="Times New Roman" w:eastAsia="宋体" w:cs="宋体"/>
                      </w:rPr>
                    </w:pPr>
                    <w:r>
                      <w:rPr>
                        <w:rFonts w:ascii="Times New Roman" w:hAnsi="Times New Roman" w:eastAsia="宋体"/>
                        <w:color w:val="auto"/>
                      </w:rPr>
                      <w:t> 114,291,566.21 </w:t>
                    </w:r>
                  </w:p>
                </w:tc>
                <w:tc>
                  <w:tcPr>
                    <w:tcW w:w="3423" w:type="dxa"/>
                  </w:tcPr>
                  <w:p>
                    <w:pPr>
                      <w:widowControl w:val="0"/>
                      <w:jc w:val="both"/>
                      <w:rPr>
                        <w:rFonts w:ascii="Times New Roman" w:hAnsi="Times New Roman" w:eastAsia="宋体" w:cs="宋体"/>
                      </w:rPr>
                    </w:pPr>
                  </w:p>
                </w:tc>
              </w:tr>
            </w:tbl>
            <w:p/>
            <w:p>
              <w:pPr>
                <w:rPr>
                  <w:szCs w:val="21"/>
                </w:rPr>
              </w:pPr>
            </w:p>
          </w:sdtContent>
        </w:sdt>
      </w:sdtContent>
    </w:sdt>
    <w:p>
      <w:pPr>
        <w:pStyle w:val="5"/>
        <w:numPr>
          <w:ilvl w:val="0"/>
          <w:numId w:val="12"/>
        </w:numPr>
      </w:pPr>
      <w:r>
        <w:t>其他说明</w:t>
      </w:r>
    </w:p>
    <w:sdt>
      <w:sdtPr>
        <w:rPr>
          <w:rFonts w:hint="eastAsia"/>
          <w:szCs w:val="21"/>
        </w:rPr>
        <w:alias w:val="是否适用：资产及负债状况的其他说明[双击切换]"/>
        <w:tag w:val="_GBC_364e24c8cf1a4469ba88a4ae16e0417f"/>
        <w:id w:val="25684"/>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25685"/>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25686"/>
        <w:placeholder>
          <w:docPart w:val="GBC22222222222222222222222222222"/>
        </w:placeholder>
      </w:sdtPr>
      <w:sdtEndPr>
        <w:rPr>
          <w:rFonts w:hint="eastAsia"/>
          <w:szCs w:val="21"/>
        </w:rPr>
      </w:sdtEndPr>
      <w:sdtContent>
        <w:p>
          <w:pPr>
            <w:rPr>
              <w:szCs w:val="21"/>
            </w:rPr>
          </w:pPr>
          <w:r>
            <w:rPr>
              <w:rFonts w:hint="eastAsia"/>
              <w:szCs w:val="21"/>
              <w:lang w:val="en-US" w:eastAsia="zh-CN"/>
            </w:rPr>
            <w:t>详见下文。</w:t>
          </w:r>
        </w:p>
      </w:sdtContent>
    </w:sdt>
    <w:p>
      <w:pPr>
        <w:rPr>
          <w:szCs w:val="21"/>
        </w:rPr>
        <w:sectPr>
          <w:pgSz w:w="11906" w:h="16838"/>
          <w:pgMar w:top="1440" w:right="1797" w:bottom="1525" w:left="1276" w:header="855" w:footer="992" w:gutter="0"/>
          <w:cols w:space="425" w:num="1"/>
          <w:docGrid w:linePitch="312" w:charSpace="0"/>
        </w:sectPr>
      </w:pPr>
    </w:p>
    <w:p>
      <w:pPr>
        <w:pStyle w:val="5"/>
        <w:ind w:left="360" w:hanging="360"/>
      </w:pPr>
      <w:r>
        <w:rPr>
          <w:rFonts w:hint="eastAsia"/>
        </w:rPr>
        <w:t>化工行业经营性信息分析</w:t>
      </w:r>
    </w:p>
    <w:p>
      <w:pPr>
        <w:pStyle w:val="63"/>
        <w:numPr>
          <w:ilvl w:val="0"/>
          <w:numId w:val="13"/>
        </w:numPr>
        <w:spacing w:before="60" w:after="60"/>
        <w:ind w:firstLineChars="0"/>
        <w:outlineLvl w:val="4"/>
        <w:rPr>
          <w:b/>
        </w:rPr>
      </w:pPr>
      <w:r>
        <w:rPr>
          <w:rFonts w:hint="eastAsia"/>
          <w:b/>
        </w:rPr>
        <w:t>行业基本情况</w:t>
      </w:r>
    </w:p>
    <w:p>
      <w:pPr>
        <w:pStyle w:val="63"/>
        <w:numPr>
          <w:ilvl w:val="0"/>
          <w:numId w:val="14"/>
        </w:numPr>
        <w:ind w:firstLineChars="0"/>
        <w:outlineLvl w:val="5"/>
        <w:rPr>
          <w:b/>
        </w:rPr>
      </w:pPr>
      <w:r>
        <w:rPr>
          <w:b/>
        </w:rPr>
        <w:t>行业政策及其变化</w:t>
      </w:r>
    </w:p>
    <w:sdt>
      <w:sdtPr>
        <w:rPr>
          <w:rFonts w:hint="eastAsia"/>
        </w:rPr>
        <w:alias w:val="是否适用：化工行业政策及其变动[双击切换]"/>
        <w:tag w:val="_GBC_cda9e770ae9a44fdb49e4f45dfaa3356"/>
        <w:id w:val="25687"/>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sdt>
      <w:sdtPr>
        <w:rPr>
          <w:rFonts w:hint="default" w:ascii="Times New Roman" w:hAnsi="Times New Roman" w:cs="Times New Roman"/>
        </w:rPr>
        <w:alias w:val="化工行业政策及其变动"/>
        <w:tag w:val="_GBC_3240c5951d294ed68ea4015baa5be749"/>
        <w:id w:val="25688"/>
        <w:placeholder>
          <w:docPart w:val="GBC22222222222222222222222222222"/>
        </w:placeholder>
      </w:sdtPr>
      <w:sdtEndPr>
        <w:rPr>
          <w:rFonts w:hint="eastAsia" w:ascii="Times New Roman" w:hAnsi="Times New Roman" w:cs="Times New Roma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default" w:ascii="Times New Roman" w:hAnsi="Times New Roman" w:cs="Times New Roman"/>
              <w:lang w:val="en-US" w:eastAsia="zh-CN"/>
            </w:rPr>
            <w:t>2023年12月1日起，国家市场监督管理总局发布的《牙膏监督管理办法》（以下简</w:t>
          </w:r>
          <w:r>
            <w:rPr>
              <w:rFonts w:hint="eastAsia" w:ascii="宋体" w:hAnsi="宋体" w:eastAsia="宋体" w:cs="宋体"/>
              <w:lang w:val="en-US" w:eastAsia="zh-CN"/>
            </w:rPr>
            <w:t>称“办法”</w:t>
          </w:r>
          <w:r>
            <w:rPr>
              <w:rFonts w:hint="default" w:ascii="Times New Roman" w:hAnsi="Times New Roman" w:cs="Times New Roman"/>
              <w:lang w:val="en-US" w:eastAsia="zh-CN"/>
            </w:rPr>
            <w:t>）</w:t>
          </w:r>
          <w:r>
            <w:rPr>
              <w:rFonts w:hint="eastAsia" w:ascii="Times New Roman" w:hAnsi="Times New Roman" w:cs="Times New Roman"/>
              <w:lang w:val="en-US" w:eastAsia="zh-CN"/>
            </w:rPr>
            <w:t>、国家药品监督管理局发布的《牙膏备案资料管理规定》</w:t>
          </w:r>
          <w:r>
            <w:rPr>
              <w:rFonts w:hint="default" w:ascii="Times New Roman" w:hAnsi="Times New Roman" w:cs="Times New Roman"/>
              <w:lang w:val="en-US" w:eastAsia="zh-CN"/>
            </w:rPr>
            <w:t>正式实施</w:t>
          </w:r>
          <w:r>
            <w:rPr>
              <w:rFonts w:hint="eastAsia" w:ascii="Times New Roman" w:hAnsi="Times New Roman" w:cs="Times New Roman"/>
              <w:lang w:val="en-US" w:eastAsia="zh-CN"/>
            </w:rPr>
            <w:t>。</w:t>
          </w:r>
          <w:r>
            <w:rPr>
              <w:rFonts w:hint="default" w:ascii="Times New Roman" w:hAnsi="Times New Roman" w:cs="Times New Roman"/>
              <w:lang w:val="en-US" w:eastAsia="zh-CN"/>
            </w:rPr>
            <w:t>《办法》明确了牙膏的原料管理、产品备案、生产许可、安全评估、功效宣称等规定，切实加强牙膏监督管理，维护消费者健康权益。公司认真做好《办法》实施前的各项准备工作，已在实施前完成生产牙膏的备案，并将严格执行《办法》规定，确保所生产的牙膏产品符合国家监督管理要求，为广大消费者提供健康、安全的产品。</w:t>
          </w:r>
        </w:p>
      </w:sdtContent>
    </w:sdt>
    <w:p/>
    <w:p>
      <w:pPr>
        <w:pStyle w:val="63"/>
        <w:numPr>
          <w:ilvl w:val="0"/>
          <w:numId w:val="14"/>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25689"/>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sdt>
      <w:sdtPr>
        <w:rPr>
          <w:rFonts w:hint="eastAsia" w:ascii="Times New Roman" w:hAnsi="Times New Roman" w:cs="Times New Roman"/>
          <w:lang w:val="en-US" w:eastAsia="zh-CN"/>
        </w:rPr>
        <w:alias w:val="化工行业主要细分行业的基本情况及公司行业地位"/>
        <w:tag w:val="_GBC_d9a22887ad144d13b5936f42325f1dab"/>
        <w:id w:val="25690"/>
        <w:placeholder>
          <w:docPart w:val="GBC22222222222222222222222222222"/>
        </w:placeholder>
      </w:sdtPr>
      <w:sdtEndPr>
        <w:rPr>
          <w:rFonts w:hint="eastAsia" w:ascii="Times New Roman" w:hAnsi="Times New Roman" w:cs="Times New Roman"/>
          <w:lang w:val="en-US" w:eastAsia="zh-CN"/>
        </w:rPr>
      </w:sdtEndPr>
      <w:sdtContent>
        <w:p>
          <w:pPr>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sz w:val="21"/>
              <w:szCs w:val="21"/>
            </w:rPr>
          </w:pPr>
          <w:r>
            <w:rPr>
              <w:rFonts w:hint="eastAsia" w:ascii="宋体" w:hAnsi="宋体" w:eastAsia="宋体" w:cs="宋体"/>
              <w:sz w:val="21"/>
              <w:szCs w:val="21"/>
            </w:rPr>
            <w:t>公司主要从事日化用品的研发、生产和销售，根据证监会《上市公司行业分类指引》</w:t>
          </w:r>
          <w:r>
            <w:rPr>
              <w:rFonts w:hint="default" w:ascii="Times New Roman" w:hAnsi="Times New Roman" w:eastAsia="宋体" w:cs="Times New Roman"/>
              <w:sz w:val="21"/>
              <w:szCs w:val="21"/>
            </w:rPr>
            <w:t>（2012年修订</w:t>
          </w:r>
          <w:r>
            <w:rPr>
              <w:rFonts w:hint="eastAsia" w:ascii="宋体" w:hAnsi="宋体" w:eastAsia="宋体" w:cs="宋体"/>
              <w:sz w:val="21"/>
              <w:szCs w:val="21"/>
            </w:rPr>
            <w:t>），公</w:t>
          </w:r>
          <w:r>
            <w:rPr>
              <w:rFonts w:hint="default" w:ascii="Times New Roman" w:hAnsi="Times New Roman" w:eastAsia="宋体" w:cs="Times New Roman"/>
              <w:sz w:val="21"/>
              <w:szCs w:val="21"/>
            </w:rPr>
            <w:t>司归属于</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化学原料和化学制品制造业（C26）</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。根据国家统计局《国民经济行业分类（GB/T 4754-2017）》，公司归属于</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日用化学品制造业（C268）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color w:val="auto"/>
              <w:sz w:val="21"/>
              <w:szCs w:val="21"/>
            </w:rPr>
            <w:t>根据国家统计局数据显示，202</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 xml:space="preserve">年社会消费品零售总额 </w:t>
          </w:r>
          <w:r>
            <w:rPr>
              <w:rFonts w:hint="default" w:ascii="Times New Roman" w:hAnsi="Times New Roman" w:eastAsia="宋体" w:cs="Times New Roman"/>
              <w:sz w:val="21"/>
              <w:szCs w:val="21"/>
            </w:rPr>
            <w:t>471</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495</w:t>
          </w:r>
          <w:r>
            <w:rPr>
              <w:rFonts w:hint="default" w:ascii="Times New Roman" w:hAnsi="Times New Roman" w:eastAsia="宋体" w:cs="Times New Roman"/>
              <w:color w:val="auto"/>
              <w:sz w:val="21"/>
              <w:szCs w:val="21"/>
            </w:rPr>
            <w:t>亿元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同比增长</w:t>
          </w:r>
          <w:r>
            <w:rPr>
              <w:rFonts w:hint="default" w:ascii="Times New Roman" w:hAnsi="Times New Roman" w:eastAsia="宋体" w:cs="Times New Roman"/>
              <w:i w:val="0"/>
              <w:iCs w:val="0"/>
              <w:caps w:val="0"/>
              <w:color w:val="000000"/>
              <w:spacing w:val="0"/>
              <w:sz w:val="21"/>
              <w:szCs w:val="21"/>
              <w:shd w:val="clear" w:fill="FFFFFF"/>
            </w:rPr>
            <w:t>7.2%</w:t>
          </w:r>
          <w:r>
            <w:rPr>
              <w:rFonts w:hint="default" w:ascii="Times New Roman" w:hAnsi="Times New Roman" w:eastAsia="宋体" w:cs="Times New Roman"/>
              <w:color w:val="auto"/>
              <w:sz w:val="21"/>
              <w:szCs w:val="21"/>
              <w:lang w:val="en-US" w:eastAsia="zh-CN"/>
            </w:rPr>
            <w:t>。</w:t>
          </w:r>
        </w:p>
        <w:p>
          <w:pPr>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日化行业整体规模持续扩大，高端产品占有较高的利润率，行业内企业较多，国际品牌与本土品牌，传统品牌与新兴品牌在国内日化市场相互竞争。各细分领域发展不均衡，各企业在产品研发、品牌宣传、市场推广、渠道争夺等多方面竞争激烈。在日化用品行业中，中药功能细分市场比重上升，中药功效型产品具有较大的市场空间。国内品牌加强研发，提高产品品质，增强消费者使用</w:t>
          </w:r>
          <w:r>
            <w:rPr>
              <w:rFonts w:hint="default" w:ascii="Times New Roman" w:hAnsi="Times New Roman" w:eastAsia="宋体" w:cs="Times New Roman"/>
              <w:color w:val="auto"/>
              <w:sz w:val="21"/>
              <w:szCs w:val="21"/>
            </w:rPr>
            <w:t>体验，树立品牌形象，依然是相当长的一段时间内日化品行业的努力方向，也是行业内企业的机会所在。</w:t>
          </w:r>
        </w:p>
        <w:p>
          <w:pPr>
            <w:pageBreakBefore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①口腔清洁护理行业</w:t>
          </w:r>
        </w:p>
        <w:p>
          <w:pPr>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在日化行业的细分领域中，中国口腔清洁护理行业持续稳定发展。随着国家经济的发展和国民人均收入水平的提高，</w:t>
          </w:r>
          <w:r>
            <w:rPr>
              <w:rFonts w:hint="eastAsia" w:ascii="Times New Roman" w:hAnsi="Times New Roman" w:cs="Times New Roman"/>
              <w:color w:val="auto"/>
              <w:sz w:val="21"/>
              <w:szCs w:val="21"/>
              <w:lang w:val="en-US" w:eastAsia="zh-CN"/>
            </w:rPr>
            <w:t>大众</w:t>
          </w:r>
          <w:r>
            <w:rPr>
              <w:rFonts w:hint="default" w:ascii="Times New Roman" w:hAnsi="Times New Roman" w:eastAsia="宋体" w:cs="Times New Roman"/>
              <w:color w:val="auto"/>
              <w:sz w:val="21"/>
              <w:szCs w:val="21"/>
            </w:rPr>
            <w:t>对口腔健康及美丽重要性的意识不断提升，国民在口腔清洁护理领域的人均投入不断增长，拥有庞大消费群体的中国口腔清洁护理市场呈现出较大的增长潜力。消费者口腔健康意识增强、购买力提高以及消费升级等多因素推动口腔护理趋向多元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专业化</w:t>
          </w:r>
          <w:r>
            <w:rPr>
              <w:rFonts w:hint="eastAsia" w:ascii="Times New Roman" w:hAnsi="Times New Roman" w:cs="Times New Roman"/>
              <w:color w:val="auto"/>
              <w:sz w:val="21"/>
              <w:szCs w:val="21"/>
              <w:lang w:val="en-US" w:eastAsia="zh-CN"/>
            </w:rPr>
            <w:t>，中国消费者正在经历有浅层护理到深层护理的转变。</w:t>
          </w:r>
          <w:r>
            <w:rPr>
              <w:rFonts w:hint="default" w:ascii="Times New Roman" w:hAnsi="Times New Roman" w:eastAsia="宋体" w:cs="Times New Roman"/>
              <w:color w:val="auto"/>
              <w:sz w:val="21"/>
              <w:szCs w:val="21"/>
              <w:highlight w:val="none"/>
            </w:rPr>
            <w:t>根据中国口腔清洁护理用品工业协会</w:t>
          </w:r>
          <w:r>
            <w:rPr>
              <w:rFonts w:hint="default" w:ascii="Times New Roman" w:hAnsi="Times New Roman" w:eastAsia="宋体" w:cs="Times New Roman"/>
              <w:color w:val="auto"/>
              <w:sz w:val="21"/>
              <w:szCs w:val="21"/>
              <w:highlight w:val="none"/>
              <w:lang w:val="en-US" w:eastAsia="zh-CN"/>
            </w:rPr>
            <w:t>2022年行业市场报告显示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行业国货品牌整体市场份额上升，外资品牌整体市场份额</w:t>
          </w:r>
          <w:r>
            <w:rPr>
              <w:rFonts w:hint="eastAsia" w:ascii="Times New Roman" w:hAnsi="Times New Roman" w:cs="Times New Roman"/>
              <w:color w:val="auto"/>
              <w:sz w:val="21"/>
              <w:szCs w:val="21"/>
              <w:highlight w:val="none"/>
              <w:lang w:val="en-US" w:eastAsia="zh-CN"/>
            </w:rPr>
            <w:t>下降，众多民族品牌持续提升市场份额，表现出强劲的发展潜力</w:t>
          </w:r>
          <w:r>
            <w:rPr>
              <w:rFonts w:hint="default" w:ascii="Times New Roman" w:hAnsi="Times New Roman" w:eastAsia="宋体"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②酒店用品行业</w:t>
          </w:r>
          <w:r>
            <w:rPr>
              <w:rFonts w:hint="eastAsia" w:ascii="Times New Roman" w:hAnsi="Times New Roman" w:cs="Times New Roman"/>
              <w:b/>
              <w:bCs/>
              <w:color w:val="auto"/>
              <w:sz w:val="21"/>
              <w:szCs w:val="21"/>
              <w:lang w:val="en-US" w:eastAsia="zh-CN"/>
            </w:rPr>
            <w:t xml:space="preserve"> </w:t>
          </w:r>
        </w:p>
        <w:p>
          <w:pPr>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auto"/>
              <w:sz w:val="21"/>
              <w:szCs w:val="21"/>
              <w:lang w:val="en-US" w:eastAsia="zh-CN"/>
            </w:rPr>
            <w:t xml:space="preserve"> 报告期内，酒店用品行业</w:t>
          </w:r>
          <w:r>
            <w:rPr>
              <w:rFonts w:hint="eastAsia" w:ascii="Times New Roman" w:hAnsi="Times New Roman" w:cs="Times New Roman"/>
              <w:color w:val="auto"/>
              <w:sz w:val="21"/>
              <w:szCs w:val="21"/>
              <w:lang w:val="en-US" w:eastAsia="zh-CN"/>
            </w:rPr>
            <w:t>强势复苏，</w:t>
          </w:r>
          <w:r>
            <w:rPr>
              <w:rFonts w:hint="default" w:ascii="Times New Roman" w:hAnsi="Times New Roman" w:eastAsia="宋体" w:cs="Times New Roman"/>
              <w:color w:val="auto"/>
              <w:sz w:val="21"/>
              <w:szCs w:val="21"/>
              <w:lang w:val="en-US" w:eastAsia="zh-CN"/>
            </w:rPr>
            <w:t>后疫情时代，酒店业更是加快了酒店建设的节奏，酒店用品也随之呈现较大幅度的增长，未来酒店用品行业仍然存在一定的增长空间。</w:t>
          </w:r>
          <w:r>
            <w:rPr>
              <w:rFonts w:hint="default" w:ascii="Times New Roman" w:hAnsi="Times New Roman" w:eastAsia="宋体" w:cs="Times New Roman"/>
              <w:color w:val="auto"/>
              <w:sz w:val="21"/>
              <w:szCs w:val="21"/>
            </w:rPr>
            <w:t>子公司江苏实业公司拥有最大的旅游牙膏生产基地，获批了江苏省中草药日化产品工程研究中心，品牌在经济型酒店领域影响力较大。虽没有权威数据，且在其他上市公司所披露的信息</w:t>
          </w:r>
          <w:r>
            <w:rPr>
              <w:rFonts w:hint="default" w:ascii="Times New Roman" w:hAnsi="Times New Roman" w:eastAsia="宋体" w:cs="Times New Roman"/>
              <w:sz w:val="21"/>
              <w:szCs w:val="21"/>
            </w:rPr>
            <w:t>中，尚未找到经营同类产品的企</w:t>
          </w:r>
          <w:r>
            <w:rPr>
              <w:rFonts w:hint="eastAsia" w:ascii="宋体" w:hAnsi="宋体" w:eastAsia="宋体" w:cs="宋体"/>
              <w:sz w:val="21"/>
              <w:szCs w:val="21"/>
            </w:rPr>
            <w:t>业，但从多方分析，江苏实业公司市场占有率稳定，已牢牢占据酒店一次性用品细分行业的龙头地位。</w:t>
          </w:r>
        </w:p>
      </w:sdtContent>
    </w:sdt>
    <w:p/>
    <w:p>
      <w:pPr>
        <w:pStyle w:val="63"/>
        <w:numPr>
          <w:ilvl w:val="0"/>
          <w:numId w:val="13"/>
        </w:numPr>
        <w:spacing w:before="60" w:after="60"/>
        <w:ind w:firstLineChars="0"/>
        <w:outlineLvl w:val="4"/>
        <w:rPr>
          <w:b/>
        </w:rPr>
      </w:pPr>
      <w:r>
        <w:rPr>
          <w:rFonts w:hint="eastAsia"/>
          <w:b/>
        </w:rPr>
        <w:t>产品与生产</w:t>
      </w:r>
    </w:p>
    <w:p>
      <w:pPr>
        <w:pStyle w:val="63"/>
        <w:numPr>
          <w:ilvl w:val="0"/>
          <w:numId w:val="15"/>
        </w:numPr>
        <w:ind w:firstLineChars="0"/>
        <w:outlineLvl w:val="5"/>
        <w:rPr>
          <w:b/>
        </w:rPr>
      </w:pPr>
      <w:r>
        <w:rPr>
          <w:b/>
        </w:rPr>
        <w:t>主要经营模式</w:t>
      </w:r>
    </w:p>
    <w:sdt>
      <w:sdtPr>
        <w:rPr>
          <w:rFonts w:hint="eastAsia"/>
        </w:rPr>
        <w:alias w:val="是否适用：化工行业主要经营模式[双击切换]"/>
        <w:tag w:val="_GBC_2adbff8759b1413d92034f5fede71bc9"/>
        <w:id w:val="25691"/>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sdt>
      <w:sdtPr>
        <w:rPr>
          <w:rFonts w:hint="eastAsia"/>
        </w:rPr>
        <w:alias w:val="化工行业主要经营模式"/>
        <w:tag w:val="_GBC_e07461c5d8924ae78937f679ce359f79"/>
        <w:id w:val="25692"/>
        <w:placeholder>
          <w:docPart w:val="GBC22222222222222222222222222222"/>
        </w:placeholder>
      </w:sdtPr>
      <w:sdtEndPr>
        <w:rPr>
          <w:rFonts w:hint="eastAsia"/>
        </w:rPr>
      </w:sdtEndPr>
      <w:sdtContent>
        <w:p>
          <w:pPr>
            <w:pStyle w:val="63"/>
            <w:spacing w:line="400" w:lineRule="exact"/>
            <w:ind w:firstLine="422"/>
            <w:rPr>
              <w:rFonts w:ascii="Times New Roman" w:hAnsi="Times New Roman"/>
              <w:b/>
              <w:bCs/>
              <w:szCs w:val="21"/>
            </w:rPr>
          </w:pPr>
          <w:r>
            <w:rPr>
              <w:rFonts w:hint="eastAsia" w:ascii="Times New Roman" w:hAnsi="Times New Roman"/>
              <w:b/>
              <w:bCs/>
              <w:szCs w:val="21"/>
            </w:rPr>
            <w:t>1.</w:t>
          </w:r>
          <w:r>
            <w:rPr>
              <w:rFonts w:ascii="Times New Roman" w:hAnsi="Times New Roman"/>
              <w:b/>
              <w:bCs/>
              <w:szCs w:val="21"/>
            </w:rPr>
            <w:t>采购模式</w:t>
          </w:r>
        </w:p>
        <w:p>
          <w:pPr>
            <w:spacing w:line="400" w:lineRule="exact"/>
            <w:ind w:firstLine="420" w:firstLineChars="200"/>
            <w:rPr>
              <w:szCs w:val="21"/>
            </w:rPr>
          </w:pPr>
          <w:r>
            <w:rPr>
              <w:rFonts w:ascii="Times New Roman" w:hAnsi="Times New Roman" w:cs="Times New Roman"/>
              <w:szCs w:val="21"/>
            </w:rPr>
            <w:t>原料采购采取各业务板块自主采购的模式，各业务板块根据生产需要编制采购计划，采取招标、竞争性谈判</w:t>
          </w:r>
          <w:r>
            <w:rPr>
              <w:rFonts w:hint="eastAsia" w:ascii="Times New Roman" w:hAnsi="Times New Roman" w:cs="Times New Roman"/>
              <w:szCs w:val="21"/>
            </w:rPr>
            <w:t>、</w:t>
          </w:r>
          <w:r>
            <w:rPr>
              <w:rFonts w:ascii="Times New Roman" w:hAnsi="Times New Roman" w:cs="Times New Roman"/>
              <w:szCs w:val="21"/>
            </w:rPr>
            <w:t>比质比价等不同的采购方式。</w:t>
          </w:r>
        </w:p>
        <w:p>
          <w:pPr>
            <w:spacing w:line="400" w:lineRule="exact"/>
            <w:ind w:firstLine="422" w:firstLineChars="200"/>
            <w:rPr>
              <w:rFonts w:ascii="Times New Roman" w:hAnsi="Times New Roman" w:cs="Times New Roman"/>
              <w:b/>
              <w:bCs/>
              <w:szCs w:val="21"/>
            </w:rPr>
          </w:pPr>
          <w:r>
            <w:rPr>
              <w:rFonts w:ascii="Times New Roman" w:hAnsi="Times New Roman" w:cs="Times New Roman"/>
              <w:b/>
              <w:bCs/>
              <w:szCs w:val="21"/>
            </w:rPr>
            <w:t>2.生产模式</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公司以经营自主品牌为主，少量产品采用代加工的模式</w:t>
          </w:r>
          <w:r>
            <w:rPr>
              <w:rFonts w:hint="eastAsia" w:ascii="Times New Roman" w:hAnsi="Times New Roman" w:cs="Times New Roman"/>
              <w:szCs w:val="21"/>
            </w:rPr>
            <w:t>，</w:t>
          </w:r>
          <w:r>
            <w:rPr>
              <w:rFonts w:ascii="Times New Roman" w:hAnsi="Times New Roman" w:cs="Times New Roman"/>
              <w:szCs w:val="21"/>
            </w:rPr>
            <w:t>以市场为导向，采</w:t>
          </w:r>
          <w:r>
            <w:rPr>
              <w:rFonts w:cs="Times New Roman" w:asciiTheme="minorEastAsia" w:hAnsiTheme="minorEastAsia" w:eastAsiaTheme="minorEastAsia"/>
              <w:szCs w:val="21"/>
            </w:rPr>
            <w:t>取“以销定产”</w:t>
          </w:r>
          <w:r>
            <w:rPr>
              <w:rFonts w:ascii="Times New Roman" w:hAnsi="Times New Roman" w:cs="Times New Roman"/>
              <w:szCs w:val="21"/>
            </w:rPr>
            <w:t>的方式组织生产。</w:t>
          </w:r>
        </w:p>
        <w:p>
          <w:pPr>
            <w:spacing w:line="400" w:lineRule="exact"/>
            <w:ind w:firstLine="422" w:firstLineChars="200"/>
            <w:rPr>
              <w:rFonts w:ascii="Times New Roman" w:hAnsi="Times New Roman" w:cs="Times New Roman"/>
              <w:b/>
              <w:bCs/>
              <w:szCs w:val="21"/>
            </w:rPr>
          </w:pPr>
          <w:r>
            <w:rPr>
              <w:rFonts w:ascii="Times New Roman" w:hAnsi="Times New Roman" w:cs="Times New Roman"/>
              <w:b/>
              <w:bCs/>
              <w:szCs w:val="21"/>
            </w:rPr>
            <w:t>3.销售模式</w:t>
          </w:r>
        </w:p>
        <w:p>
          <w:pPr>
            <w:spacing w:line="400" w:lineRule="exact"/>
            <w:ind w:firstLine="420" w:firstLineChars="200"/>
            <w:rPr>
              <w:szCs w:val="21"/>
            </w:rPr>
          </w:pPr>
          <w:r>
            <w:rPr>
              <w:rFonts w:hint="eastAsia"/>
              <w:szCs w:val="21"/>
            </w:rPr>
            <w:t>公司产品的销售模式主要为线上和线下渠道相结合的方式。主要为线下的经销商渠道和</w:t>
          </w:r>
          <w:r>
            <w:rPr>
              <w:szCs w:val="21"/>
            </w:rPr>
            <w:t>直接供货（直供）渠道</w:t>
          </w:r>
          <w:r>
            <w:rPr>
              <w:rFonts w:hint="eastAsia"/>
              <w:szCs w:val="21"/>
            </w:rPr>
            <w:t>。</w:t>
          </w:r>
        </w:p>
        <w:p>
          <w:pPr>
            <w:spacing w:line="400" w:lineRule="exact"/>
            <w:ind w:firstLine="420" w:firstLineChars="200"/>
            <w:rPr>
              <w:rFonts w:ascii="Times New Roman" w:hAnsi="Times New Roman" w:cs="Times New Roman"/>
            </w:rPr>
          </w:pPr>
          <w:r>
            <w:rPr>
              <w:rFonts w:ascii="Times New Roman" w:cs="Times New Roman"/>
              <w:szCs w:val="21"/>
            </w:rPr>
            <w:t>（</w:t>
          </w:r>
          <w:r>
            <w:rPr>
              <w:rFonts w:ascii="Times New Roman" w:hAnsi="Times New Roman" w:cs="Times New Roman"/>
              <w:szCs w:val="21"/>
            </w:rPr>
            <w:t>1</w:t>
          </w:r>
          <w:r>
            <w:rPr>
              <w:rFonts w:ascii="Times New Roman" w:cs="Times New Roman"/>
              <w:szCs w:val="21"/>
            </w:rPr>
            <w:t>）线上渠道：主要</w:t>
          </w:r>
          <w:r>
            <w:rPr>
              <w:rFonts w:hint="eastAsia" w:ascii="Times New Roman" w:cs="Times New Roman"/>
            </w:rPr>
            <w:t>通过</w:t>
          </w:r>
          <w:r>
            <w:rPr>
              <w:rFonts w:ascii="Times New Roman" w:cs="Times New Roman"/>
            </w:rPr>
            <w:t>天猫、京东、抖音</w:t>
          </w:r>
          <w:r>
            <w:rPr>
              <w:rFonts w:hint="eastAsia" w:ascii="Times New Roman" w:cs="Times New Roman"/>
              <w:lang w:eastAsia="zh-CN"/>
            </w:rPr>
            <w:t>、</w:t>
          </w:r>
          <w:r>
            <w:rPr>
              <w:rFonts w:hint="eastAsia" w:ascii="Times New Roman" w:cs="Times New Roman"/>
              <w:lang w:val="en-US" w:eastAsia="zh-CN"/>
            </w:rPr>
            <w:t>拼多多</w:t>
          </w:r>
          <w:r>
            <w:rPr>
              <w:rFonts w:ascii="Times New Roman" w:cs="Times New Roman"/>
            </w:rPr>
            <w:t>等电商平台，以及直播等方式</w:t>
          </w:r>
          <w:r>
            <w:rPr>
              <w:rFonts w:hint="eastAsia" w:ascii="Times New Roman" w:cs="Times New Roman"/>
            </w:rPr>
            <w:t>销售</w:t>
          </w:r>
          <w:r>
            <w:rPr>
              <w:rFonts w:ascii="Times New Roman" w:cs="Times New Roman"/>
            </w:rPr>
            <w:t>。</w:t>
          </w:r>
        </w:p>
        <w:p>
          <w:pPr>
            <w:spacing w:line="400" w:lineRule="exact"/>
            <w:ind w:firstLine="420" w:firstLineChars="200"/>
            <w:rPr>
              <w:rFonts w:ascii="Times New Roman" w:cs="Times New Roman"/>
            </w:rPr>
          </w:pPr>
          <w:r>
            <w:rPr>
              <w:rFonts w:ascii="Times New Roman" w:cs="Times New Roman"/>
            </w:rPr>
            <w:t>（</w:t>
          </w:r>
          <w:r>
            <w:rPr>
              <w:rFonts w:ascii="Times New Roman" w:hAnsi="Times New Roman" w:cs="Times New Roman"/>
            </w:rPr>
            <w:t>2</w:t>
          </w:r>
          <w:r>
            <w:rPr>
              <w:rFonts w:ascii="Times New Roman" w:cs="Times New Roman"/>
            </w:rPr>
            <w:t>）线下渠道</w:t>
          </w:r>
          <w:r>
            <w:rPr>
              <w:rFonts w:ascii="Times New Roman" w:cs="Times New Roman"/>
              <w:szCs w:val="21"/>
            </w:rPr>
            <w:t>：主要包括</w:t>
          </w:r>
          <w:r>
            <w:rPr>
              <w:rFonts w:ascii="Times New Roman" w:cs="Times New Roman"/>
            </w:rPr>
            <w:t>①通过经销商，将产品覆盖中小超市、便利店、小型连锁超市、酒店、药店等终端网点销售；②直接供货（直供）大型商超，连锁酒店，如大润发、银座、南城百货、</w:t>
          </w:r>
          <w:r>
            <w:rPr>
              <w:rFonts w:hint="eastAsia" w:ascii="Times New Roman" w:cs="Times New Roman"/>
              <w:lang w:val="en-US" w:eastAsia="zh-CN"/>
            </w:rPr>
            <w:t>亚朵</w:t>
          </w:r>
          <w:r>
            <w:rPr>
              <w:rFonts w:ascii="Times New Roman" w:cs="Times New Roman"/>
            </w:rPr>
            <w:t>酒店等。</w:t>
          </w:r>
        </w:p>
        <w:p/>
      </w:sdtContent>
    </w:sdt>
    <w:p/>
    <w:p>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25693"/>
        <w:placeholder>
          <w:docPart w:val="GBC22222222222222222222222222222"/>
        </w:placeholder>
      </w:sdtPr>
      <w:sdtEndPr>
        <w:rPr>
          <w:rFonts w:hint="eastAsia"/>
        </w:rPr>
      </w:sdtEndPr>
      <w:sdtContent>
        <w:p>
          <w:pPr>
            <w:outlineLvl w:val="9"/>
          </w:pPr>
          <w:r>
            <w:fldChar w:fldCharType="begin"/>
          </w:r>
          <w:r>
            <w:rPr>
              <w:rFonts w:hint="eastAsia"/>
              <w:lang w:val="en-US" w:eastAsia="zh-CN"/>
            </w:rPr>
            <w:instrText xml:space="preserve"> MACROBUTTON  SnrToggleCheckbox □适用  </w:instrText>
          </w:r>
          <w:r>
            <w:fldChar w:fldCharType="end"/>
          </w:r>
          <w:r>
            <w:fldChar w:fldCharType="begin"/>
          </w:r>
          <w:r>
            <w:rPr>
              <w:rFonts w:hint="eastAsia"/>
              <w:lang w:val="en-US" w:eastAsia="zh-CN"/>
            </w:rPr>
            <w:instrText xml:space="preserve"> MACROBUTTON  SnrToggleCheckbox √不适用 </w:instrText>
          </w:r>
          <w:r>
            <w:fldChar w:fldCharType="end"/>
          </w:r>
        </w:p>
      </w:sdtContent>
    </w:sdt>
    <w:p/>
    <w:p>
      <w:pPr>
        <w:pStyle w:val="63"/>
        <w:numPr>
          <w:ilvl w:val="0"/>
          <w:numId w:val="15"/>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25694"/>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tbl>
      <w:tblPr>
        <w:tblStyle w:val="3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514"/>
        <w:gridCol w:w="2146"/>
        <w:gridCol w:w="1959"/>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sdt>
          <w:sdtPr>
            <w:rPr>
              <w:rFonts w:hint="default" w:ascii="Times New Roman" w:hAnsi="Times New Roman" w:cs="Times New Roman"/>
            </w:rPr>
            <w:tag w:val="_PLD_2691c62940b248cbbb1a93f80e5e0a31"/>
            <w:id w:val="25695"/>
          </w:sdtPr>
          <w:sdtEndPr>
            <w:rPr>
              <w:rFonts w:hint="default" w:ascii="Times New Roman" w:hAnsi="Times New Roman" w:cs="Times New Roman"/>
            </w:rPr>
          </w:sdtEndPr>
          <w:sdtContent>
            <w:tc>
              <w:tcPr>
                <w:tcW w:w="1496" w:type="dxa"/>
                <w:vAlign w:val="center"/>
              </w:tcPr>
              <w:p>
                <w:pPr>
                  <w:jc w:val="center"/>
                  <w:rPr>
                    <w:rFonts w:hint="default" w:ascii="Times New Roman" w:hAnsi="Times New Roman" w:cs="Times New Roman"/>
                  </w:rPr>
                </w:pPr>
                <w:r>
                  <w:rPr>
                    <w:rFonts w:hint="default" w:ascii="Times New Roman" w:hAnsi="Times New Roman" w:cs="Times New Roman"/>
                  </w:rPr>
                  <w:t>产品</w:t>
                </w:r>
              </w:p>
            </w:tc>
          </w:sdtContent>
        </w:sdt>
        <w:sdt>
          <w:sdtPr>
            <w:rPr>
              <w:rFonts w:hint="default" w:ascii="Times New Roman" w:hAnsi="Times New Roman" w:cs="Times New Roman"/>
            </w:rPr>
            <w:tag w:val="_PLD_7eb24d6e9a2d4fb288035b51cde451a8"/>
            <w:id w:val="25696"/>
          </w:sdtPr>
          <w:sdtEndPr>
            <w:rPr>
              <w:rFonts w:hint="default" w:ascii="Times New Roman" w:hAnsi="Times New Roman" w:cs="Times New Roman"/>
            </w:rPr>
          </w:sdtEndPr>
          <w:sdtContent>
            <w:tc>
              <w:tcPr>
                <w:tcW w:w="1514" w:type="dxa"/>
                <w:vAlign w:val="center"/>
              </w:tcPr>
              <w:p>
                <w:pPr>
                  <w:jc w:val="center"/>
                  <w:rPr>
                    <w:rFonts w:hint="default" w:ascii="Times New Roman" w:hAnsi="Times New Roman" w:cs="Times New Roman"/>
                  </w:rPr>
                </w:pPr>
                <w:r>
                  <w:rPr>
                    <w:rFonts w:hint="default" w:ascii="Times New Roman" w:hAnsi="Times New Roman" w:cs="Times New Roman"/>
                  </w:rPr>
                  <w:t>所属细分行业</w:t>
                </w:r>
              </w:p>
            </w:tc>
          </w:sdtContent>
        </w:sdt>
        <w:sdt>
          <w:sdtPr>
            <w:rPr>
              <w:rFonts w:hint="default" w:ascii="Times New Roman" w:hAnsi="Times New Roman" w:cs="Times New Roman"/>
            </w:rPr>
            <w:tag w:val="_PLD_eca8a5eafcc547fe96e358dd8b3fec2b"/>
            <w:id w:val="25697"/>
          </w:sdtPr>
          <w:sdtEndPr>
            <w:rPr>
              <w:rFonts w:hint="default" w:ascii="Times New Roman" w:hAnsi="Times New Roman" w:cs="Times New Roman"/>
            </w:rPr>
          </w:sdtEndPr>
          <w:sdtContent>
            <w:tc>
              <w:tcPr>
                <w:tcW w:w="2146" w:type="dxa"/>
                <w:vAlign w:val="center"/>
              </w:tcPr>
              <w:p>
                <w:pPr>
                  <w:jc w:val="center"/>
                  <w:rPr>
                    <w:rFonts w:hint="default" w:ascii="Times New Roman" w:hAnsi="Times New Roman" w:cs="Times New Roman"/>
                  </w:rPr>
                </w:pPr>
                <w:r>
                  <w:rPr>
                    <w:rFonts w:hint="default" w:ascii="Times New Roman" w:hAnsi="Times New Roman" w:cs="Times New Roman"/>
                  </w:rPr>
                  <w:t>主要上游原材料</w:t>
                </w:r>
              </w:p>
            </w:tc>
          </w:sdtContent>
        </w:sdt>
        <w:sdt>
          <w:sdtPr>
            <w:rPr>
              <w:rFonts w:hint="default" w:ascii="Times New Roman" w:hAnsi="Times New Roman" w:cs="Times New Roman"/>
            </w:rPr>
            <w:tag w:val="_PLD_82c56dab84a444f9919e9a9b6074fb7f"/>
            <w:id w:val="25698"/>
          </w:sdtPr>
          <w:sdtEndPr>
            <w:rPr>
              <w:rFonts w:hint="default" w:ascii="Times New Roman" w:hAnsi="Times New Roman" w:cs="Times New Roman"/>
            </w:rPr>
          </w:sdtEndPr>
          <w:sdtContent>
            <w:tc>
              <w:tcPr>
                <w:tcW w:w="1959" w:type="dxa"/>
                <w:vAlign w:val="center"/>
              </w:tcPr>
              <w:p>
                <w:pPr>
                  <w:jc w:val="center"/>
                  <w:rPr>
                    <w:rFonts w:hint="default" w:ascii="Times New Roman" w:hAnsi="Times New Roman" w:cs="Times New Roman"/>
                  </w:rPr>
                </w:pPr>
                <w:r>
                  <w:rPr>
                    <w:rFonts w:hint="default" w:ascii="Times New Roman" w:hAnsi="Times New Roman" w:cs="Times New Roman"/>
                  </w:rPr>
                  <w:t>主要下游应用领域</w:t>
                </w:r>
              </w:p>
            </w:tc>
          </w:sdtContent>
        </w:sdt>
        <w:sdt>
          <w:sdtPr>
            <w:rPr>
              <w:rFonts w:hint="default" w:ascii="Times New Roman" w:hAnsi="Times New Roman" w:cs="Times New Roman"/>
            </w:rPr>
            <w:tag w:val="_PLD_c56ffced6ccd4f078c49a502361ee439"/>
            <w:id w:val="25699"/>
          </w:sdtPr>
          <w:sdtEndPr>
            <w:rPr>
              <w:rFonts w:hint="default" w:ascii="Times New Roman" w:hAnsi="Times New Roman" w:cs="Times New Roman"/>
            </w:rPr>
          </w:sdtEndPr>
          <w:sdtContent>
            <w:tc>
              <w:tcPr>
                <w:tcW w:w="1934" w:type="dxa"/>
                <w:vAlign w:val="center"/>
              </w:tcPr>
              <w:p>
                <w:pPr>
                  <w:jc w:val="center"/>
                  <w:rPr>
                    <w:rFonts w:hint="default" w:ascii="Times New Roman" w:hAnsi="Times New Roman" w:cs="Times New Roman"/>
                  </w:rPr>
                </w:pPr>
                <w:r>
                  <w:rPr>
                    <w:rFonts w:hint="default" w:ascii="Times New Roman" w:hAnsi="Times New Roman" w:cs="Times New Roman"/>
                  </w:rPr>
                  <w:t>价格主要影响因素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6" w:type="dxa"/>
            <w:vAlign w:val="center"/>
          </w:tcPr>
          <w:p>
            <w:pPr>
              <w:jc w:val="center"/>
              <w:rPr>
                <w:rFonts w:hint="default" w:ascii="Times New Roman" w:hAnsi="Times New Roman" w:cs="Times New Roman"/>
              </w:rPr>
            </w:pPr>
            <w:r>
              <w:rPr>
                <w:rFonts w:hint="default" w:ascii="Times New Roman" w:hAnsi="Times New Roman" w:cs="Times New Roman"/>
              </w:rPr>
              <w:t>口腔护理用品</w:t>
            </w:r>
          </w:p>
        </w:tc>
        <w:tc>
          <w:tcPr>
            <w:tcW w:w="1514" w:type="dxa"/>
            <w:vAlign w:val="center"/>
          </w:tcPr>
          <w:p>
            <w:pPr>
              <w:jc w:val="center"/>
              <w:rPr>
                <w:rFonts w:hint="default" w:ascii="Times New Roman" w:hAnsi="Times New Roman" w:cs="Times New Roman"/>
              </w:rPr>
            </w:pPr>
            <w:r>
              <w:rPr>
                <w:rFonts w:hint="default" w:ascii="Times New Roman" w:hAnsi="Times New Roman" w:cs="Times New Roman"/>
              </w:rPr>
              <w:t>日用化工</w:t>
            </w:r>
          </w:p>
        </w:tc>
        <w:tc>
          <w:tcPr>
            <w:tcW w:w="2146" w:type="dxa"/>
            <w:vAlign w:val="center"/>
          </w:tcPr>
          <w:p>
            <w:pPr>
              <w:jc w:val="center"/>
              <w:rPr>
                <w:rFonts w:hint="default" w:ascii="Times New Roman" w:hAnsi="Times New Roman" w:cs="Times New Roman"/>
              </w:rPr>
            </w:pPr>
            <w:r>
              <w:rPr>
                <w:rFonts w:hint="default" w:ascii="Times New Roman" w:hAnsi="Times New Roman" w:cs="Times New Roman"/>
              </w:rPr>
              <w:t>摩擦剂、保湿剂等化工原料、中药</w:t>
            </w:r>
          </w:p>
        </w:tc>
        <w:tc>
          <w:tcPr>
            <w:tcW w:w="1959" w:type="dxa"/>
            <w:vAlign w:val="center"/>
          </w:tcPr>
          <w:p>
            <w:pPr>
              <w:jc w:val="center"/>
              <w:rPr>
                <w:rFonts w:hint="default" w:ascii="Times New Roman" w:hAnsi="Times New Roman" w:cs="Times New Roman"/>
              </w:rPr>
            </w:pPr>
            <w:r>
              <w:rPr>
                <w:rFonts w:hint="default" w:ascii="Times New Roman" w:hAnsi="Times New Roman" w:cs="Times New Roman"/>
              </w:rPr>
              <w:t>线上、线下商场超市、经销商</w:t>
            </w:r>
          </w:p>
        </w:tc>
        <w:tc>
          <w:tcPr>
            <w:tcW w:w="1934" w:type="dxa"/>
            <w:vAlign w:val="center"/>
          </w:tcPr>
          <w:p>
            <w:pPr>
              <w:jc w:val="center"/>
              <w:rPr>
                <w:rFonts w:hint="default" w:ascii="Times New Roman" w:hAnsi="Times New Roman" w:cs="Times New Roman"/>
              </w:rPr>
            </w:pPr>
            <w:r>
              <w:rPr>
                <w:rFonts w:hint="default" w:ascii="Times New Roman" w:hAnsi="Times New Roman" w:cs="Times New Roman"/>
              </w:rPr>
              <w:t>受摩擦剂、保湿剂等化工原料、中药的价格及商超相关政策的影响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6" w:type="dxa"/>
            <w:vAlign w:val="center"/>
          </w:tcPr>
          <w:p>
            <w:pPr>
              <w:jc w:val="center"/>
              <w:rPr>
                <w:rFonts w:hint="default" w:ascii="Times New Roman" w:hAnsi="Times New Roman" w:cs="Times New Roman"/>
              </w:rPr>
            </w:pPr>
            <w:r>
              <w:rPr>
                <w:rFonts w:hint="default" w:ascii="Times New Roman" w:hAnsi="Times New Roman" w:cs="Times New Roman"/>
              </w:rPr>
              <w:t>酒店用品</w:t>
            </w:r>
          </w:p>
        </w:tc>
        <w:tc>
          <w:tcPr>
            <w:tcW w:w="1514" w:type="dxa"/>
            <w:vAlign w:val="center"/>
          </w:tcPr>
          <w:p>
            <w:pPr>
              <w:jc w:val="center"/>
              <w:rPr>
                <w:rFonts w:hint="default" w:ascii="Times New Roman" w:hAnsi="Times New Roman" w:cs="Times New Roman"/>
              </w:rPr>
            </w:pPr>
            <w:r>
              <w:rPr>
                <w:rFonts w:hint="default" w:ascii="Times New Roman" w:hAnsi="Times New Roman" w:cs="Times New Roman"/>
              </w:rPr>
              <w:t>日用化工</w:t>
            </w:r>
          </w:p>
        </w:tc>
        <w:tc>
          <w:tcPr>
            <w:tcW w:w="2146" w:type="dxa"/>
            <w:vAlign w:val="center"/>
          </w:tcPr>
          <w:p>
            <w:pPr>
              <w:jc w:val="center"/>
              <w:rPr>
                <w:rFonts w:hint="default" w:ascii="Times New Roman" w:hAnsi="Times New Roman" w:cs="Times New Roman"/>
              </w:rPr>
            </w:pPr>
            <w:r>
              <w:rPr>
                <w:rFonts w:hint="default" w:ascii="Times New Roman" w:hAnsi="Times New Roman" w:cs="Times New Roman"/>
              </w:rPr>
              <w:t>聚丙烯、AES、山梨醇、皂粒、二氧化硅等</w:t>
            </w:r>
          </w:p>
        </w:tc>
        <w:tc>
          <w:tcPr>
            <w:tcW w:w="1959" w:type="dxa"/>
            <w:vAlign w:val="center"/>
          </w:tcPr>
          <w:p>
            <w:pPr>
              <w:jc w:val="center"/>
              <w:rPr>
                <w:rFonts w:hint="default" w:ascii="Times New Roman" w:hAnsi="Times New Roman" w:cs="Times New Roman"/>
              </w:rPr>
            </w:pPr>
            <w:r>
              <w:rPr>
                <w:rFonts w:hint="default" w:ascii="Times New Roman" w:hAnsi="Times New Roman" w:cs="Times New Roman"/>
              </w:rPr>
              <w:t>酒店、商超、OEM和国外</w:t>
            </w:r>
          </w:p>
        </w:tc>
        <w:tc>
          <w:tcPr>
            <w:tcW w:w="1934" w:type="dxa"/>
            <w:vAlign w:val="center"/>
          </w:tcPr>
          <w:p>
            <w:pPr>
              <w:jc w:val="center"/>
              <w:rPr>
                <w:rFonts w:hint="default" w:ascii="Times New Roman" w:hAnsi="Times New Roman" w:cs="Times New Roman"/>
              </w:rPr>
            </w:pPr>
            <w:r>
              <w:rPr>
                <w:rFonts w:hint="default" w:ascii="Times New Roman" w:hAnsi="Times New Roman" w:cs="Times New Roman"/>
              </w:rPr>
              <w:t>原料波动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6" w:type="dxa"/>
            <w:vAlign w:val="center"/>
          </w:tcPr>
          <w:p>
            <w:pPr>
              <w:jc w:val="center"/>
              <w:rPr>
                <w:rFonts w:hint="default" w:ascii="Times New Roman" w:hAnsi="Times New Roman" w:cs="Times New Roman"/>
              </w:rPr>
            </w:pPr>
            <w:r>
              <w:rPr>
                <w:rFonts w:hint="default" w:ascii="Times New Roman" w:hAnsi="Times New Roman" w:cs="Times New Roman"/>
              </w:rPr>
              <w:t>药品</w:t>
            </w:r>
          </w:p>
        </w:tc>
        <w:tc>
          <w:tcPr>
            <w:tcW w:w="1514" w:type="dxa"/>
            <w:vAlign w:val="center"/>
          </w:tcPr>
          <w:p>
            <w:pPr>
              <w:jc w:val="center"/>
              <w:rPr>
                <w:rFonts w:hint="default" w:ascii="Times New Roman" w:hAnsi="Times New Roman" w:cs="Times New Roman"/>
              </w:rPr>
            </w:pPr>
            <w:r>
              <w:rPr>
                <w:rFonts w:hint="default" w:ascii="Times New Roman" w:hAnsi="Times New Roman" w:cs="Times New Roman"/>
              </w:rPr>
              <w:t>医药</w:t>
            </w:r>
          </w:p>
        </w:tc>
        <w:tc>
          <w:tcPr>
            <w:tcW w:w="2146" w:type="dxa"/>
            <w:vAlign w:val="center"/>
          </w:tcPr>
          <w:p>
            <w:pPr>
              <w:jc w:val="center"/>
              <w:rPr>
                <w:rFonts w:hint="default" w:ascii="Times New Roman" w:hAnsi="Times New Roman" w:cs="Times New Roman"/>
              </w:rPr>
            </w:pPr>
            <w:r>
              <w:rPr>
                <w:rFonts w:hint="default" w:ascii="Times New Roman" w:hAnsi="Times New Roman" w:cs="Times New Roman"/>
              </w:rPr>
              <w:t>银杏叶提取物及化学药品制剂</w:t>
            </w:r>
          </w:p>
        </w:tc>
        <w:tc>
          <w:tcPr>
            <w:tcW w:w="1959" w:type="dxa"/>
            <w:vAlign w:val="center"/>
          </w:tcPr>
          <w:p>
            <w:pPr>
              <w:jc w:val="center"/>
              <w:rPr>
                <w:rFonts w:hint="default" w:ascii="Times New Roman" w:hAnsi="Times New Roman" w:cs="Times New Roman"/>
              </w:rPr>
            </w:pPr>
            <w:r>
              <w:rPr>
                <w:rFonts w:hint="default" w:ascii="Times New Roman" w:hAnsi="Times New Roman" w:cs="Times New Roman"/>
              </w:rPr>
              <w:t>经销商、药店、医院</w:t>
            </w:r>
          </w:p>
        </w:tc>
        <w:tc>
          <w:tcPr>
            <w:tcW w:w="1934" w:type="dxa"/>
            <w:vAlign w:val="center"/>
          </w:tcPr>
          <w:p>
            <w:pPr>
              <w:jc w:val="center"/>
              <w:rPr>
                <w:rFonts w:hint="default" w:ascii="Times New Roman" w:hAnsi="Times New Roman" w:cs="Times New Roman"/>
              </w:rPr>
            </w:pPr>
            <w:r>
              <w:rPr>
                <w:rFonts w:hint="default" w:ascii="Times New Roman" w:hAnsi="Times New Roman" w:cs="Times New Roman"/>
              </w:rPr>
              <w:t>受银杏叶提取物及化学药品制剂的价格影响大宗采购政策的影响</w:t>
            </w:r>
          </w:p>
        </w:tc>
      </w:tr>
    </w:tbl>
    <w:p/>
    <w:p/>
    <w:p/>
    <w:p/>
    <w:p/>
    <w:p/>
    <w:p/>
    <w:p/>
    <w:p/>
    <w:p>
      <w:pPr>
        <w:pStyle w:val="63"/>
        <w:numPr>
          <w:ilvl w:val="0"/>
          <w:numId w:val="15"/>
        </w:numPr>
        <w:ind w:firstLineChars="0"/>
        <w:outlineLvl w:val="5"/>
        <w:rPr>
          <w:b/>
        </w:rPr>
      </w:pPr>
      <w:r>
        <w:rPr>
          <w:b/>
        </w:rPr>
        <w:t>研发创新</w:t>
      </w:r>
    </w:p>
    <w:sdt>
      <w:sdtPr>
        <w:rPr>
          <w:rFonts w:hint="eastAsia"/>
        </w:rPr>
        <w:alias w:val="是否适用：化工行业研发创新[双击切换]"/>
        <w:tag w:val="_GBC_1891ab70d37f4acdb4159ba90e8f17da"/>
        <w:id w:val="25700"/>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sdt>
      <w:sdtPr>
        <w:rPr>
          <w:rFonts w:hint="eastAsia" w:ascii="Times New Roman" w:cs="Times New Roman"/>
          <w:szCs w:val="21"/>
        </w:rPr>
        <w:alias w:val="化工行业研发创新"/>
        <w:tag w:val="_GBC_f5a2263825164df38e678dd84136711c"/>
        <w:id w:val="25701"/>
        <w:placeholder>
          <w:docPart w:val="GBC22222222222222222222222222222"/>
        </w:placeholder>
      </w:sdtPr>
      <w:sdtEndPr>
        <w:rPr>
          <w:rFonts w:hint="eastAsia" w:ascii="Times New Roman" w:cs="Times New Roman"/>
          <w:szCs w:val="21"/>
        </w:rPr>
      </w:sdtEndPr>
      <w:sdtContent>
        <w:p>
          <w:pPr>
            <w:spacing w:line="400" w:lineRule="exact"/>
            <w:ind w:firstLine="420" w:firstLineChars="200"/>
            <w:rPr>
              <w:rFonts w:hint="default" w:ascii="Times New Roman" w:cs="Times New Roman"/>
              <w:szCs w:val="21"/>
              <w:lang w:val="en-US" w:eastAsia="zh-CN"/>
            </w:rPr>
          </w:pPr>
          <w:r>
            <w:rPr>
              <w:rFonts w:hint="eastAsia" w:ascii="Times New Roman" w:cs="Times New Roman"/>
              <w:szCs w:val="21"/>
            </w:rPr>
            <w:t>公司坚持以中药技术研发和应用为核心，以技术创新和市场为导向，以产品质量提升为源动力，坚持打造差异化竞争优势。</w:t>
          </w:r>
          <w:r>
            <w:rPr>
              <w:rFonts w:hint="eastAsia" w:ascii="Times New Roman" w:cs="Times New Roman"/>
              <w:szCs w:val="21"/>
              <w:lang w:val="en-US" w:eastAsia="zh-CN"/>
            </w:rPr>
            <w:t>报</w:t>
          </w:r>
          <w:r>
            <w:rPr>
              <w:rFonts w:hint="eastAsia" w:ascii="Times New Roman" w:cs="Times New Roman"/>
              <w:szCs w:val="21"/>
            </w:rPr>
            <w:t>告期内，公司围绕中药日化的核心理念，努力贴近市场，研究消费需求，进行新品开发与产品升级的工作。</w:t>
          </w:r>
          <w:r>
            <w:rPr>
              <w:rFonts w:hint="eastAsia" w:ascii="Times New Roman" w:cs="Times New Roman"/>
              <w:szCs w:val="21"/>
              <w:lang w:val="en-US" w:eastAsia="zh-CN"/>
            </w:rPr>
            <w:t>本年度，公司</w:t>
          </w:r>
          <w:r>
            <w:rPr>
              <w:rFonts w:hint="eastAsia" w:ascii="Times New Roman" w:cs="Times New Roman"/>
              <w:szCs w:val="21"/>
            </w:rPr>
            <w:t>口腔类</w:t>
          </w:r>
          <w:r>
            <w:rPr>
              <w:rFonts w:hint="eastAsia" w:ascii="Times New Roman" w:cs="Times New Roman"/>
              <w:szCs w:val="21"/>
              <w:lang w:val="en-US" w:eastAsia="zh-CN"/>
            </w:rPr>
            <w:t>推出花清晓、炫光白、甄love等24款两面针品牌国内产品，开发EMO品牌小黄鸭、伊资琳、标婷等13款口腔新品，开展出口俄罗斯牙膏等3个产品系列的配方升级工作</w:t>
          </w:r>
          <w:r>
            <w:rPr>
              <w:rFonts w:hint="eastAsia" w:ascii="Times New Roman" w:cs="Times New Roman"/>
              <w:szCs w:val="21"/>
            </w:rPr>
            <w:t>；洗化类完成</w:t>
          </w:r>
          <w:r>
            <w:rPr>
              <w:rFonts w:hint="eastAsia" w:ascii="Times New Roman" w:cs="Times New Roman"/>
              <w:szCs w:val="21"/>
              <w:lang w:val="en-US" w:eastAsia="zh-CN"/>
            </w:rPr>
            <w:t>沐兰泽黑桑葚长发丝柔洗发露、途悦儿童系列洗护产品、两面针功效型运动沐浴露系列产品</w:t>
          </w:r>
          <w:r>
            <w:rPr>
              <w:rFonts w:hint="eastAsia" w:ascii="Times New Roman" w:cs="Times New Roman"/>
              <w:szCs w:val="21"/>
            </w:rPr>
            <w:t>等新品</w:t>
          </w:r>
          <w:r>
            <w:rPr>
              <w:rFonts w:hint="eastAsia" w:ascii="Times New Roman" w:cs="Times New Roman"/>
              <w:szCs w:val="21"/>
              <w:lang w:val="en-US" w:eastAsia="zh-CN"/>
            </w:rPr>
            <w:t>19个。持续进行提取和技术新工艺、提取物功效成分含量跟踪检测、环境微生物研究等多项基础研究工作，为新品开发、产品升级、技术工艺和质量安全提供保障。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cs="Times New Roman"/>
              <w:szCs w:val="21"/>
              <w:lang w:val="en-US" w:eastAsia="zh-CN"/>
            </w:rPr>
          </w:pPr>
          <w:r>
            <w:rPr>
              <w:rFonts w:hint="eastAsia" w:ascii="Times New Roman" w:cs="Times New Roman"/>
              <w:szCs w:val="21"/>
              <w:lang w:val="en-US" w:eastAsia="zh-CN"/>
            </w:rPr>
            <w:t>本年度公司新增</w:t>
          </w:r>
          <w:r>
            <w:rPr>
              <w:rFonts w:hint="eastAsia" w:ascii="Times New Roman" w:cs="Times New Roman"/>
              <w:szCs w:val="21"/>
            </w:rPr>
            <w:t>发明授权专利</w:t>
          </w:r>
          <w:r>
            <w:rPr>
              <w:rFonts w:hint="eastAsia" w:ascii="Times New Roman" w:cs="Times New Roman"/>
              <w:szCs w:val="21"/>
              <w:lang w:val="en-US" w:eastAsia="zh-CN"/>
            </w:rPr>
            <w:t>5</w:t>
          </w:r>
          <w:r>
            <w:rPr>
              <w:rFonts w:hint="eastAsia" w:ascii="Times New Roman" w:cs="Times New Roman"/>
              <w:szCs w:val="21"/>
            </w:rPr>
            <w:t>项</w:t>
          </w:r>
          <w:r>
            <w:rPr>
              <w:rFonts w:hint="eastAsia" w:ascii="Times New Roman" w:cs="Times New Roman"/>
              <w:szCs w:val="21"/>
              <w:lang w:eastAsia="zh-CN"/>
            </w:rPr>
            <w:t>、</w:t>
          </w:r>
          <w:r>
            <w:rPr>
              <w:rFonts w:hint="eastAsia" w:ascii="Times New Roman" w:cs="Times New Roman"/>
              <w:szCs w:val="21"/>
              <w:lang w:val="en-US" w:eastAsia="zh-CN"/>
            </w:rPr>
            <w:t>外观设计专利3项；参与制定国家标准2项、行业标准7项、团体标准2项，主持制定团体标准2项。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cs="Times New Roman"/>
              <w:szCs w:val="21"/>
              <w:lang w:val="en-US" w:eastAsia="zh-CN"/>
            </w:rPr>
          </w:pPr>
          <w:r>
            <w:rPr>
              <w:rFonts w:hint="eastAsia" w:ascii="Times New Roman" w:cs="Times New Roman"/>
              <w:szCs w:val="21"/>
              <w:lang w:val="en-US" w:eastAsia="zh-CN"/>
            </w:rPr>
            <w:t>报告期内，公司被认定为“2023年广西制造业单项冠军示范企业”、“广西专精特新中小企业”“2023年柳州市科技创新能力十强企业”等，两面针青蒿品牌系列牙膏获评为2022年中国口腔护理用品行业“年度最佳创新品种”称号，体现了公司技术创新和发展成果得到了肯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p>
      </w:sdtContent>
    </w:sdt>
    <w:p>
      <w:pPr>
        <w:pStyle w:val="63"/>
        <w:numPr>
          <w:ilvl w:val="0"/>
          <w:numId w:val="15"/>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25702"/>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sdt>
      <w:sdtPr>
        <w:rPr>
          <w:rFonts w:hint="eastAsia"/>
        </w:rPr>
        <w:alias w:val="化工行业生产工艺与流程"/>
        <w:tag w:val="_GBC_4c01c84dfdf745a7a2283ec539411919"/>
        <w:id w:val="25703"/>
        <w:placeholder>
          <w:docPart w:val="{2ed876f4-4184-457c-bf13-dc25d68bbb9b}"/>
        </w:placeholder>
      </w:sdtPr>
      <w:sdtEndPr>
        <w:rPr>
          <w:rFonts w:hint="eastAsia"/>
        </w:rPr>
      </w:sdtEndPr>
      <w:sdtContent>
        <w:p>
          <w:pPr>
            <w:jc w:val="center"/>
            <w:rPr>
              <w:rFonts w:hint="eastAsia"/>
            </w:rPr>
          </w:pPr>
          <w:r>
            <w:drawing>
              <wp:inline distT="0" distB="0" distL="114300" distR="114300">
                <wp:extent cx="4816475" cy="45720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816475" cy="4572000"/>
                        </a:xfrm>
                        <a:prstGeom prst="rect">
                          <a:avLst/>
                        </a:prstGeom>
                        <a:noFill/>
                        <a:ln>
                          <a:noFill/>
                        </a:ln>
                      </pic:spPr>
                    </pic:pic>
                  </a:graphicData>
                </a:graphic>
              </wp:inline>
            </w:drawing>
          </w:r>
        </w:p>
      </w:sdtContent>
    </w:sdt>
    <w:p>
      <w:pPr>
        <w:jc w:val="center"/>
        <w:rPr>
          <w:rFonts w:hint="eastAsia"/>
        </w:rPr>
      </w:pPr>
    </w:p>
    <w:p>
      <w:pPr>
        <w:rPr>
          <w:highlight w:val="none"/>
        </w:rPr>
      </w:pPr>
    </w:p>
    <w:p>
      <w:pPr>
        <w:pStyle w:val="63"/>
        <w:numPr>
          <w:ilvl w:val="0"/>
          <w:numId w:val="15"/>
        </w:numPr>
        <w:ind w:firstLineChars="0"/>
        <w:outlineLvl w:val="5"/>
        <w:rPr>
          <w:b/>
          <w:highlight w:val="none"/>
        </w:rPr>
      </w:pPr>
      <w:r>
        <w:rPr>
          <w:rFonts w:hint="eastAsia"/>
          <w:b/>
          <w:highlight w:val="none"/>
        </w:rPr>
        <w:t xml:space="preserve"> 产能与开工情况</w:t>
      </w:r>
    </w:p>
    <w:sdt>
      <w:sdtPr>
        <w:rPr>
          <w:rFonts w:hint="eastAsia"/>
        </w:rPr>
        <w:alias w:val="是否适用：化工行业产能与开工情况[双击切换]"/>
        <w:tag w:val="_GBC_7fcddd3465e74e51a60c044b6840cf90"/>
        <w:id w:val="25704"/>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p>
      <w:pPr>
        <w:jc w:val="right"/>
      </w:pPr>
      <w:r>
        <w:rPr>
          <w:rFonts w:hint="eastAsia"/>
        </w:rPr>
        <w:t>单位：</w:t>
      </w:r>
      <w:sdt>
        <w:sdtPr>
          <w:rPr>
            <w:rFonts w:hint="eastAsia"/>
          </w:rPr>
          <w:alias w:val="单位：化工行业产能与开工情况"/>
          <w:tag w:val="_GBC_e0d8a820826949a8a23b28f40e8e17d4"/>
          <w:id w:val="257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产能与开工情况"/>
          <w:tag w:val="_GBC_19d01b6d35ae4fe88697cdba9b6a0683"/>
          <w:id w:val="25706"/>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1595"/>
        <w:gridCol w:w="1228"/>
        <w:gridCol w:w="1423"/>
        <w:gridCol w:w="1262"/>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bde564c7ed24cdda815e98c33f4b962"/>
            <w:id w:val="25707"/>
          </w:sdtPr>
          <w:sdtEndPr>
            <w:rPr>
              <w:rFonts w:hint="default" w:ascii="Times New Roman" w:hAnsi="Times New Roman" w:cs="Times New Roman"/>
            </w:rPr>
          </w:sdtEndPr>
          <w:sdtContent>
            <w:tc>
              <w:tcPr>
                <w:tcW w:w="1128" w:type="pct"/>
                <w:vAlign w:val="center"/>
              </w:tcPr>
              <w:p>
                <w:pPr>
                  <w:jc w:val="center"/>
                  <w:rPr>
                    <w:rFonts w:hint="default" w:ascii="Times New Roman" w:hAnsi="Times New Roman" w:cs="Times New Roman"/>
                  </w:rPr>
                </w:pPr>
                <w:r>
                  <w:rPr>
                    <w:rFonts w:hint="default" w:ascii="Times New Roman" w:hAnsi="Times New Roman" w:cs="Times New Roman"/>
                  </w:rPr>
                  <w:t>主要厂区或项目</w:t>
                </w:r>
              </w:p>
            </w:tc>
          </w:sdtContent>
        </w:sdt>
        <w:sdt>
          <w:sdtPr>
            <w:rPr>
              <w:rFonts w:hint="default" w:ascii="Times New Roman" w:hAnsi="Times New Roman" w:cs="Times New Roman"/>
            </w:rPr>
            <w:tag w:val="_PLD_d6f825bb96404b8688d9002b440ab613"/>
            <w:id w:val="25708"/>
          </w:sdtPr>
          <w:sdtEndPr>
            <w:rPr>
              <w:rFonts w:hint="default" w:ascii="Times New Roman" w:hAnsi="Times New Roman" w:cs="Times New Roman"/>
            </w:rPr>
          </w:sdtEndPr>
          <w:sdtContent>
            <w:tc>
              <w:tcPr>
                <w:tcW w:w="881" w:type="pct"/>
                <w:vAlign w:val="center"/>
              </w:tcPr>
              <w:p>
                <w:pPr>
                  <w:jc w:val="center"/>
                  <w:rPr>
                    <w:rFonts w:hint="default" w:ascii="Times New Roman" w:hAnsi="Times New Roman" w:cs="Times New Roman"/>
                  </w:rPr>
                </w:pPr>
                <w:r>
                  <w:rPr>
                    <w:rFonts w:hint="default" w:ascii="Times New Roman" w:hAnsi="Times New Roman" w:cs="Times New Roman"/>
                  </w:rPr>
                  <w:t>设计产能</w:t>
                </w:r>
              </w:p>
            </w:tc>
          </w:sdtContent>
        </w:sdt>
        <w:sdt>
          <w:sdtPr>
            <w:rPr>
              <w:rFonts w:hint="default" w:ascii="Times New Roman" w:hAnsi="Times New Roman" w:cs="Times New Roman"/>
            </w:rPr>
            <w:tag w:val="_PLD_5eec35a8383d467fae7084d5ce960990"/>
            <w:id w:val="25709"/>
          </w:sdtPr>
          <w:sdtEndPr>
            <w:rPr>
              <w:rFonts w:hint="default" w:ascii="Times New Roman" w:hAnsi="Times New Roman" w:cs="Times New Roman"/>
            </w:rPr>
          </w:sdtEndPr>
          <w:sdtContent>
            <w:tc>
              <w:tcPr>
                <w:tcW w:w="678" w:type="pct"/>
                <w:vAlign w:val="center"/>
              </w:tcPr>
              <w:p>
                <w:pPr>
                  <w:jc w:val="center"/>
                  <w:rPr>
                    <w:rFonts w:hint="default" w:ascii="Times New Roman" w:hAnsi="Times New Roman" w:cs="Times New Roman"/>
                  </w:rPr>
                </w:pPr>
                <w:r>
                  <w:rPr>
                    <w:rFonts w:hint="default" w:ascii="Times New Roman" w:hAnsi="Times New Roman" w:cs="Times New Roman"/>
                  </w:rPr>
                  <w:t>产能利用率（%）</w:t>
                </w:r>
              </w:p>
            </w:tc>
          </w:sdtContent>
        </w:sdt>
        <w:sdt>
          <w:sdtPr>
            <w:rPr>
              <w:rFonts w:hint="default" w:ascii="Times New Roman" w:hAnsi="Times New Roman" w:cs="Times New Roman"/>
            </w:rPr>
            <w:tag w:val="_PLD_460d126f29a84066872aff7474852db4"/>
            <w:id w:val="25710"/>
          </w:sdtPr>
          <w:sdtEndPr>
            <w:rPr>
              <w:rFonts w:hint="default" w:ascii="Times New Roman" w:hAnsi="Times New Roman" w:cs="Times New Roman"/>
            </w:rPr>
          </w:sdtEndPr>
          <w:sdtContent>
            <w:tc>
              <w:tcPr>
                <w:tcW w:w="786" w:type="pct"/>
                <w:vAlign w:val="center"/>
              </w:tcPr>
              <w:p>
                <w:pPr>
                  <w:jc w:val="center"/>
                  <w:rPr>
                    <w:rFonts w:hint="default" w:ascii="Times New Roman" w:hAnsi="Times New Roman" w:cs="Times New Roman"/>
                  </w:rPr>
                </w:pPr>
                <w:r>
                  <w:rPr>
                    <w:rFonts w:hint="default" w:ascii="Times New Roman" w:hAnsi="Times New Roman" w:cs="Times New Roman"/>
                  </w:rPr>
                  <w:t>在建产能</w:t>
                </w:r>
              </w:p>
            </w:tc>
          </w:sdtContent>
        </w:sdt>
        <w:tc>
          <w:tcPr>
            <w:tcW w:w="697" w:type="pct"/>
            <w:vAlign w:val="center"/>
          </w:tcPr>
          <w:sdt>
            <w:sdtPr>
              <w:rPr>
                <w:rFonts w:hint="default" w:ascii="Times New Roman" w:hAnsi="Times New Roman" w:cs="Times New Roman"/>
              </w:rPr>
              <w:tag w:val="_PLD_b2dd8a456973425d93ed77f0d5a7ede2"/>
              <w:id w:val="25711"/>
            </w:sdtPr>
            <w:sdtEndPr>
              <w:rPr>
                <w:rFonts w:hint="default" w:ascii="Times New Roman" w:hAnsi="Times New Roman" w:cs="Times New Roman"/>
              </w:rPr>
            </w:sdtEndPr>
            <w:sdtContent>
              <w:p>
                <w:pPr>
                  <w:jc w:val="center"/>
                  <w:rPr>
                    <w:rFonts w:hint="default" w:ascii="Times New Roman" w:hAnsi="Times New Roman" w:cs="Times New Roman"/>
                  </w:rPr>
                </w:pPr>
                <w:r>
                  <w:rPr>
                    <w:rFonts w:hint="default" w:ascii="Times New Roman" w:hAnsi="Times New Roman" w:cs="Times New Roman"/>
                  </w:rPr>
                  <w:t>在建产能已投资额</w:t>
                </w:r>
              </w:p>
            </w:sdtContent>
          </w:sdt>
        </w:tc>
        <w:sdt>
          <w:sdtPr>
            <w:rPr>
              <w:rFonts w:hint="default" w:ascii="Times New Roman" w:hAnsi="Times New Roman" w:cs="Times New Roman"/>
            </w:rPr>
            <w:tag w:val="_PLD_55ffa9d0bf6b40d3b04465b4ab39ae00"/>
            <w:id w:val="25712"/>
          </w:sdtPr>
          <w:sdtEndPr>
            <w:rPr>
              <w:rFonts w:hint="default" w:ascii="Times New Roman" w:hAnsi="Times New Roman" w:cs="Times New Roman"/>
            </w:rPr>
          </w:sdtEndPr>
          <w:sdtContent>
            <w:tc>
              <w:tcPr>
                <w:tcW w:w="827" w:type="pct"/>
                <w:vAlign w:val="center"/>
              </w:tcPr>
              <w:p>
                <w:pPr>
                  <w:jc w:val="center"/>
                  <w:rPr>
                    <w:rFonts w:hint="default" w:ascii="Times New Roman" w:hAnsi="Times New Roman" w:cs="Times New Roman"/>
                  </w:rPr>
                </w:pPr>
                <w:r>
                  <w:rPr>
                    <w:rFonts w:hint="default" w:ascii="Times New Roman" w:hAnsi="Times New Roman" w:cs="Times New Roman"/>
                  </w:rPr>
                  <w:t>在建产能预计完工时间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柳州厂区家用牙膏</w:t>
            </w:r>
          </w:p>
        </w:tc>
        <w:tc>
          <w:tcPr>
            <w:tcW w:w="881" w:type="pct"/>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1.386亿支/年</w:t>
            </w:r>
          </w:p>
        </w:tc>
        <w:tc>
          <w:tcPr>
            <w:tcW w:w="678" w:type="pct"/>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33.02</w:t>
            </w:r>
          </w:p>
        </w:tc>
        <w:tc>
          <w:tcPr>
            <w:tcW w:w="786" w:type="pct"/>
            <w:tcBorders>
              <w:bottom w:val="single" w:color="auto" w:sz="4" w:space="0"/>
            </w:tcBorders>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cs="Times New Roman"/>
                <w:lang w:val="en-US" w:eastAsia="zh-CN"/>
              </w:rPr>
              <w:t>/</w:t>
            </w:r>
          </w:p>
        </w:tc>
        <w:tc>
          <w:tcPr>
            <w:tcW w:w="697" w:type="pct"/>
            <w:tcBorders>
              <w:bottom w:val="single" w:color="auto" w:sz="4" w:space="0"/>
            </w:tcBorders>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w:t>
            </w:r>
          </w:p>
        </w:tc>
        <w:tc>
          <w:tcPr>
            <w:tcW w:w="827" w:type="pct"/>
            <w:tcBorders>
              <w:bottom w:val="single" w:color="auto" w:sz="4" w:space="0"/>
            </w:tcBorders>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pct"/>
            <w:vAlign w:val="center"/>
          </w:tcPr>
          <w:p>
            <w:pPr>
              <w:jc w:val="center"/>
              <w:rPr>
                <w:rFonts w:hint="default" w:ascii="Times New Roman" w:hAnsi="Times New Roman" w:cs="Times New Roman"/>
              </w:rPr>
            </w:pPr>
            <w:r>
              <w:rPr>
                <w:rFonts w:hint="default" w:ascii="Times New Roman" w:hAnsi="Times New Roman" w:cs="Times New Roman"/>
              </w:rPr>
              <w:t>酒店用品-牙膏车间</w:t>
            </w:r>
          </w:p>
        </w:tc>
        <w:tc>
          <w:tcPr>
            <w:tcW w:w="881"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rPr>
              <w:t>19</w:t>
            </w:r>
            <w:r>
              <w:rPr>
                <w:rFonts w:hint="default" w:ascii="Times New Roman" w:hAnsi="Times New Roman" w:cs="Times New Roman"/>
                <w:lang w:val="en-US" w:eastAsia="zh-CN"/>
              </w:rPr>
              <w:t>亿支/年</w:t>
            </w:r>
          </w:p>
        </w:tc>
        <w:tc>
          <w:tcPr>
            <w:tcW w:w="678"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rPr>
              <w:t>96</w:t>
            </w:r>
            <w:r>
              <w:rPr>
                <w:rFonts w:hint="default" w:ascii="Times New Roman" w:hAnsi="Times New Roman" w:cs="Times New Roman"/>
                <w:lang w:val="en-US" w:eastAsia="zh-CN"/>
              </w:rPr>
              <w:t>.00</w:t>
            </w:r>
          </w:p>
        </w:tc>
        <w:tc>
          <w:tcPr>
            <w:tcW w:w="786"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697"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827"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8" w:type="pct"/>
            <w:vAlign w:val="center"/>
          </w:tcPr>
          <w:p>
            <w:pPr>
              <w:jc w:val="center"/>
              <w:rPr>
                <w:rFonts w:hint="default" w:ascii="Times New Roman" w:hAnsi="Times New Roman" w:cs="Times New Roman"/>
              </w:rPr>
            </w:pPr>
            <w:r>
              <w:rPr>
                <w:rFonts w:hint="default" w:ascii="Times New Roman" w:hAnsi="Times New Roman" w:cs="Times New Roman"/>
              </w:rPr>
              <w:t>酒店用品-洗化车间（袋装）</w:t>
            </w:r>
          </w:p>
        </w:tc>
        <w:tc>
          <w:tcPr>
            <w:tcW w:w="881" w:type="pc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rPr>
              <w:t>2.35</w:t>
            </w:r>
            <w:r>
              <w:rPr>
                <w:rFonts w:hint="default" w:ascii="Times New Roman" w:hAnsi="Times New Roman" w:cs="Times New Roman"/>
                <w:lang w:val="en-US" w:eastAsia="zh-CN"/>
              </w:rPr>
              <w:t>亿袋/年</w:t>
            </w:r>
          </w:p>
        </w:tc>
        <w:tc>
          <w:tcPr>
            <w:tcW w:w="678" w:type="pct"/>
            <w:vAlign w:val="center"/>
          </w:tcPr>
          <w:p>
            <w:pPr>
              <w:jc w:val="center"/>
              <w:rPr>
                <w:rFonts w:hint="default" w:ascii="Times New Roman" w:hAnsi="Times New Roman" w:cs="Times New Roman"/>
              </w:rPr>
            </w:pPr>
            <w:r>
              <w:rPr>
                <w:rFonts w:hint="default" w:ascii="Times New Roman" w:hAnsi="Times New Roman" w:cs="Times New Roman"/>
              </w:rPr>
              <w:t>65.17</w:t>
            </w:r>
          </w:p>
        </w:tc>
        <w:tc>
          <w:tcPr>
            <w:tcW w:w="786"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697"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c>
          <w:tcPr>
            <w:tcW w:w="827" w:type="pct"/>
            <w:vAlign w:val="center"/>
          </w:tcPr>
          <w:p>
            <w:pPr>
              <w:jc w:val="center"/>
              <w:rPr>
                <w:rFonts w:hint="default" w:ascii="Times New Roman" w:hAnsi="Times New Roman" w:cs="Times New Roma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pct"/>
            <w:vAlign w:val="center"/>
          </w:tcPr>
          <w:p>
            <w:pPr>
              <w:jc w:val="center"/>
              <w:rPr>
                <w:rFonts w:hint="default" w:ascii="Times New Roman" w:hAnsi="Times New Roman" w:cs="Times New Roman"/>
              </w:rPr>
            </w:pPr>
            <w:r>
              <w:rPr>
                <w:rFonts w:hint="default" w:ascii="Times New Roman" w:hAnsi="Times New Roman" w:cs="Times New Roman"/>
              </w:rPr>
              <w:t>医药-胶囊剂生产线</w:t>
            </w:r>
          </w:p>
        </w:tc>
        <w:tc>
          <w:tcPr>
            <w:tcW w:w="881" w:type="pct"/>
            <w:vAlign w:val="center"/>
          </w:tcPr>
          <w:p>
            <w:pPr>
              <w:jc w:val="center"/>
              <w:rPr>
                <w:rFonts w:hint="default" w:ascii="Times New Roman" w:hAnsi="Times New Roman" w:cs="Times New Roman"/>
              </w:rPr>
            </w:pPr>
            <w:r>
              <w:rPr>
                <w:rFonts w:hint="default" w:ascii="Times New Roman" w:hAnsi="Times New Roman" w:cs="Times New Roman"/>
              </w:rPr>
              <w:t>60,000万粒/年</w:t>
            </w:r>
          </w:p>
        </w:tc>
        <w:tc>
          <w:tcPr>
            <w:tcW w:w="678" w:type="pct"/>
            <w:vAlign w:val="center"/>
          </w:tcPr>
          <w:p>
            <w:pPr>
              <w:jc w:val="center"/>
              <w:rPr>
                <w:rFonts w:hint="default" w:ascii="Times New Roman" w:hAnsi="Times New Roman" w:cs="Times New Roman"/>
              </w:rPr>
            </w:pPr>
            <w:r>
              <w:rPr>
                <w:rFonts w:hint="default" w:ascii="Times New Roman" w:hAnsi="Times New Roman" w:cs="Times New Roman"/>
              </w:rPr>
              <w:t>55.66</w:t>
            </w:r>
          </w:p>
        </w:tc>
        <w:tc>
          <w:tcPr>
            <w:tcW w:w="786" w:type="pct"/>
            <w:tcBorders>
              <w:bottom w:val="single" w:color="auto" w:sz="4" w:space="0"/>
            </w:tcBorders>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697" w:type="pct"/>
            <w:tcBorders>
              <w:bottom w:val="single" w:color="auto" w:sz="4" w:space="0"/>
            </w:tcBorders>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827" w:type="pct"/>
            <w:tcBorders>
              <w:bottom w:val="single" w:color="auto" w:sz="4" w:space="0"/>
            </w:tcBorders>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bl>
    <w:p/>
    <w:p/>
    <w:p>
      <w:pPr>
        <w:rPr>
          <w:b/>
        </w:rPr>
      </w:pPr>
      <w:r>
        <w:rPr>
          <w:rFonts w:hint="eastAsia"/>
          <w:b/>
        </w:rPr>
        <w:t>生产能力的增减情况</w:t>
      </w:r>
    </w:p>
    <w:sdt>
      <w:sdtPr>
        <w:rPr>
          <w:rFonts w:hint="eastAsia"/>
        </w:rPr>
        <w:alias w:val="是否适用：化工行业生产能力的增减情况[双击切换]"/>
        <w:tag w:val="_GBC_ce3d5f34e62c4c0baaffbe7945201f7d"/>
        <w:id w:val="25713"/>
        <w:placeholder>
          <w:docPart w:val="GBC22222222222222222222222222222"/>
        </w:placeholder>
      </w:sdtPr>
      <w:sdtEndPr>
        <w:rPr>
          <w:rFonts w:hint="eastAsia"/>
        </w:rPr>
      </w:sdtEndPr>
      <w:sdtContent>
        <w:p>
          <w:pPr>
            <w:outlineLvl w:val="9"/>
          </w:pPr>
          <w:r>
            <w:fldChar w:fldCharType="begin"/>
          </w:r>
          <w:r>
            <w:rPr>
              <w:rFonts w:hint="eastAsia"/>
              <w:lang w:val="en-US" w:eastAsia="zh-CN"/>
            </w:rPr>
            <w:instrText xml:space="preserve"> MACROBUTTON  SnrToggleCheckbox □适用  </w:instrText>
          </w:r>
          <w:r>
            <w:fldChar w:fldCharType="end"/>
          </w:r>
          <w:r>
            <w:fldChar w:fldCharType="begin"/>
          </w:r>
          <w:r>
            <w:rPr>
              <w:rFonts w:hint="eastAsia"/>
              <w:lang w:val="en-US" w:eastAsia="zh-CN"/>
            </w:rPr>
            <w:instrText xml:space="preserve"> MACROBUTTON  SnrToggleCheckbox √不适用 </w:instrText>
          </w:r>
          <w:r>
            <w:fldChar w:fldCharType="end"/>
          </w:r>
        </w:p>
      </w:sdtContent>
    </w:sdt>
    <w:p/>
    <w:p>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25714"/>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sdt>
      <w:sdtPr>
        <w:rPr>
          <w:rFonts w:hint="eastAsia"/>
        </w:rPr>
        <w:alias w:val="化工行业产品线及产能结构优化的调整情况"/>
        <w:tag w:val="_GBC_e3a38619eef24917acfacb410bbbca99"/>
        <w:id w:val="25715"/>
        <w:placeholder>
          <w:docPart w:val="GBC22222222222222222222222222222"/>
        </w:placeholder>
      </w:sdtPr>
      <w:sdtEndPr>
        <w:rPr>
          <w:rFonts w:hint="eastAsia"/>
        </w:rPr>
      </w:sdtEndPr>
      <w:sdtContent>
        <w:p>
          <w:pPr>
            <w:keepNext w:val="0"/>
            <w:keepLines w:val="0"/>
            <w:pageBreakBefore w:val="0"/>
            <w:widowControl/>
            <w:kinsoku/>
            <w:wordWrap/>
            <w:overflowPunct/>
            <w:topLinePunct w:val="0"/>
            <w:autoSpaceDE/>
            <w:autoSpaceDN/>
            <w:bidi w:val="0"/>
            <w:adjustRightInd/>
            <w:snapToGrid/>
            <w:spacing w:line="400" w:lineRule="exact"/>
            <w:ind w:left="0" w:firstLine="420" w:firstLineChars="200"/>
            <w:textAlignment w:val="auto"/>
          </w:pPr>
          <w:r>
            <w:rPr>
              <w:rFonts w:hint="eastAsia"/>
              <w:lang w:val="en-US" w:eastAsia="zh-CN"/>
            </w:rPr>
            <w:t>报告期内，公司的牙膏、洗涤生产车间进行了优化改造，技术上能够更好满足市场化定制化生产的需要，且提升了产品质量和生产效率，降低了生产运行成本。</w:t>
          </w:r>
        </w:p>
      </w:sdtContent>
    </w:sdt>
    <w:p/>
    <w:p>
      <w:pPr>
        <w:rPr>
          <w:rFonts w:hint="default"/>
          <w:b/>
          <w:lang w:val="en-US"/>
        </w:rPr>
      </w:pPr>
      <w:r>
        <w:rPr>
          <w:rFonts w:hint="eastAsia"/>
          <w:b/>
        </w:rPr>
        <w:t>非正常停产情况</w:t>
      </w:r>
    </w:p>
    <w:sdt>
      <w:sdtPr>
        <w:rPr>
          <w:rFonts w:hint="eastAsia"/>
        </w:rPr>
        <w:alias w:val="是否适用：化工行业非正常停产情况[双击切换]"/>
        <w:tag w:val="_GBC_d2f5ce48ddda4523a292e8d473bd29bb"/>
        <w:id w:val="25716"/>
        <w:placeholder>
          <w:docPart w:val="GBC22222222222222222222222222222"/>
        </w:placeholder>
      </w:sdtPr>
      <w:sdtEndPr>
        <w:rPr>
          <w:rFonts w:hint="eastAsia"/>
        </w:rPr>
      </w:sdtEndPr>
      <w:sdtContent>
        <w:p>
          <w:pPr>
            <w:outlineLvl w:val="9"/>
          </w:pPr>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p/>
    <w:p>
      <w:pPr>
        <w:pStyle w:val="63"/>
        <w:numPr>
          <w:ilvl w:val="0"/>
          <w:numId w:val="13"/>
        </w:numPr>
        <w:spacing w:before="60" w:after="60"/>
        <w:ind w:firstLineChars="0"/>
        <w:outlineLvl w:val="4"/>
        <w:rPr>
          <w:b/>
        </w:rPr>
      </w:pPr>
      <w:r>
        <w:rPr>
          <w:rFonts w:hint="eastAsia"/>
          <w:b/>
        </w:rPr>
        <w:t>原材料采购</w:t>
      </w:r>
    </w:p>
    <w:p>
      <w:pPr>
        <w:pStyle w:val="63"/>
        <w:numPr>
          <w:ilvl w:val="0"/>
          <w:numId w:val="16"/>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25717"/>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083"/>
        <w:gridCol w:w="1896"/>
        <w:gridCol w:w="1460"/>
        <w:gridCol w:w="1864"/>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17b8a770ee1e44f8a07e602b4c0fd3c2"/>
            <w:id w:val="2810"/>
          </w:sdtPr>
          <w:sdtEndPr>
            <w:rPr>
              <w:rFonts w:ascii="Times New Roman" w:hAnsi="Times New Roman" w:eastAsia="宋体"/>
            </w:rPr>
          </w:sdtEndPr>
          <w:sdtContent>
            <w:tc>
              <w:tcPr>
                <w:tcW w:w="703" w:type="pct"/>
                <w:vAlign w:val="center"/>
              </w:tcPr>
              <w:p>
                <w:pPr>
                  <w:jc w:val="center"/>
                  <w:rPr>
                    <w:rFonts w:ascii="Times New Roman" w:hAnsi="Times New Roman" w:eastAsia="宋体"/>
                  </w:rPr>
                </w:pPr>
                <w:r>
                  <w:rPr>
                    <w:rFonts w:hint="eastAsia" w:ascii="Times New Roman" w:hAnsi="Times New Roman" w:eastAsia="宋体"/>
                  </w:rPr>
                  <w:t>主要原材料</w:t>
                </w:r>
              </w:p>
            </w:tc>
          </w:sdtContent>
        </w:sdt>
        <w:sdt>
          <w:sdtPr>
            <w:rPr>
              <w:rFonts w:ascii="Times New Roman" w:hAnsi="Times New Roman" w:eastAsia="宋体"/>
            </w:rPr>
            <w:tag w:val="_PLD_a25a2d9512d7476aa19ff9940ea1c6af"/>
            <w:id w:val="2811"/>
          </w:sdtPr>
          <w:sdtEndPr>
            <w:rPr>
              <w:rFonts w:ascii="Times New Roman" w:hAnsi="Times New Roman" w:eastAsia="宋体"/>
            </w:rPr>
          </w:sdtEndPr>
          <w:sdtContent>
            <w:tc>
              <w:tcPr>
                <w:tcW w:w="598" w:type="pct"/>
                <w:vAlign w:val="center"/>
              </w:tcPr>
              <w:p>
                <w:pPr>
                  <w:jc w:val="center"/>
                  <w:rPr>
                    <w:rFonts w:ascii="Times New Roman" w:hAnsi="Times New Roman" w:eastAsia="宋体"/>
                  </w:rPr>
                </w:pPr>
                <w:r>
                  <w:rPr>
                    <w:rFonts w:hint="eastAsia" w:ascii="Times New Roman" w:hAnsi="Times New Roman" w:eastAsia="宋体"/>
                  </w:rPr>
                  <w:t>采购模式</w:t>
                </w:r>
              </w:p>
            </w:tc>
          </w:sdtContent>
        </w:sdt>
        <w:tc>
          <w:tcPr>
            <w:tcW w:w="1047" w:type="pct"/>
            <w:vAlign w:val="center"/>
          </w:tcPr>
          <w:sdt>
            <w:sdtPr>
              <w:rPr>
                <w:rFonts w:ascii="Times New Roman" w:hAnsi="Times New Roman" w:eastAsia="宋体"/>
              </w:rPr>
              <w:tag w:val="_PLD_2c9ded6ced2745e786e31481984f59e9"/>
              <w:id w:val="2812"/>
            </w:sdtPr>
            <w:sdtEndPr>
              <w:rPr>
                <w:rFonts w:ascii="Times New Roman" w:hAnsi="Times New Roman" w:eastAsia="宋体"/>
              </w:rPr>
            </w:sdtEndPr>
            <w:sdtContent>
              <w:p>
                <w:pPr>
                  <w:jc w:val="center"/>
                  <w:rPr>
                    <w:rFonts w:ascii="Times New Roman" w:hAnsi="Times New Roman" w:eastAsia="宋体"/>
                  </w:rPr>
                </w:pPr>
                <w:r>
                  <w:rPr>
                    <w:rFonts w:ascii="Times New Roman" w:hAnsi="Times New Roman" w:eastAsia="宋体"/>
                  </w:rPr>
                  <w:t>结算方式</w:t>
                </w:r>
              </w:p>
            </w:sdtContent>
          </w:sdt>
        </w:tc>
        <w:tc>
          <w:tcPr>
            <w:tcW w:w="806" w:type="pct"/>
            <w:vAlign w:val="center"/>
          </w:tcPr>
          <w:sdt>
            <w:sdtPr>
              <w:rPr>
                <w:rFonts w:ascii="Times New Roman" w:hAnsi="Times New Roman" w:eastAsia="宋体"/>
              </w:rPr>
              <w:tag w:val="_PLD_cbf88684848343949991bcfc6a056a9e"/>
              <w:id w:val="2813"/>
            </w:sdtPr>
            <w:sdtEndPr>
              <w:rPr>
                <w:rFonts w:ascii="Times New Roman" w:hAnsi="Times New Roman" w:eastAsia="宋体"/>
              </w:rPr>
            </w:sdtEndPr>
            <w:sdtContent>
              <w:p>
                <w:pPr>
                  <w:jc w:val="center"/>
                  <w:rPr>
                    <w:rFonts w:ascii="Times New Roman" w:hAnsi="Times New Roman" w:eastAsia="宋体"/>
                  </w:rPr>
                </w:pPr>
                <w:r>
                  <w:rPr>
                    <w:rFonts w:ascii="Times New Roman" w:hAnsi="Times New Roman" w:eastAsia="宋体"/>
                  </w:rPr>
                  <w:t>价格同比变动比率（%）</w:t>
                </w:r>
              </w:p>
            </w:sdtContent>
          </w:sdt>
        </w:tc>
        <w:sdt>
          <w:sdtPr>
            <w:rPr>
              <w:rFonts w:ascii="Times New Roman" w:hAnsi="Times New Roman" w:eastAsia="宋体"/>
            </w:rPr>
            <w:tag w:val="_PLD_79fe1c8aa0f34bb885a48dd9837c0619"/>
            <w:id w:val="2814"/>
          </w:sdtPr>
          <w:sdtEndPr>
            <w:rPr>
              <w:rFonts w:ascii="Times New Roman" w:hAnsi="Times New Roman" w:eastAsia="宋体"/>
            </w:rPr>
          </w:sdtEndPr>
          <w:sdtContent>
            <w:tc>
              <w:tcPr>
                <w:tcW w:w="1029" w:type="pct"/>
                <w:vAlign w:val="center"/>
              </w:tcPr>
              <w:p>
                <w:pPr>
                  <w:jc w:val="center"/>
                  <w:rPr>
                    <w:rFonts w:ascii="Times New Roman" w:hAnsi="Times New Roman" w:eastAsia="宋体"/>
                  </w:rPr>
                </w:pPr>
                <w:r>
                  <w:rPr>
                    <w:rFonts w:hint="eastAsia" w:ascii="Times New Roman" w:hAnsi="Times New Roman" w:eastAsia="宋体"/>
                  </w:rPr>
                  <w:t>采购量</w:t>
                </w:r>
              </w:p>
            </w:tc>
          </w:sdtContent>
        </w:sdt>
        <w:tc>
          <w:tcPr>
            <w:tcW w:w="813" w:type="pct"/>
            <w:vAlign w:val="center"/>
          </w:tcPr>
          <w:sdt>
            <w:sdtPr>
              <w:rPr>
                <w:rFonts w:hint="eastAsia" w:ascii="Times New Roman" w:hAnsi="Times New Roman" w:eastAsia="宋体"/>
              </w:rPr>
              <w:tag w:val="_PLD_2c0426295ad74e2ca029b4099b9abd8a"/>
              <w:id w:val="2815"/>
            </w:sdtPr>
            <w:sdtEndPr>
              <w:rPr>
                <w:rFonts w:hint="eastAsia" w:ascii="Times New Roman" w:hAnsi="Times New Roman" w:eastAsia="宋体"/>
              </w:rPr>
            </w:sdtEndPr>
            <w:sdtContent>
              <w:p>
                <w:pPr>
                  <w:jc w:val="center"/>
                  <w:rPr>
                    <w:rFonts w:ascii="Times New Roman" w:hAnsi="Times New Roman" w:eastAsia="宋体"/>
                  </w:rPr>
                </w:pPr>
                <w:r>
                  <w:rPr>
                    <w:rFonts w:hint="eastAsia" w:ascii="Times New Roman" w:hAnsi="Times New Roman" w:eastAsia="宋体"/>
                  </w:rPr>
                  <w:t>耗用量</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pPr>
              <w:keepNext w:val="0"/>
              <w:keepLines w:val="0"/>
              <w:widowControl/>
              <w:suppressLineNumbers w:val="0"/>
              <w:jc w:val="both"/>
              <w:textAlignment w:val="center"/>
              <w:rPr>
                <w:rFonts w:hint="eastAsia" w:ascii="Times New Roman" w:hAnsi="Times New Roman" w:eastAsia="宋体" w:cs="宋体"/>
                <w:i w:val="0"/>
                <w:iCs w:val="0"/>
                <w:color w:val="000000"/>
                <w:sz w:val="20"/>
                <w:szCs w:val="20"/>
                <w:u w:val="none"/>
                <w:lang w:val="en-US" w:eastAsia="zh-CN" w:bidi="ar-SA"/>
              </w:rPr>
            </w:pPr>
            <w:r>
              <w:rPr>
                <w:rFonts w:hint="eastAsia" w:ascii="Times New Roman" w:hAnsi="Times New Roman" w:eastAsia="宋体" w:cs="宋体"/>
                <w:i w:val="0"/>
                <w:iCs w:val="0"/>
                <w:color w:val="000000"/>
                <w:kern w:val="0"/>
                <w:sz w:val="20"/>
                <w:szCs w:val="20"/>
                <w:u w:val="none"/>
                <w:lang w:val="en-US" w:eastAsia="zh-CN" w:bidi="ar"/>
              </w:rPr>
              <w:t>二氧化硅</w:t>
            </w:r>
          </w:p>
        </w:tc>
        <w:tc>
          <w:tcPr>
            <w:tcW w:w="598" w:type="pct"/>
            <w:vAlign w:val="center"/>
          </w:tcPr>
          <w:p>
            <w:pPr>
              <w:jc w:val="center"/>
              <w:rPr>
                <w:rFonts w:ascii="Times New Roman" w:hAnsi="Times New Roman" w:eastAsia="宋体"/>
              </w:rPr>
            </w:pPr>
            <w:r>
              <w:rPr>
                <w:rFonts w:ascii="Times New Roman" w:hAnsi="Times New Roman" w:eastAsia="宋体"/>
              </w:rPr>
              <w:t>比质比价</w:t>
            </w:r>
          </w:p>
        </w:tc>
        <w:tc>
          <w:tcPr>
            <w:tcW w:w="1047" w:type="pct"/>
            <w:vAlign w:val="center"/>
          </w:tcPr>
          <w:p>
            <w:pPr>
              <w:jc w:val="center"/>
              <w:rPr>
                <w:rFonts w:ascii="Times New Roman" w:hAnsi="Times New Roman" w:eastAsia="宋体"/>
              </w:rPr>
            </w:pPr>
            <w:r>
              <w:rPr>
                <w:rFonts w:ascii="Times New Roman" w:hAnsi="Times New Roman" w:eastAsia="宋体"/>
              </w:rPr>
              <w:t>货到后按约定账期结算</w:t>
            </w:r>
          </w:p>
        </w:tc>
        <w:tc>
          <w:tcPr>
            <w:tcW w:w="806" w:type="pct"/>
            <w:vAlign w:val="center"/>
          </w:tcPr>
          <w:p>
            <w:pPr>
              <w:jc w:val="right"/>
              <w:rPr>
                <w:rFonts w:ascii="Times New Roman" w:hAnsi="Times New Roman" w:eastAsia="宋体"/>
              </w:rPr>
            </w:pPr>
            <w:r>
              <w:rPr>
                <w:rFonts w:ascii="Times New Roman" w:hAnsi="Times New Roman" w:eastAsia="宋体"/>
              </w:rPr>
              <w:t>-1.61 </w:t>
            </w:r>
          </w:p>
        </w:tc>
        <w:tc>
          <w:tcPr>
            <w:tcW w:w="1029" w:type="pct"/>
            <w:vAlign w:val="center"/>
          </w:tcPr>
          <w:p>
            <w:pPr>
              <w:jc w:val="right"/>
              <w:rPr>
                <w:rFonts w:ascii="Times New Roman" w:hAnsi="Times New Roman" w:eastAsia="宋体"/>
              </w:rPr>
            </w:pPr>
            <w:r>
              <w:rPr>
                <w:rFonts w:ascii="Times New Roman" w:hAnsi="Times New Roman" w:eastAsia="宋体"/>
              </w:rPr>
              <w:t>约1700吨/年</w:t>
            </w:r>
          </w:p>
        </w:tc>
        <w:tc>
          <w:tcPr>
            <w:tcW w:w="813" w:type="pct"/>
            <w:vAlign w:val="center"/>
          </w:tcPr>
          <w:p>
            <w:pPr>
              <w:jc w:val="right"/>
              <w:rPr>
                <w:rFonts w:ascii="Times New Roman" w:hAnsi="Times New Roman" w:eastAsia="宋体"/>
              </w:rPr>
            </w:pPr>
            <w:r>
              <w:rPr>
                <w:rFonts w:ascii="Times New Roman" w:hAnsi="Times New Roman" w:eastAsia="宋体"/>
              </w:rPr>
              <w:t>约1490吨/年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pPr>
              <w:keepNext w:val="0"/>
              <w:keepLines w:val="0"/>
              <w:widowControl/>
              <w:suppressLineNumbers w:val="0"/>
              <w:jc w:val="both"/>
              <w:textAlignment w:val="center"/>
              <w:rPr>
                <w:rFonts w:hint="eastAsia" w:ascii="Times New Roman" w:hAnsi="Times New Roman" w:eastAsia="宋体" w:cs="宋体"/>
                <w:i w:val="0"/>
                <w:iCs w:val="0"/>
                <w:color w:val="000000"/>
                <w:sz w:val="20"/>
                <w:szCs w:val="20"/>
                <w:u w:val="none"/>
                <w:lang w:val="en-US" w:eastAsia="zh-CN" w:bidi="ar-SA"/>
              </w:rPr>
            </w:pPr>
            <w:r>
              <w:rPr>
                <w:rFonts w:hint="eastAsia" w:ascii="Times New Roman" w:hAnsi="Times New Roman" w:eastAsia="宋体" w:cs="宋体"/>
                <w:i w:val="0"/>
                <w:iCs w:val="0"/>
                <w:color w:val="000000"/>
                <w:kern w:val="0"/>
                <w:sz w:val="20"/>
                <w:szCs w:val="20"/>
                <w:u w:val="none"/>
                <w:lang w:val="en-US" w:eastAsia="zh-CN" w:bidi="ar"/>
              </w:rPr>
              <w:t>山梨醇</w:t>
            </w:r>
          </w:p>
        </w:tc>
        <w:tc>
          <w:tcPr>
            <w:tcW w:w="598" w:type="pct"/>
            <w:vAlign w:val="center"/>
          </w:tcPr>
          <w:p>
            <w:pPr>
              <w:jc w:val="center"/>
              <w:rPr>
                <w:rFonts w:ascii="Times New Roman" w:hAnsi="Times New Roman" w:eastAsia="宋体"/>
              </w:rPr>
            </w:pPr>
            <w:r>
              <w:rPr>
                <w:rFonts w:ascii="Times New Roman" w:hAnsi="Times New Roman" w:eastAsia="宋体"/>
              </w:rPr>
              <w:t>比质比价</w:t>
            </w:r>
          </w:p>
        </w:tc>
        <w:tc>
          <w:tcPr>
            <w:tcW w:w="1047" w:type="pct"/>
            <w:vAlign w:val="center"/>
          </w:tcPr>
          <w:p>
            <w:pPr>
              <w:jc w:val="center"/>
              <w:rPr>
                <w:rFonts w:ascii="Times New Roman" w:hAnsi="Times New Roman" w:eastAsia="宋体"/>
              </w:rPr>
            </w:pPr>
            <w:r>
              <w:rPr>
                <w:rFonts w:ascii="Times New Roman" w:hAnsi="Times New Roman" w:eastAsia="宋体"/>
              </w:rPr>
              <w:t>货到后按约定账期结算</w:t>
            </w:r>
          </w:p>
        </w:tc>
        <w:tc>
          <w:tcPr>
            <w:tcW w:w="806" w:type="pct"/>
            <w:vAlign w:val="center"/>
          </w:tcPr>
          <w:p>
            <w:pPr>
              <w:jc w:val="right"/>
              <w:rPr>
                <w:rFonts w:ascii="Times New Roman" w:hAnsi="Times New Roman" w:eastAsia="宋体"/>
              </w:rPr>
            </w:pPr>
            <w:r>
              <w:rPr>
                <w:rFonts w:ascii="Times New Roman" w:hAnsi="Times New Roman" w:eastAsia="宋体"/>
              </w:rPr>
              <w:t>0.95 </w:t>
            </w:r>
          </w:p>
        </w:tc>
        <w:tc>
          <w:tcPr>
            <w:tcW w:w="1029" w:type="pct"/>
            <w:vAlign w:val="center"/>
          </w:tcPr>
          <w:p>
            <w:pPr>
              <w:jc w:val="right"/>
              <w:rPr>
                <w:rFonts w:ascii="Times New Roman" w:hAnsi="Times New Roman" w:eastAsia="宋体"/>
              </w:rPr>
            </w:pPr>
            <w:r>
              <w:rPr>
                <w:rFonts w:ascii="Times New Roman" w:hAnsi="Times New Roman" w:eastAsia="宋体"/>
              </w:rPr>
              <w:t>约8450吨/年</w:t>
            </w:r>
          </w:p>
        </w:tc>
        <w:tc>
          <w:tcPr>
            <w:tcW w:w="813" w:type="pct"/>
            <w:vAlign w:val="center"/>
          </w:tcPr>
          <w:p>
            <w:pPr>
              <w:jc w:val="right"/>
              <w:rPr>
                <w:rFonts w:ascii="Times New Roman" w:hAnsi="Times New Roman" w:eastAsia="宋体"/>
              </w:rPr>
            </w:pPr>
            <w:r>
              <w:rPr>
                <w:rFonts w:ascii="Times New Roman" w:hAnsi="Times New Roman" w:eastAsia="宋体"/>
              </w:rPr>
              <w:t>约8000吨/年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pPr>
              <w:keepNext w:val="0"/>
              <w:keepLines w:val="0"/>
              <w:widowControl/>
              <w:suppressLineNumbers w:val="0"/>
              <w:jc w:val="both"/>
              <w:textAlignment w:val="center"/>
              <w:rPr>
                <w:rFonts w:hint="eastAsia" w:ascii="Times New Roman" w:hAnsi="Times New Roman" w:eastAsia="宋体" w:cs="宋体"/>
                <w:i w:val="0"/>
                <w:iCs w:val="0"/>
                <w:color w:val="000000"/>
                <w:sz w:val="20"/>
                <w:szCs w:val="20"/>
                <w:u w:val="none"/>
                <w:lang w:val="en-US" w:eastAsia="zh-CN" w:bidi="ar-SA"/>
              </w:rPr>
            </w:pPr>
            <w:r>
              <w:rPr>
                <w:rFonts w:hint="eastAsia" w:ascii="Times New Roman" w:hAnsi="Times New Roman" w:eastAsia="宋体" w:cs="宋体"/>
                <w:i w:val="0"/>
                <w:iCs w:val="0"/>
                <w:color w:val="000000"/>
                <w:kern w:val="0"/>
                <w:sz w:val="20"/>
                <w:szCs w:val="20"/>
                <w:u w:val="none"/>
                <w:lang w:val="en-US" w:eastAsia="zh-CN" w:bidi="ar"/>
              </w:rPr>
              <w:t>透明聚丙烯</w:t>
            </w:r>
          </w:p>
        </w:tc>
        <w:tc>
          <w:tcPr>
            <w:tcW w:w="598" w:type="pct"/>
            <w:vAlign w:val="center"/>
          </w:tcPr>
          <w:p>
            <w:pPr>
              <w:jc w:val="center"/>
              <w:rPr>
                <w:rFonts w:ascii="Times New Roman" w:hAnsi="Times New Roman" w:eastAsia="宋体"/>
              </w:rPr>
            </w:pPr>
            <w:r>
              <w:rPr>
                <w:rFonts w:ascii="Times New Roman" w:hAnsi="Times New Roman" w:eastAsia="宋体"/>
              </w:rPr>
              <w:t>比质比价</w:t>
            </w:r>
          </w:p>
        </w:tc>
        <w:tc>
          <w:tcPr>
            <w:tcW w:w="1047" w:type="pct"/>
            <w:vAlign w:val="center"/>
          </w:tcPr>
          <w:p>
            <w:pPr>
              <w:jc w:val="center"/>
              <w:rPr>
                <w:rFonts w:ascii="Times New Roman" w:hAnsi="Times New Roman" w:eastAsia="宋体"/>
              </w:rPr>
            </w:pPr>
            <w:r>
              <w:rPr>
                <w:rFonts w:ascii="Times New Roman" w:hAnsi="Times New Roman" w:eastAsia="宋体"/>
              </w:rPr>
              <w:t>款到发货</w:t>
            </w:r>
          </w:p>
        </w:tc>
        <w:tc>
          <w:tcPr>
            <w:tcW w:w="806" w:type="pct"/>
            <w:vAlign w:val="center"/>
          </w:tcPr>
          <w:p>
            <w:pPr>
              <w:jc w:val="right"/>
              <w:rPr>
                <w:rFonts w:ascii="Times New Roman" w:hAnsi="Times New Roman" w:eastAsia="宋体"/>
              </w:rPr>
            </w:pPr>
            <w:r>
              <w:rPr>
                <w:rFonts w:ascii="Times New Roman" w:hAnsi="Times New Roman" w:eastAsia="宋体"/>
              </w:rPr>
              <w:t>-7.00</w:t>
            </w:r>
          </w:p>
        </w:tc>
        <w:tc>
          <w:tcPr>
            <w:tcW w:w="1029" w:type="pct"/>
            <w:vAlign w:val="center"/>
          </w:tcPr>
          <w:p>
            <w:pPr>
              <w:jc w:val="right"/>
              <w:rPr>
                <w:rFonts w:ascii="Times New Roman" w:hAnsi="Times New Roman" w:eastAsia="宋体"/>
              </w:rPr>
            </w:pPr>
            <w:r>
              <w:rPr>
                <w:rFonts w:ascii="Times New Roman" w:hAnsi="Times New Roman" w:eastAsia="宋体"/>
              </w:rPr>
              <w:t>约1160吨/年</w:t>
            </w:r>
          </w:p>
        </w:tc>
        <w:tc>
          <w:tcPr>
            <w:tcW w:w="813" w:type="pct"/>
            <w:vAlign w:val="center"/>
          </w:tcPr>
          <w:p>
            <w:pPr>
              <w:jc w:val="right"/>
              <w:rPr>
                <w:rFonts w:ascii="Times New Roman" w:hAnsi="Times New Roman" w:eastAsia="宋体"/>
              </w:rPr>
            </w:pPr>
            <w:r>
              <w:rPr>
                <w:rFonts w:ascii="Times New Roman" w:hAnsi="Times New Roman" w:eastAsia="宋体"/>
              </w:rPr>
              <w:t>约1100吨/年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pPr>
              <w:keepNext w:val="0"/>
              <w:keepLines w:val="0"/>
              <w:widowControl/>
              <w:suppressLineNumbers w:val="0"/>
              <w:jc w:val="both"/>
              <w:textAlignment w:val="center"/>
              <w:rPr>
                <w:rFonts w:hint="eastAsia" w:ascii="Times New Roman" w:hAnsi="Times New Roman" w:eastAsia="宋体" w:cs="宋体"/>
                <w:i w:val="0"/>
                <w:iCs w:val="0"/>
                <w:color w:val="000000"/>
                <w:sz w:val="20"/>
                <w:szCs w:val="20"/>
                <w:u w:val="none"/>
                <w:lang w:val="en-US" w:eastAsia="zh-CN" w:bidi="ar-SA"/>
              </w:rPr>
            </w:pPr>
            <w:r>
              <w:rPr>
                <w:rFonts w:hint="eastAsia" w:ascii="Times New Roman" w:hAnsi="Times New Roman" w:eastAsia="宋体" w:cs="宋体"/>
                <w:i w:val="0"/>
                <w:iCs w:val="0"/>
                <w:color w:val="000000"/>
                <w:kern w:val="0"/>
                <w:sz w:val="20"/>
                <w:szCs w:val="20"/>
                <w:u w:val="none"/>
                <w:lang w:val="en-US" w:eastAsia="zh-CN" w:bidi="ar"/>
              </w:rPr>
              <w:t>皂粒</w:t>
            </w:r>
          </w:p>
        </w:tc>
        <w:tc>
          <w:tcPr>
            <w:tcW w:w="598" w:type="pct"/>
            <w:vAlign w:val="center"/>
          </w:tcPr>
          <w:p>
            <w:pPr>
              <w:jc w:val="center"/>
              <w:rPr>
                <w:rFonts w:ascii="Times New Roman" w:hAnsi="Times New Roman" w:eastAsia="宋体"/>
              </w:rPr>
            </w:pPr>
            <w:r>
              <w:rPr>
                <w:rFonts w:ascii="Times New Roman" w:hAnsi="Times New Roman" w:eastAsia="宋体"/>
              </w:rPr>
              <w:t>比质比价</w:t>
            </w:r>
          </w:p>
        </w:tc>
        <w:tc>
          <w:tcPr>
            <w:tcW w:w="1047" w:type="pct"/>
            <w:vAlign w:val="center"/>
          </w:tcPr>
          <w:p>
            <w:pPr>
              <w:jc w:val="center"/>
              <w:rPr>
                <w:rFonts w:ascii="Times New Roman" w:hAnsi="Times New Roman" w:eastAsia="宋体"/>
              </w:rPr>
            </w:pPr>
            <w:r>
              <w:rPr>
                <w:rFonts w:ascii="Times New Roman" w:hAnsi="Times New Roman" w:eastAsia="宋体"/>
              </w:rPr>
              <w:t>货到后按约定账期结算</w:t>
            </w:r>
          </w:p>
        </w:tc>
        <w:tc>
          <w:tcPr>
            <w:tcW w:w="806" w:type="pct"/>
            <w:vAlign w:val="center"/>
          </w:tcPr>
          <w:p>
            <w:pPr>
              <w:jc w:val="right"/>
              <w:rPr>
                <w:rFonts w:ascii="Times New Roman" w:hAnsi="Times New Roman" w:eastAsia="宋体"/>
              </w:rPr>
            </w:pPr>
            <w:r>
              <w:rPr>
                <w:rFonts w:ascii="Times New Roman" w:hAnsi="Times New Roman" w:eastAsia="宋体"/>
              </w:rPr>
              <w:t>-5.90</w:t>
            </w:r>
          </w:p>
        </w:tc>
        <w:tc>
          <w:tcPr>
            <w:tcW w:w="1029" w:type="pct"/>
            <w:vAlign w:val="center"/>
          </w:tcPr>
          <w:p>
            <w:pPr>
              <w:jc w:val="right"/>
              <w:rPr>
                <w:rFonts w:ascii="Times New Roman" w:hAnsi="Times New Roman" w:eastAsia="宋体"/>
              </w:rPr>
            </w:pPr>
            <w:r>
              <w:rPr>
                <w:rFonts w:ascii="Times New Roman" w:hAnsi="Times New Roman" w:eastAsia="宋体"/>
              </w:rPr>
              <w:t>约870吨/年</w:t>
            </w:r>
          </w:p>
        </w:tc>
        <w:tc>
          <w:tcPr>
            <w:tcW w:w="813" w:type="pct"/>
            <w:vAlign w:val="center"/>
          </w:tcPr>
          <w:p>
            <w:pPr>
              <w:jc w:val="right"/>
              <w:rPr>
                <w:rFonts w:ascii="Times New Roman" w:hAnsi="Times New Roman" w:eastAsia="宋体"/>
              </w:rPr>
            </w:pPr>
            <w:r>
              <w:rPr>
                <w:rFonts w:ascii="Times New Roman" w:hAnsi="Times New Roman" w:eastAsia="宋体"/>
              </w:rPr>
              <w:t>约840吨/年</w:t>
            </w:r>
          </w:p>
        </w:tc>
      </w:tr>
    </w:tbl>
    <w:p/>
    <w:p/>
    <w:p>
      <w:pPr>
        <w:rPr>
          <w:color w:val="333399"/>
        </w:rPr>
      </w:pPr>
      <w:r>
        <w:rPr>
          <w:rFonts w:hint="eastAsia"/>
        </w:rPr>
        <w:t>主要原材料价格变化对公司营业成本的影响</w:t>
      </w:r>
      <w:sdt>
        <w:sdtPr>
          <w:rPr>
            <w:rFonts w:hint="eastAsia"/>
          </w:rPr>
          <w:alias w:val="主要原材料价格变化对公司营业成本的影响"/>
          <w:tag w:val="_GBC_be27a88fbc1c467aab20e44d1c8b6afd"/>
          <w:id w:val="25724"/>
          <w:placeholder>
            <w:docPart w:val="GBC22222222222222222222222222222"/>
          </w:placeholder>
        </w:sdtPr>
        <w:sdtEndPr>
          <w:rPr>
            <w:rFonts w:hint="eastAsia"/>
          </w:rPr>
        </w:sdtEndPr>
        <w:sdtContent>
          <w:r>
            <w:rPr>
              <w:rFonts w:hint="eastAsia"/>
              <w:lang w:eastAsia="zh-CN"/>
            </w:rPr>
            <w:t>：无</w:t>
          </w:r>
        </w:sdtContent>
      </w:sdt>
    </w:p>
    <w:p/>
    <w:p>
      <w:pPr>
        <w:pStyle w:val="63"/>
        <w:numPr>
          <w:ilvl w:val="0"/>
          <w:numId w:val="16"/>
        </w:numPr>
        <w:ind w:firstLineChars="0"/>
        <w:outlineLvl w:val="5"/>
        <w:rPr>
          <w:b/>
        </w:rPr>
      </w:pPr>
      <w:r>
        <w:rPr>
          <w:rFonts w:hint="eastAsia"/>
          <w:b/>
        </w:rPr>
        <w:t>主要能源的基本情况</w:t>
      </w:r>
    </w:p>
    <w:sdt>
      <w:sdtPr>
        <w:alias w:val="是否适用：主要能源的基本情况[双击切换]"/>
        <w:tag w:val="_GBC_cc4eb794a45d49b7893c62128e0fc77e"/>
        <w:id w:val="25725"/>
        <w:placeholder>
          <w:docPart w:val="GBC22222222222222222222222222222"/>
        </w:placeholder>
      </w:sdtPr>
      <w:sdtContent>
        <w:p>
          <w:pPr>
            <w:outlineLvl w:val="9"/>
          </w:pPr>
          <w:r>
            <w:fldChar w:fldCharType="begin"/>
          </w:r>
          <w:r>
            <w:rPr>
              <w:rFonts w:hint="eastAsia"/>
              <w:lang w:val="en-US" w:eastAsia="zh-CN"/>
            </w:rPr>
            <w:instrText xml:space="preserve"> MACROBUTTON  SnrToggleCheckbox □适用 </w:instrText>
          </w:r>
          <w:r>
            <w:fldChar w:fldCharType="end"/>
          </w:r>
          <w:r>
            <w:fldChar w:fldCharType="begin"/>
          </w:r>
          <w:r>
            <w:rPr>
              <w:rFonts w:hint="eastAsia"/>
              <w:lang w:val="en-US" w:eastAsia="zh-CN"/>
            </w:rPr>
            <w:instrText xml:space="preserve"> MACROBUTTON  SnrToggleCheckbox √不适用 </w:instrText>
          </w:r>
          <w:r>
            <w:fldChar w:fldCharType="end"/>
          </w:r>
        </w:p>
      </w:sdtContent>
    </w:sdt>
    <w:p/>
    <w:p>
      <w:pPr>
        <w:pStyle w:val="63"/>
        <w:numPr>
          <w:ilvl w:val="0"/>
          <w:numId w:val="16"/>
        </w:numPr>
        <w:ind w:firstLineChars="0"/>
        <w:outlineLvl w:val="5"/>
        <w:rPr>
          <w:b/>
        </w:rPr>
      </w:pPr>
      <w:r>
        <w:rPr>
          <w:rFonts w:hint="eastAsia"/>
          <w:b/>
        </w:rPr>
        <w:t>原材料价格波动风险应对措施</w:t>
      </w:r>
    </w:p>
    <w:p>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25726"/>
        <w:placeholder>
          <w:docPart w:val="GBC22222222222222222222222222222"/>
        </w:placeholder>
      </w:sdtPr>
      <w:sdtEndPr>
        <w:rPr>
          <w:rFonts w:hint="eastAsia"/>
        </w:rPr>
      </w:sdtEndPr>
      <w:sdtContent>
        <w:p>
          <w:pPr>
            <w:outlineLvl w:val="9"/>
          </w:pPr>
          <w:r>
            <w:fldChar w:fldCharType="begin"/>
          </w:r>
          <w:r>
            <w:rPr>
              <w:rFonts w:hint="eastAsia"/>
              <w:lang w:val="en-US" w:eastAsia="zh-CN"/>
            </w:rPr>
            <w:instrText xml:space="preserve"> MACROBUTTON  SnrToggleCheckbox □适用  </w:instrText>
          </w:r>
          <w:r>
            <w:fldChar w:fldCharType="end"/>
          </w:r>
          <w:r>
            <w:fldChar w:fldCharType="begin"/>
          </w:r>
          <w:r>
            <w:rPr>
              <w:rFonts w:hint="eastAsia"/>
              <w:lang w:val="en-US" w:eastAsia="zh-CN"/>
            </w:rPr>
            <w:instrText xml:space="preserve"> MACROBUTTON  SnrToggleCheckbox √不适用 </w:instrText>
          </w:r>
          <w:r>
            <w:fldChar w:fldCharType="end"/>
          </w:r>
        </w:p>
      </w:sdtContent>
    </w:sdt>
    <w:p/>
    <w:p>
      <w:pPr>
        <w:pStyle w:val="63"/>
        <w:numPr>
          <w:ilvl w:val="0"/>
          <w:numId w:val="16"/>
        </w:numPr>
        <w:ind w:firstLineChars="0"/>
        <w:outlineLvl w:val="5"/>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25727"/>
        <w:placeholder>
          <w:docPart w:val="GBC22222222222222222222222222222"/>
        </w:placeholder>
      </w:sdtPr>
      <w:sdtEndPr>
        <w:rPr>
          <w:rFonts w:hint="eastAsia"/>
        </w:rPr>
      </w:sdtEndPr>
      <w:sdtContent>
        <w:p>
          <w:pPr>
            <w:outlineLvl w:val="9"/>
          </w:pPr>
          <w:r>
            <w:fldChar w:fldCharType="begin"/>
          </w:r>
          <w:r>
            <w:rPr>
              <w:rFonts w:hint="eastAsia"/>
              <w:lang w:val="en-US" w:eastAsia="zh-CN"/>
            </w:rPr>
            <w:instrText xml:space="preserve"> MACROBUTTON  SnrToggleCheckbox □适用  </w:instrText>
          </w:r>
          <w:r>
            <w:fldChar w:fldCharType="end"/>
          </w:r>
          <w:r>
            <w:fldChar w:fldCharType="begin"/>
          </w:r>
          <w:r>
            <w:rPr>
              <w:rFonts w:hint="eastAsia"/>
              <w:lang w:val="en-US" w:eastAsia="zh-CN"/>
            </w:rPr>
            <w:instrText xml:space="preserve"> MACROBUTTON  SnrToggleCheckbox √不适用 </w:instrText>
          </w:r>
          <w:r>
            <w:fldChar w:fldCharType="end"/>
          </w:r>
        </w:p>
      </w:sdtContent>
    </w:sdt>
    <w:p/>
    <w:p>
      <w:pPr>
        <w:pStyle w:val="63"/>
        <w:numPr>
          <w:ilvl w:val="0"/>
          <w:numId w:val="13"/>
        </w:numPr>
        <w:spacing w:before="60" w:after="60"/>
        <w:ind w:firstLineChars="0"/>
        <w:outlineLvl w:val="4"/>
        <w:rPr>
          <w:b/>
        </w:rPr>
      </w:pPr>
      <w:r>
        <w:rPr>
          <w:rFonts w:hint="eastAsia"/>
          <w:b/>
        </w:rPr>
        <w:t>产品销售情况</w:t>
      </w:r>
    </w:p>
    <w:p>
      <w:pPr>
        <w:pStyle w:val="63"/>
        <w:numPr>
          <w:ilvl w:val="0"/>
          <w:numId w:val="17"/>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25728"/>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p>
      <w:pPr>
        <w:jc w:val="right"/>
      </w:pPr>
      <w:r>
        <w:rPr>
          <w:rFonts w:hint="eastAsia"/>
        </w:rPr>
        <w:t>单位：</w:t>
      </w:r>
      <w:sdt>
        <w:sdtPr>
          <w:rPr>
            <w:rFonts w:hint="eastAsia"/>
          </w:rPr>
          <w:alias w:val="单位：化工行业按细分行业划分的公司主营业务基本情况"/>
          <w:tag w:val="_GBC_7f298cbd8e564771b396648324cbf0d3"/>
          <w:id w:val="257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按细分行业划分的公司主营业务基本情况"/>
          <w:tag w:val="_GBC_8aa2c635565c4ae499e2c5724bab8575"/>
          <w:id w:val="25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550"/>
        <w:gridCol w:w="1575"/>
        <w:gridCol w:w="713"/>
        <w:gridCol w:w="1025"/>
        <w:gridCol w:w="962"/>
        <w:gridCol w:w="1025"/>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33bfef2deda0478086a41a1526956bd0"/>
            <w:id w:val="3574"/>
          </w:sdtPr>
          <w:sdtEndPr>
            <w:rPr>
              <w:rFonts w:ascii="Times New Roman" w:hAnsi="Times New Roman" w:eastAsia="宋体"/>
            </w:rPr>
          </w:sdtEndPr>
          <w:sdtContent>
            <w:tc>
              <w:tcPr>
                <w:tcW w:w="605" w:type="pct"/>
                <w:vAlign w:val="center"/>
              </w:tcPr>
              <w:p>
                <w:pPr>
                  <w:jc w:val="center"/>
                  <w:rPr>
                    <w:rFonts w:ascii="Times New Roman" w:hAnsi="Times New Roman" w:eastAsia="宋体"/>
                  </w:rPr>
                </w:pPr>
                <w:r>
                  <w:rPr>
                    <w:rFonts w:hint="eastAsia" w:ascii="Times New Roman" w:hAnsi="Times New Roman" w:eastAsia="宋体"/>
                  </w:rPr>
                  <w:t>细分行业</w:t>
                </w:r>
              </w:p>
            </w:tc>
          </w:sdtContent>
        </w:sdt>
        <w:sdt>
          <w:sdtPr>
            <w:rPr>
              <w:rFonts w:ascii="Times New Roman" w:hAnsi="Times New Roman" w:eastAsia="宋体"/>
            </w:rPr>
            <w:tag w:val="_PLD_42e7290d6b51465483cd9dcac356b8ca"/>
            <w:id w:val="3575"/>
          </w:sdtPr>
          <w:sdtEndPr>
            <w:rPr>
              <w:rFonts w:ascii="Times New Roman" w:hAnsi="Times New Roman" w:eastAsia="宋体"/>
            </w:rPr>
          </w:sdtEndPr>
          <w:sdtContent>
            <w:tc>
              <w:tcPr>
                <w:tcW w:w="856" w:type="pct"/>
                <w:vAlign w:val="center"/>
              </w:tcPr>
              <w:p>
                <w:pPr>
                  <w:jc w:val="center"/>
                  <w:rPr>
                    <w:rFonts w:ascii="Times New Roman" w:hAnsi="Times New Roman" w:eastAsia="宋体"/>
                  </w:rPr>
                </w:pPr>
                <w:r>
                  <w:rPr>
                    <w:rFonts w:hint="eastAsia" w:ascii="Times New Roman" w:hAnsi="Times New Roman" w:eastAsia="宋体"/>
                  </w:rPr>
                  <w:t>营业收入</w:t>
                </w:r>
              </w:p>
            </w:tc>
          </w:sdtContent>
        </w:sdt>
        <w:sdt>
          <w:sdtPr>
            <w:rPr>
              <w:rFonts w:ascii="Times New Roman" w:hAnsi="Times New Roman" w:eastAsia="宋体"/>
            </w:rPr>
            <w:tag w:val="_PLD_5ff4e46af8094b0994f908d5220ee12b"/>
            <w:id w:val="3576"/>
          </w:sdtPr>
          <w:sdtEndPr>
            <w:rPr>
              <w:rFonts w:ascii="Times New Roman" w:hAnsi="Times New Roman" w:eastAsia="宋体"/>
            </w:rPr>
          </w:sdtEndPr>
          <w:sdtContent>
            <w:tc>
              <w:tcPr>
                <w:tcW w:w="870" w:type="pct"/>
                <w:vAlign w:val="center"/>
              </w:tcPr>
              <w:p>
                <w:pPr>
                  <w:jc w:val="center"/>
                  <w:rPr>
                    <w:rFonts w:ascii="Times New Roman" w:hAnsi="Times New Roman" w:eastAsia="宋体"/>
                  </w:rPr>
                </w:pPr>
                <w:r>
                  <w:rPr>
                    <w:rFonts w:hint="eastAsia" w:ascii="Times New Roman" w:hAnsi="Times New Roman" w:eastAsia="宋体"/>
                  </w:rPr>
                  <w:t>营业成本</w:t>
                </w:r>
              </w:p>
            </w:tc>
          </w:sdtContent>
        </w:sdt>
        <w:sdt>
          <w:sdtPr>
            <w:rPr>
              <w:rFonts w:ascii="Times New Roman" w:hAnsi="Times New Roman" w:eastAsia="宋体"/>
            </w:rPr>
            <w:tag w:val="_PLD_3ca4a96652eb47b492e14b97ee7412e3"/>
            <w:id w:val="3577"/>
          </w:sdtPr>
          <w:sdtEndPr>
            <w:rPr>
              <w:rFonts w:ascii="Times New Roman" w:hAnsi="Times New Roman" w:eastAsia="宋体"/>
            </w:rPr>
          </w:sdtEndPr>
          <w:sdtContent>
            <w:tc>
              <w:tcPr>
                <w:tcW w:w="394" w:type="pct"/>
                <w:vAlign w:val="center"/>
              </w:tcPr>
              <w:p>
                <w:pPr>
                  <w:jc w:val="center"/>
                  <w:rPr>
                    <w:rFonts w:ascii="Times New Roman" w:hAnsi="Times New Roman" w:eastAsia="宋体"/>
                  </w:rPr>
                </w:pPr>
                <w:r>
                  <w:rPr>
                    <w:rFonts w:hint="eastAsia" w:ascii="Times New Roman" w:hAnsi="Times New Roman" w:eastAsia="宋体"/>
                  </w:rPr>
                  <w:t>毛利率(%)</w:t>
                </w:r>
              </w:p>
            </w:tc>
          </w:sdtContent>
        </w:sdt>
        <w:sdt>
          <w:sdtPr>
            <w:rPr>
              <w:rFonts w:ascii="Times New Roman" w:hAnsi="Times New Roman" w:eastAsia="宋体"/>
            </w:rPr>
            <w:tag w:val="_PLD_283997e4d7e243eeb6aa838ce9c6e32b"/>
            <w:id w:val="3578"/>
          </w:sdtPr>
          <w:sdtEndPr>
            <w:rPr>
              <w:rFonts w:ascii="Times New Roman" w:hAnsi="Times New Roman" w:eastAsia="宋体"/>
            </w:rPr>
          </w:sdtEndPr>
          <w:sdtContent>
            <w:tc>
              <w:tcPr>
                <w:tcW w:w="566" w:type="pct"/>
                <w:vAlign w:val="center"/>
              </w:tcPr>
              <w:p>
                <w:pPr>
                  <w:jc w:val="center"/>
                  <w:rPr>
                    <w:rFonts w:ascii="Times New Roman" w:hAnsi="Times New Roman" w:eastAsia="宋体"/>
                  </w:rPr>
                </w:pPr>
                <w:r>
                  <w:rPr>
                    <w:rFonts w:hint="eastAsia" w:ascii="Times New Roman" w:hAnsi="Times New Roman" w:eastAsia="宋体"/>
                  </w:rPr>
                  <w:t>营业收入比上年增减（%）</w:t>
                </w:r>
              </w:p>
            </w:tc>
          </w:sdtContent>
        </w:sdt>
        <w:sdt>
          <w:sdtPr>
            <w:rPr>
              <w:rFonts w:ascii="Times New Roman" w:hAnsi="Times New Roman" w:eastAsia="宋体"/>
            </w:rPr>
            <w:tag w:val="_PLD_ff4ebc0ac95545c38dc343fb34e5b428"/>
            <w:id w:val="3579"/>
          </w:sdtPr>
          <w:sdtEndPr>
            <w:rPr>
              <w:rFonts w:ascii="Times New Roman" w:hAnsi="Times New Roman" w:eastAsia="宋体"/>
            </w:rPr>
          </w:sdtEndPr>
          <w:sdtContent>
            <w:tc>
              <w:tcPr>
                <w:tcW w:w="531" w:type="pct"/>
                <w:vAlign w:val="center"/>
              </w:tcPr>
              <w:p>
                <w:pPr>
                  <w:jc w:val="center"/>
                  <w:rPr>
                    <w:rFonts w:ascii="Times New Roman" w:hAnsi="Times New Roman" w:eastAsia="宋体"/>
                  </w:rPr>
                </w:pPr>
                <w:r>
                  <w:rPr>
                    <w:rFonts w:hint="eastAsia" w:ascii="Times New Roman" w:hAnsi="Times New Roman" w:eastAsia="宋体"/>
                  </w:rPr>
                  <w:t>营业成本比上年增减（%）</w:t>
                </w:r>
              </w:p>
            </w:tc>
          </w:sdtContent>
        </w:sdt>
        <w:sdt>
          <w:sdtPr>
            <w:rPr>
              <w:rFonts w:ascii="Times New Roman" w:hAnsi="Times New Roman" w:eastAsia="宋体"/>
            </w:rPr>
            <w:tag w:val="_PLD_133ae5a657f14c6287d04a20b812ed20"/>
            <w:id w:val="3580"/>
          </w:sdtPr>
          <w:sdtEndPr>
            <w:rPr>
              <w:rFonts w:ascii="Times New Roman" w:hAnsi="Times New Roman" w:eastAsia="宋体"/>
            </w:rPr>
          </w:sdtEndPr>
          <w:sdtContent>
            <w:tc>
              <w:tcPr>
                <w:tcW w:w="566" w:type="pct"/>
                <w:vAlign w:val="center"/>
              </w:tcPr>
              <w:p>
                <w:pPr>
                  <w:jc w:val="center"/>
                  <w:rPr>
                    <w:rFonts w:ascii="Times New Roman" w:hAnsi="Times New Roman" w:eastAsia="宋体"/>
                  </w:rPr>
                </w:pPr>
                <w:r>
                  <w:rPr>
                    <w:rFonts w:hint="eastAsia" w:ascii="Times New Roman" w:hAnsi="Times New Roman" w:eastAsia="宋体"/>
                  </w:rPr>
                  <w:t>毛利率比上年增减（%）</w:t>
                </w:r>
              </w:p>
            </w:tc>
          </w:sdtContent>
        </w:sdt>
        <w:sdt>
          <w:sdtPr>
            <w:rPr>
              <w:rFonts w:ascii="Times New Roman" w:hAnsi="Times New Roman" w:eastAsia="宋体"/>
            </w:rPr>
            <w:tag w:val="_PLD_34cdc52b87fa4e7b92cd903d02fb1217"/>
            <w:id w:val="3581"/>
          </w:sdtPr>
          <w:sdtEndPr>
            <w:rPr>
              <w:rFonts w:ascii="Times New Roman" w:hAnsi="Times New Roman" w:eastAsia="宋体"/>
            </w:rPr>
          </w:sdtEndPr>
          <w:sdtContent>
            <w:tc>
              <w:tcPr>
                <w:tcW w:w="609" w:type="pct"/>
                <w:vAlign w:val="center"/>
              </w:tcPr>
              <w:p>
                <w:pPr>
                  <w:jc w:val="center"/>
                  <w:rPr>
                    <w:rFonts w:ascii="Times New Roman" w:hAnsi="Times New Roman" w:eastAsia="宋体"/>
                  </w:rPr>
                </w:pPr>
                <w:r>
                  <w:rPr>
                    <w:rFonts w:hint="eastAsia" w:ascii="Times New Roman" w:hAnsi="Times New Roman" w:eastAsia="宋体"/>
                  </w:rPr>
                  <w:t>同行业同领域产品毛利率情况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jc w:val="center"/>
              <w:rPr>
                <w:rFonts w:ascii="Times New Roman" w:hAnsi="Times New Roman" w:eastAsia="宋体"/>
              </w:rPr>
            </w:pPr>
            <w:r>
              <w:rPr>
                <w:rFonts w:ascii="Times New Roman" w:hAnsi="Times New Roman" w:eastAsia="宋体"/>
              </w:rPr>
              <w:t>日化产品</w:t>
            </w:r>
          </w:p>
        </w:tc>
        <w:tc>
          <w:tcPr>
            <w:tcW w:w="856" w:type="pct"/>
            <w:vAlign w:val="center"/>
          </w:tcPr>
          <w:p>
            <w:pPr>
              <w:jc w:val="right"/>
              <w:rPr>
                <w:rFonts w:ascii="Times New Roman" w:hAnsi="Times New Roman" w:eastAsia="宋体"/>
              </w:rPr>
            </w:pPr>
            <w:r>
              <w:rPr>
                <w:rFonts w:ascii="Times New Roman" w:hAnsi="Times New Roman" w:eastAsia="宋体"/>
                <w:color w:val="auto"/>
              </w:rPr>
              <w:t>866,766,400.90</w:t>
            </w:r>
          </w:p>
        </w:tc>
        <w:tc>
          <w:tcPr>
            <w:tcW w:w="870" w:type="pct"/>
            <w:vAlign w:val="center"/>
          </w:tcPr>
          <w:p>
            <w:pPr>
              <w:jc w:val="right"/>
              <w:rPr>
                <w:rFonts w:ascii="Times New Roman" w:hAnsi="Times New Roman" w:eastAsia="宋体"/>
              </w:rPr>
            </w:pPr>
            <w:r>
              <w:rPr>
                <w:rFonts w:ascii="Times New Roman" w:hAnsi="Times New Roman" w:eastAsia="宋体"/>
                <w:color w:val="auto"/>
              </w:rPr>
              <w:t>747,649,694.63</w:t>
            </w:r>
          </w:p>
        </w:tc>
        <w:tc>
          <w:tcPr>
            <w:tcW w:w="394" w:type="pct"/>
            <w:vAlign w:val="center"/>
          </w:tcPr>
          <w:p>
            <w:pPr>
              <w:jc w:val="center"/>
              <w:rPr>
                <w:rFonts w:ascii="Times New Roman" w:hAnsi="Times New Roman" w:eastAsia="宋体"/>
              </w:rPr>
            </w:pPr>
            <w:r>
              <w:rPr>
                <w:rFonts w:ascii="Times New Roman" w:hAnsi="Times New Roman" w:eastAsia="宋体"/>
                <w:color w:val="auto"/>
              </w:rPr>
              <w:t>13.74</w:t>
            </w:r>
          </w:p>
        </w:tc>
        <w:tc>
          <w:tcPr>
            <w:tcW w:w="566" w:type="pct"/>
            <w:vAlign w:val="center"/>
          </w:tcPr>
          <w:p>
            <w:pPr>
              <w:jc w:val="right"/>
              <w:rPr>
                <w:rFonts w:ascii="Times New Roman" w:hAnsi="Times New Roman" w:eastAsia="宋体"/>
              </w:rPr>
            </w:pPr>
            <w:r>
              <w:rPr>
                <w:rFonts w:ascii="Times New Roman" w:hAnsi="Times New Roman" w:eastAsia="宋体"/>
                <w:color w:val="auto"/>
              </w:rPr>
              <w:t>55.49 </w:t>
            </w:r>
          </w:p>
        </w:tc>
        <w:tc>
          <w:tcPr>
            <w:tcW w:w="531" w:type="pct"/>
            <w:vAlign w:val="center"/>
          </w:tcPr>
          <w:p>
            <w:pPr>
              <w:jc w:val="right"/>
              <w:rPr>
                <w:rFonts w:ascii="Times New Roman" w:hAnsi="Times New Roman" w:eastAsia="宋体"/>
              </w:rPr>
            </w:pPr>
            <w:r>
              <w:rPr>
                <w:rFonts w:ascii="Times New Roman" w:hAnsi="Times New Roman" w:eastAsia="宋体"/>
                <w:color w:val="auto"/>
              </w:rPr>
              <w:t>55.37 </w:t>
            </w:r>
          </w:p>
        </w:tc>
        <w:tc>
          <w:tcPr>
            <w:tcW w:w="566" w:type="pct"/>
            <w:vAlign w:val="center"/>
          </w:tcPr>
          <w:p>
            <w:pPr>
              <w:jc w:val="right"/>
              <w:rPr>
                <w:rFonts w:ascii="Times New Roman" w:hAnsi="Times New Roman" w:eastAsia="宋体"/>
              </w:rPr>
            </w:pPr>
            <w:r>
              <w:rPr>
                <w:rFonts w:ascii="Times New Roman" w:hAnsi="Times New Roman" w:eastAsia="宋体"/>
              </w:rPr>
              <w:t>0.06</w:t>
            </w:r>
          </w:p>
        </w:tc>
        <w:tc>
          <w:tcPr>
            <w:tcW w:w="609" w:type="pct"/>
            <w:vAlign w:val="center"/>
          </w:tcPr>
          <w:p>
            <w:pPr>
              <w:jc w:val="center"/>
              <w:rPr>
                <w:rFonts w:ascii="Times New Roman" w:hAnsi="Times New Roman" w:eastAsia="宋体"/>
              </w:rPr>
            </w:pPr>
            <w:r>
              <w:rPr>
                <w:rFonts w:ascii="Times New Roman" w:hAnsi="Times New Roman" w:eastAsia="宋体"/>
              </w:rPr>
              <w:t>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jc w:val="center"/>
              <w:rPr>
                <w:rFonts w:ascii="Times New Roman" w:hAnsi="Times New Roman" w:eastAsia="宋体"/>
              </w:rPr>
            </w:pPr>
            <w:r>
              <w:rPr>
                <w:rFonts w:ascii="Times New Roman" w:hAnsi="Times New Roman" w:eastAsia="宋体"/>
              </w:rPr>
              <w:t>药品</w:t>
            </w:r>
          </w:p>
        </w:tc>
        <w:tc>
          <w:tcPr>
            <w:tcW w:w="856" w:type="pct"/>
            <w:vAlign w:val="center"/>
          </w:tcPr>
          <w:p>
            <w:pPr>
              <w:jc w:val="right"/>
              <w:rPr>
                <w:rFonts w:ascii="Times New Roman" w:hAnsi="Times New Roman" w:eastAsia="宋体"/>
              </w:rPr>
            </w:pPr>
            <w:r>
              <w:rPr>
                <w:rFonts w:ascii="Times New Roman" w:hAnsi="Times New Roman" w:eastAsia="宋体"/>
                <w:color w:val="auto"/>
              </w:rPr>
              <w:t>107,437,799.79</w:t>
            </w:r>
          </w:p>
        </w:tc>
        <w:tc>
          <w:tcPr>
            <w:tcW w:w="870" w:type="pct"/>
            <w:vAlign w:val="center"/>
          </w:tcPr>
          <w:p>
            <w:pPr>
              <w:jc w:val="right"/>
              <w:rPr>
                <w:rFonts w:ascii="Times New Roman" w:hAnsi="Times New Roman" w:eastAsia="宋体"/>
              </w:rPr>
            </w:pPr>
            <w:r>
              <w:rPr>
                <w:rFonts w:ascii="Times New Roman" w:hAnsi="Times New Roman" w:eastAsia="宋体"/>
                <w:color w:val="auto"/>
              </w:rPr>
              <w:t>65,245,413.06</w:t>
            </w:r>
          </w:p>
        </w:tc>
        <w:tc>
          <w:tcPr>
            <w:tcW w:w="394" w:type="pct"/>
            <w:vAlign w:val="center"/>
          </w:tcPr>
          <w:p>
            <w:pPr>
              <w:jc w:val="center"/>
              <w:rPr>
                <w:rFonts w:ascii="Times New Roman" w:hAnsi="Times New Roman" w:eastAsia="宋体"/>
              </w:rPr>
            </w:pPr>
            <w:r>
              <w:rPr>
                <w:rFonts w:ascii="Times New Roman" w:hAnsi="Times New Roman" w:eastAsia="宋体"/>
                <w:color w:val="auto"/>
              </w:rPr>
              <w:t>39.27</w:t>
            </w:r>
          </w:p>
        </w:tc>
        <w:tc>
          <w:tcPr>
            <w:tcW w:w="566" w:type="pct"/>
            <w:vAlign w:val="center"/>
          </w:tcPr>
          <w:p>
            <w:pPr>
              <w:jc w:val="right"/>
              <w:rPr>
                <w:rFonts w:ascii="Times New Roman" w:hAnsi="Times New Roman" w:eastAsia="宋体"/>
              </w:rPr>
            </w:pPr>
            <w:r>
              <w:rPr>
                <w:rFonts w:ascii="Times New Roman" w:hAnsi="Times New Roman" w:eastAsia="宋体"/>
                <w:color w:val="auto"/>
              </w:rPr>
              <w:t>28.02 </w:t>
            </w:r>
          </w:p>
        </w:tc>
        <w:tc>
          <w:tcPr>
            <w:tcW w:w="531" w:type="pct"/>
            <w:vAlign w:val="center"/>
          </w:tcPr>
          <w:p>
            <w:pPr>
              <w:jc w:val="right"/>
              <w:rPr>
                <w:rFonts w:ascii="Times New Roman" w:hAnsi="Times New Roman" w:eastAsia="宋体"/>
              </w:rPr>
            </w:pPr>
            <w:r>
              <w:rPr>
                <w:rFonts w:ascii="Times New Roman" w:hAnsi="Times New Roman" w:eastAsia="宋体"/>
                <w:color w:val="auto"/>
              </w:rPr>
              <w:t>16.64 </w:t>
            </w:r>
          </w:p>
        </w:tc>
        <w:tc>
          <w:tcPr>
            <w:tcW w:w="566" w:type="pct"/>
            <w:vAlign w:val="center"/>
          </w:tcPr>
          <w:p>
            <w:pPr>
              <w:jc w:val="right"/>
              <w:rPr>
                <w:rFonts w:ascii="Times New Roman" w:hAnsi="Times New Roman" w:eastAsia="宋体"/>
              </w:rPr>
            </w:pPr>
            <w:r>
              <w:rPr>
                <w:rFonts w:ascii="Times New Roman" w:hAnsi="Times New Roman" w:eastAsia="宋体"/>
              </w:rPr>
              <w:t>5.92</w:t>
            </w:r>
          </w:p>
        </w:tc>
        <w:tc>
          <w:tcPr>
            <w:tcW w:w="609" w:type="pct"/>
            <w:vAlign w:val="center"/>
          </w:tcPr>
          <w:p>
            <w:pPr>
              <w:jc w:val="center"/>
              <w:rPr>
                <w:rFonts w:ascii="Times New Roman" w:hAnsi="Times New Roman" w:eastAsia="宋体"/>
              </w:rPr>
            </w:pPr>
            <w:r>
              <w:rPr>
                <w:rFonts w:ascii="Times New Roman" w:hAnsi="Times New Roman" w:eastAsia="宋体"/>
              </w:rPr>
              <w:t>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Align w:val="center"/>
          </w:tcPr>
          <w:p>
            <w:pPr>
              <w:jc w:val="center"/>
              <w:rPr>
                <w:rFonts w:ascii="Times New Roman" w:hAnsi="Times New Roman" w:eastAsia="宋体"/>
              </w:rPr>
            </w:pPr>
            <w:r>
              <w:rPr>
                <w:rFonts w:ascii="Times New Roman" w:hAnsi="Times New Roman" w:eastAsia="宋体"/>
              </w:rPr>
              <w:t>商业贸易</w:t>
            </w:r>
          </w:p>
        </w:tc>
        <w:tc>
          <w:tcPr>
            <w:tcW w:w="856" w:type="pct"/>
            <w:vAlign w:val="center"/>
          </w:tcPr>
          <w:p>
            <w:pPr>
              <w:jc w:val="right"/>
              <w:rPr>
                <w:rFonts w:ascii="Times New Roman" w:hAnsi="Times New Roman" w:eastAsia="宋体"/>
              </w:rPr>
            </w:pPr>
            <w:r>
              <w:rPr>
                <w:rFonts w:ascii="Times New Roman" w:hAnsi="Times New Roman" w:eastAsia="宋体"/>
                <w:color w:val="auto"/>
              </w:rPr>
              <w:t>9,889,605.92</w:t>
            </w:r>
          </w:p>
        </w:tc>
        <w:tc>
          <w:tcPr>
            <w:tcW w:w="870" w:type="pct"/>
            <w:vAlign w:val="center"/>
          </w:tcPr>
          <w:p>
            <w:pPr>
              <w:jc w:val="right"/>
              <w:rPr>
                <w:rFonts w:ascii="Times New Roman" w:hAnsi="Times New Roman" w:eastAsia="宋体"/>
              </w:rPr>
            </w:pPr>
            <w:r>
              <w:rPr>
                <w:rFonts w:ascii="Times New Roman" w:hAnsi="Times New Roman" w:eastAsia="宋体"/>
                <w:color w:val="auto"/>
              </w:rPr>
              <w:t>8,842,782.46</w:t>
            </w:r>
          </w:p>
        </w:tc>
        <w:tc>
          <w:tcPr>
            <w:tcW w:w="394" w:type="pct"/>
            <w:vAlign w:val="center"/>
          </w:tcPr>
          <w:p>
            <w:pPr>
              <w:jc w:val="center"/>
              <w:rPr>
                <w:rFonts w:ascii="Times New Roman" w:hAnsi="Times New Roman" w:eastAsia="宋体"/>
              </w:rPr>
            </w:pPr>
            <w:r>
              <w:rPr>
                <w:rFonts w:ascii="Times New Roman" w:hAnsi="Times New Roman" w:eastAsia="宋体"/>
                <w:color w:val="auto"/>
              </w:rPr>
              <w:t>10.59</w:t>
            </w:r>
          </w:p>
        </w:tc>
        <w:tc>
          <w:tcPr>
            <w:tcW w:w="566" w:type="pct"/>
            <w:vAlign w:val="center"/>
          </w:tcPr>
          <w:p>
            <w:pPr>
              <w:jc w:val="right"/>
              <w:rPr>
                <w:rFonts w:ascii="Times New Roman" w:hAnsi="Times New Roman" w:eastAsia="宋体"/>
              </w:rPr>
            </w:pPr>
            <w:r>
              <w:rPr>
                <w:rFonts w:ascii="Times New Roman" w:hAnsi="Times New Roman" w:eastAsia="宋体"/>
                <w:color w:val="auto"/>
              </w:rPr>
              <w:t>-49.02 </w:t>
            </w:r>
          </w:p>
        </w:tc>
        <w:tc>
          <w:tcPr>
            <w:tcW w:w="531" w:type="pct"/>
            <w:vAlign w:val="center"/>
          </w:tcPr>
          <w:p>
            <w:pPr>
              <w:jc w:val="right"/>
              <w:rPr>
                <w:rFonts w:ascii="Times New Roman" w:hAnsi="Times New Roman" w:eastAsia="宋体"/>
              </w:rPr>
            </w:pPr>
            <w:r>
              <w:rPr>
                <w:rFonts w:ascii="Times New Roman" w:hAnsi="Times New Roman" w:eastAsia="宋体"/>
                <w:color w:val="auto"/>
              </w:rPr>
              <w:t>-50.24 </w:t>
            </w:r>
          </w:p>
        </w:tc>
        <w:tc>
          <w:tcPr>
            <w:tcW w:w="566" w:type="pct"/>
            <w:vAlign w:val="center"/>
          </w:tcPr>
          <w:p>
            <w:pPr>
              <w:jc w:val="right"/>
              <w:rPr>
                <w:rFonts w:ascii="Times New Roman" w:hAnsi="Times New Roman" w:eastAsia="宋体"/>
              </w:rPr>
            </w:pPr>
            <w:r>
              <w:rPr>
                <w:rFonts w:ascii="Times New Roman" w:hAnsi="Times New Roman" w:eastAsia="宋体"/>
              </w:rPr>
              <w:t>2.20</w:t>
            </w:r>
          </w:p>
        </w:tc>
        <w:tc>
          <w:tcPr>
            <w:tcW w:w="609" w:type="pct"/>
            <w:vAlign w:val="center"/>
          </w:tcPr>
          <w:p>
            <w:pPr>
              <w:jc w:val="center"/>
              <w:rPr>
                <w:rFonts w:ascii="Times New Roman" w:hAnsi="Times New Roman" w:eastAsia="宋体"/>
              </w:rPr>
            </w:pPr>
            <w:r>
              <w:rPr>
                <w:rFonts w:ascii="Times New Roman" w:hAnsi="Times New Roman" w:eastAsia="宋体"/>
              </w:rPr>
              <w:t>未知</w:t>
            </w:r>
          </w:p>
        </w:tc>
      </w:tr>
    </w:tbl>
    <w:p/>
    <w:p/>
    <w:p/>
    <w:p>
      <w:pPr>
        <w:pStyle w:val="63"/>
        <w:numPr>
          <w:ilvl w:val="0"/>
          <w:numId w:val="17"/>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25739"/>
        <w:placeholder>
          <w:docPart w:val="GBC22222222222222222222222222222"/>
        </w:placeholder>
      </w:sdtPr>
      <w:sdtEndPr>
        <w:rPr>
          <w:rFonts w:hint="eastAsia"/>
        </w:rPr>
      </w:sdtEndPr>
      <w:sdtContent>
        <w:p>
          <w:r>
            <w:fldChar w:fldCharType="begin"/>
          </w:r>
          <w:r>
            <w:rPr>
              <w:lang w:val="en-US"/>
            </w:rPr>
            <w:instrText xml:space="preserve"> MACROBUTTON  SnrToggleCheckbox √适用  </w:instrText>
          </w:r>
          <w:r>
            <w:fldChar w:fldCharType="end"/>
          </w:r>
          <w:r>
            <w:fldChar w:fldCharType="begin"/>
          </w:r>
          <w:r>
            <w:rPr>
              <w:lang w:val="en-US"/>
            </w:rPr>
            <w:instrText xml:space="preserve"> MACROBUTTON  SnrToggleCheckbox □不适用 </w:instrText>
          </w:r>
          <w:r>
            <w:fldChar w:fldCharType="end"/>
          </w:r>
        </w:p>
      </w:sdtContent>
    </w:sdt>
    <w:p>
      <w:pPr>
        <w:jc w:val="right"/>
      </w:pPr>
      <w:r>
        <w:rPr>
          <w:rFonts w:hint="eastAsia"/>
        </w:rPr>
        <w:t>单位：</w:t>
      </w:r>
      <w:sdt>
        <w:sdtPr>
          <w:rPr>
            <w:rFonts w:hint="eastAsia"/>
          </w:rPr>
          <w:alias w:val="单位：化工行业按销售渠道划分的公司主营业务基本情况"/>
          <w:tag w:val="_GBC_b55d2ed214b94a66976be9e91a0cd4a6"/>
          <w:id w:val="257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257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1"/>
        <w:gridCol w:w="3358"/>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eastAsia="宋体"/>
            </w:rPr>
            <w:tag w:val="_PLD_96020b9101234d1f877b6d22bef1dfb5"/>
            <w:id w:val="10785"/>
          </w:sdtPr>
          <w:sdtEndPr>
            <w:rPr>
              <w:rFonts w:ascii="Times New Roman" w:hAnsi="Times New Roman" w:eastAsia="宋体"/>
            </w:rPr>
          </w:sdtEndPr>
          <w:sdtContent>
            <w:tc>
              <w:tcPr>
                <w:tcW w:w="1382" w:type="pct"/>
                <w:vAlign w:val="center"/>
              </w:tcPr>
              <w:p>
                <w:pPr>
                  <w:jc w:val="center"/>
                  <w:rPr>
                    <w:rFonts w:ascii="Times New Roman" w:hAnsi="Times New Roman" w:eastAsia="宋体"/>
                  </w:rPr>
                </w:pPr>
                <w:r>
                  <w:rPr>
                    <w:rFonts w:hint="eastAsia" w:ascii="Times New Roman" w:hAnsi="Times New Roman" w:eastAsia="宋体"/>
                  </w:rPr>
                  <w:t>销售渠道</w:t>
                </w:r>
              </w:p>
            </w:tc>
          </w:sdtContent>
        </w:sdt>
        <w:sdt>
          <w:sdtPr>
            <w:rPr>
              <w:rFonts w:ascii="Times New Roman" w:hAnsi="Times New Roman" w:eastAsia="宋体"/>
            </w:rPr>
            <w:tag w:val="_PLD_c5223761afbb454484956a14c082eb3b"/>
            <w:id w:val="10786"/>
          </w:sdtPr>
          <w:sdtEndPr>
            <w:rPr>
              <w:rFonts w:ascii="Times New Roman" w:hAnsi="Times New Roman" w:eastAsia="宋体"/>
            </w:rPr>
          </w:sdtEndPr>
          <w:sdtContent>
            <w:tc>
              <w:tcPr>
                <w:tcW w:w="1855" w:type="pct"/>
                <w:vAlign w:val="center"/>
              </w:tcPr>
              <w:p>
                <w:pPr>
                  <w:jc w:val="center"/>
                  <w:rPr>
                    <w:rFonts w:ascii="Times New Roman" w:hAnsi="Times New Roman" w:eastAsia="宋体"/>
                  </w:rPr>
                </w:pPr>
                <w:r>
                  <w:rPr>
                    <w:rFonts w:hint="eastAsia" w:ascii="Times New Roman" w:hAnsi="Times New Roman" w:eastAsia="宋体"/>
                  </w:rPr>
                  <w:t>营业收入</w:t>
                </w:r>
              </w:p>
            </w:tc>
          </w:sdtContent>
        </w:sdt>
        <w:sdt>
          <w:sdtPr>
            <w:rPr>
              <w:rFonts w:ascii="Times New Roman" w:hAnsi="Times New Roman" w:eastAsia="宋体"/>
            </w:rPr>
            <w:tag w:val="_PLD_6745044c50044d6980b33fbfdce87b4c"/>
            <w:id w:val="10787"/>
          </w:sdtPr>
          <w:sdtEndPr>
            <w:rPr>
              <w:rFonts w:ascii="Times New Roman" w:hAnsi="Times New Roman" w:eastAsia="宋体"/>
            </w:rPr>
          </w:sdtEndPr>
          <w:sdtContent>
            <w:tc>
              <w:tcPr>
                <w:tcW w:w="1762" w:type="pct"/>
                <w:vAlign w:val="center"/>
              </w:tcPr>
              <w:p>
                <w:pPr>
                  <w:jc w:val="center"/>
                  <w:rPr>
                    <w:rFonts w:ascii="Times New Roman" w:hAnsi="Times New Roman" w:eastAsia="宋体"/>
                  </w:rPr>
                </w:pPr>
                <w:r>
                  <w:rPr>
                    <w:rFonts w:hint="eastAsia" w:ascii="Times New Roman" w:hAnsi="Times New Roman" w:eastAsia="宋体"/>
                  </w:rPr>
                  <w:t>营业收入比上年增减（%）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vAlign w:val="center"/>
          </w:tcPr>
          <w:p>
            <w:pPr>
              <w:rPr>
                <w:rFonts w:ascii="Times New Roman" w:hAnsi="Times New Roman" w:eastAsia="宋体"/>
              </w:rPr>
            </w:pPr>
            <w:r>
              <w:rPr>
                <w:rFonts w:ascii="Times New Roman" w:hAnsi="Times New Roman" w:eastAsia="宋体"/>
              </w:rPr>
              <w:t>线上</w:t>
            </w:r>
          </w:p>
        </w:tc>
        <w:tc>
          <w:tcPr>
            <w:tcW w:w="1855" w:type="pct"/>
            <w:vAlign w:val="center"/>
          </w:tcPr>
          <w:p>
            <w:pPr>
              <w:jc w:val="right"/>
              <w:rPr>
                <w:rFonts w:ascii="Times New Roman" w:hAnsi="Times New Roman" w:eastAsia="宋体"/>
              </w:rPr>
            </w:pPr>
            <w:r>
              <w:rPr>
                <w:rFonts w:ascii="Times New Roman" w:hAnsi="Times New Roman" w:eastAsia="宋体"/>
              </w:rPr>
              <w:t> 46,169,413.35 </w:t>
            </w:r>
          </w:p>
        </w:tc>
        <w:tc>
          <w:tcPr>
            <w:tcW w:w="1762" w:type="pct"/>
            <w:vAlign w:val="center"/>
          </w:tcPr>
          <w:p>
            <w:pPr>
              <w:jc w:val="right"/>
              <w:rPr>
                <w:rFonts w:ascii="Times New Roman" w:hAnsi="Times New Roman" w:eastAsia="宋体"/>
              </w:rPr>
            </w:pPr>
            <w:r>
              <w:rPr>
                <w:rFonts w:ascii="Times New Roman" w:hAnsi="Times New Roman" w:eastAsia="宋体"/>
              </w:rPr>
              <w:t>63.35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vAlign w:val="center"/>
          </w:tcPr>
          <w:p>
            <w:pPr>
              <w:rPr>
                <w:rFonts w:ascii="Times New Roman" w:hAnsi="Times New Roman" w:eastAsia="宋体"/>
              </w:rPr>
            </w:pPr>
            <w:r>
              <w:rPr>
                <w:rFonts w:ascii="Times New Roman" w:hAnsi="Times New Roman" w:eastAsia="宋体"/>
              </w:rPr>
              <w:t>线下</w:t>
            </w:r>
          </w:p>
        </w:tc>
        <w:tc>
          <w:tcPr>
            <w:tcW w:w="1855" w:type="pct"/>
            <w:vAlign w:val="center"/>
          </w:tcPr>
          <w:p>
            <w:pPr>
              <w:jc w:val="right"/>
              <w:rPr>
                <w:rFonts w:ascii="Times New Roman" w:hAnsi="Times New Roman" w:eastAsia="宋体"/>
              </w:rPr>
            </w:pPr>
            <w:r>
              <w:rPr>
                <w:rFonts w:ascii="Times New Roman" w:hAnsi="Times New Roman" w:eastAsia="宋体"/>
              </w:rPr>
              <w:t> 937,924,393.26 </w:t>
            </w:r>
          </w:p>
        </w:tc>
        <w:tc>
          <w:tcPr>
            <w:tcW w:w="1762" w:type="pct"/>
            <w:vAlign w:val="center"/>
          </w:tcPr>
          <w:p>
            <w:pPr>
              <w:jc w:val="right"/>
              <w:rPr>
                <w:rFonts w:ascii="Times New Roman" w:hAnsi="Times New Roman" w:eastAsia="宋体"/>
              </w:rPr>
            </w:pPr>
            <w:r>
              <w:rPr>
                <w:rFonts w:ascii="Times New Roman" w:hAnsi="Times New Roman" w:eastAsia="宋体"/>
              </w:rPr>
              <w:t>48.29</w:t>
            </w:r>
          </w:p>
        </w:tc>
      </w:tr>
    </w:tbl>
    <w:p/>
    <w:p/>
    <w:p>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25745"/>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63"/>
        <w:numPr>
          <w:ilvl w:val="0"/>
          <w:numId w:val="13"/>
        </w:numPr>
        <w:spacing w:before="60" w:after="60"/>
        <w:ind w:firstLineChars="0"/>
        <w:outlineLvl w:val="4"/>
        <w:rPr>
          <w:b/>
        </w:rPr>
      </w:pPr>
      <w:r>
        <w:rPr>
          <w:rFonts w:hint="eastAsia"/>
          <w:b/>
        </w:rPr>
        <w:t>环保与安全情况</w:t>
      </w:r>
    </w:p>
    <w:p>
      <w:pPr>
        <w:pStyle w:val="63"/>
        <w:numPr>
          <w:ilvl w:val="0"/>
          <w:numId w:val="18"/>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25746"/>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b/>
        </w:rPr>
      </w:pPr>
    </w:p>
    <w:p>
      <w:pPr>
        <w:pStyle w:val="63"/>
        <w:numPr>
          <w:ilvl w:val="0"/>
          <w:numId w:val="18"/>
        </w:numPr>
        <w:ind w:firstLineChars="0"/>
        <w:outlineLvl w:val="5"/>
        <w:rPr>
          <w:b/>
          <w:bCs/>
          <w:szCs w:val="21"/>
        </w:rPr>
      </w:pPr>
      <w:r>
        <w:rPr>
          <w:rFonts w:hint="eastAsia"/>
          <w:b/>
          <w:bCs/>
          <w:szCs w:val="21"/>
        </w:rPr>
        <w:t>重大环保违规情况</w:t>
      </w:r>
    </w:p>
    <w:sdt>
      <w:sdtPr>
        <w:rPr>
          <w:rFonts w:hint="eastAsia"/>
        </w:rPr>
        <w:alias w:val="是否适用：环保与安全其他情况说明[双击切换]"/>
        <w:tag w:val="_GBC_7fbc6bc0b93a42f69883dde3c701c014"/>
        <w:id w:val="25747"/>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rPr>
          <w:szCs w:val="21"/>
        </w:rPr>
      </w:pPr>
    </w:p>
    <w:p>
      <w:bookmarkStart w:id="45" w:name="_Hlk41835872"/>
      <w:bookmarkEnd w:id="45"/>
      <w:bookmarkStart w:id="46" w:name="_Hlk41836274"/>
      <w:bookmarkEnd w:id="46"/>
      <w:bookmarkStart w:id="47" w:name="_Hlk41835841"/>
      <w:bookmarkEnd w:id="47"/>
    </w:p>
    <w:p>
      <w:pPr>
        <w:pStyle w:val="87"/>
      </w:pPr>
    </w:p>
    <w:p>
      <w:pPr>
        <w:pStyle w:val="104"/>
        <w:snapToGrid w:val="0"/>
        <w:spacing w:before="60" w:after="60"/>
        <w:ind w:firstLine="0" w:firstLineChars="0"/>
        <w:sectPr>
          <w:pgSz w:w="11906" w:h="16838"/>
          <w:pgMar w:top="1525" w:right="1276" w:bottom="1440" w:left="1797" w:header="855" w:footer="992" w:gutter="0"/>
          <w:cols w:space="425" w:num="1"/>
          <w:docGrid w:linePitch="312" w:charSpace="0"/>
        </w:sectPr>
      </w:pPr>
      <w:bookmarkStart w:id="48" w:name="_Hlk533435074"/>
      <w:bookmarkEnd w:id="48"/>
      <w:bookmarkStart w:id="49" w:name="_Hlk533666837"/>
      <w:bookmarkEnd w:id="49"/>
      <w:bookmarkStart w:id="50" w:name="_Hlk533667031"/>
      <w:bookmarkEnd w:id="50"/>
      <w:bookmarkStart w:id="51" w:name="_Hlk533433706"/>
      <w:bookmarkEnd w:id="51"/>
      <w:bookmarkStart w:id="52" w:name="_Hlk533436182"/>
      <w:bookmarkEnd w:id="52"/>
      <w:bookmarkStart w:id="53" w:name="_Hlk533434947"/>
      <w:bookmarkEnd w:id="53"/>
      <w:bookmarkStart w:id="54" w:name="_Hlk533435027"/>
      <w:bookmarkEnd w:id="54"/>
      <w:bookmarkStart w:id="55" w:name="_Hlk533435130"/>
      <w:bookmarkEnd w:id="55"/>
      <w:bookmarkStart w:id="56" w:name="_Hlk533435360"/>
      <w:bookmarkEnd w:id="56"/>
      <w:bookmarkStart w:id="57" w:name="_Hlk533666971"/>
      <w:bookmarkEnd w:id="57"/>
      <w:bookmarkStart w:id="58" w:name="_Hlk533435467"/>
      <w:bookmarkEnd w:id="58"/>
      <w:bookmarkStart w:id="59" w:name="_Hlk533435176"/>
      <w:bookmarkEnd w:id="59"/>
    </w:p>
    <w:p>
      <w:pPr>
        <w:pStyle w:val="4"/>
        <w:numPr>
          <w:ilvl w:val="0"/>
          <w:numId w:val="8"/>
        </w:numPr>
        <w:rPr>
          <w:szCs w:val="21"/>
        </w:rPr>
      </w:pPr>
      <w:r>
        <w:rPr>
          <w:rFonts w:hint="eastAsia"/>
          <w:szCs w:val="21"/>
        </w:rPr>
        <w:t>投资状况分析</w:t>
      </w:r>
    </w:p>
    <w:p>
      <w:pPr>
        <w:rPr>
          <w:b/>
          <w:bCs/>
        </w:rPr>
      </w:pPr>
      <w:r>
        <w:rPr>
          <w:b/>
          <w:bCs/>
        </w:rPr>
        <w:t>对外股权投资总体分析</w:t>
      </w:r>
    </w:p>
    <w:sdt>
      <w:sdtPr>
        <w:rPr>
          <w:szCs w:val="21"/>
        </w:rPr>
        <w:alias w:val="是否适用：对外股权投资总体分析[双击切换]"/>
        <w:tag w:val="_GBC_cfb706fadf2c47bbbaf1bf90c054ccaf"/>
        <w:id w:val="25748"/>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default" w:ascii="Times New Roman" w:hAnsi="Times New Roman" w:cs="Times New Roman"/>
          <w:szCs w:val="21"/>
        </w:rPr>
        <w:alias w:val="对外股权投资总体分析"/>
        <w:tag w:val="_GBC_fe6d59343f314ea694416d2e9d0fcf01"/>
        <w:id w:val="25749"/>
        <w:placeholder>
          <w:docPart w:val="GBC22222222222222222222222222222"/>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截至报告期末，公司合并报表长期股权投资金额为0元。</w:t>
          </w:r>
        </w:p>
        <w:p>
          <w:pPr>
            <w:keepNext w:val="0"/>
            <w:keepLines w:val="0"/>
            <w:pageBreakBefore w:val="0"/>
            <w:widowControl/>
            <w:kinsoku/>
            <w:wordWrap/>
            <w:overflowPunct/>
            <w:topLinePunct w:val="0"/>
            <w:autoSpaceDE/>
            <w:autoSpaceDN/>
            <w:bidi w:val="0"/>
            <w:adjustRightInd/>
            <w:snapToGrid/>
            <w:spacing w:line="400" w:lineRule="atLeast"/>
            <w:ind w:firstLine="420" w:firstLineChars="200"/>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截至报告期末，母公司报表长期股权投资余额为160,894,417.59元，其中包括对五家子公司的投资：两面针（江苏）实业有限公司、广西两面针亿康药业股份有限公司、安徽两面针</w:t>
          </w:r>
          <w:r>
            <w:rPr>
              <w:rFonts w:hint="default" w:ascii="Times New Roman" w:hAnsi="Times New Roman" w:cs="Times New Roman"/>
              <w:szCs w:val="21"/>
            </w:rPr>
            <w:t>•芳草日化有限公司</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柳州两面针进出口贸易有限公司、柳州惠好卫生用品有限公司。</w:t>
          </w:r>
        </w:p>
        <w:p>
          <w:pPr>
            <w:rPr>
              <w:szCs w:val="21"/>
            </w:rPr>
          </w:pPr>
        </w:p>
      </w:sdtContent>
    </w:sdt>
    <w:p>
      <w:pPr>
        <w:pStyle w:val="5"/>
        <w:numPr>
          <w:ilvl w:val="0"/>
          <w:numId w:val="19"/>
        </w:numPr>
      </w:pPr>
      <w:r>
        <w:rPr>
          <w:rFonts w:hint="eastAsia"/>
        </w:rPr>
        <w:t>重大的股权投资</w:t>
      </w:r>
    </w:p>
    <w:sdt>
      <w:sdtPr>
        <w:rPr>
          <w:rFonts w:hint="eastAsia"/>
        </w:rPr>
        <w:alias w:val="是否适用：重大的股权投资[双击切换]"/>
        <w:tag w:val="_GBC_b20506918d854c13b13a3b89dd84c7d3"/>
        <w:id w:val="25750"/>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5"/>
        <w:numPr>
          <w:ilvl w:val="0"/>
          <w:numId w:val="19"/>
        </w:numPr>
        <w:rPr>
          <w:rFonts w:ascii="宋体" w:hAnsi="宋体" w:cs="宋体"/>
          <w:kern w:val="0"/>
        </w:rPr>
      </w:pPr>
      <w:r>
        <w:rPr>
          <w:rFonts w:hint="eastAsia" w:ascii="宋体" w:hAnsi="宋体" w:cs="宋体"/>
          <w:kern w:val="0"/>
        </w:rPr>
        <w:t>重大的非股权投资</w:t>
      </w:r>
    </w:p>
    <w:sdt>
      <w:sdtPr>
        <w:rPr>
          <w:rFonts w:hint="eastAsia"/>
        </w:rPr>
        <w:alias w:val="是否适用：重大的非股权投资[双击切换]"/>
        <w:tag w:val="_GBC_fbd46075a5b9414d9e28cd2404e5d47c"/>
        <w:id w:val="25751"/>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5"/>
        <w:numPr>
          <w:ilvl w:val="0"/>
          <w:numId w:val="19"/>
        </w:numPr>
        <w:rPr>
          <w:rFonts w:ascii="宋体" w:hAnsi="宋体" w:cs="宋体"/>
          <w:kern w:val="0"/>
        </w:rPr>
      </w:pPr>
      <w:bookmarkStart w:id="60" w:name="_Hlk40532846"/>
      <w:r>
        <w:rPr>
          <w:rFonts w:hint="eastAsia" w:ascii="宋体" w:hAnsi="宋体" w:cs="宋体"/>
          <w:kern w:val="0"/>
        </w:rPr>
        <w:t>以公允价值计量的金融资产</w:t>
      </w:r>
    </w:p>
    <w:sdt>
      <w:sdtPr>
        <w:rPr>
          <w:rFonts w:hint="eastAsia"/>
          <w:szCs w:val="21"/>
        </w:rPr>
        <w:alias w:val="是否适用：以公允价值计量的金融资产[双击切换]"/>
        <w:tag w:val="_GBC_27fa42d1c8fd489d9e8648bed00ddd53"/>
        <w:id w:val="2575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104"/>
        <w:wordWrap w:val="0"/>
        <w:ind w:left="360" w:firstLine="0" w:firstLineChars="0"/>
        <w:jc w:val="right"/>
      </w:pPr>
      <w:r>
        <w:rPr>
          <w:rFonts w:hint="eastAsia"/>
        </w:rPr>
        <w:t>单位：</w:t>
      </w:r>
      <w:sdt>
        <w:sdtPr>
          <w:rPr>
            <w:rFonts w:hint="eastAsia"/>
          </w:rPr>
          <w:alias w:val="单位：以公允价值计量的金融资产"/>
          <w:tag w:val="_GBC_b2e3ce23c85c488ab3fa1ba1294ef546"/>
          <w:id w:val="2575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以公允价值计量的金融资产"/>
          <w:tag w:val="_GBC_77ed3303d22c48dc98ae781142db662c"/>
          <w:id w:val="25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686"/>
        <w:gridCol w:w="1551"/>
        <w:gridCol w:w="1493"/>
        <w:gridCol w:w="1492"/>
        <w:gridCol w:w="1493"/>
        <w:gridCol w:w="1492"/>
        <w:gridCol w:w="1493"/>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cs="Times New Roman"/>
              <w:kern w:val="2"/>
              <w:szCs w:val="22"/>
            </w:rPr>
            <w:tag w:val="_PLD_0c54b9fd583d4e649fc12d33a6f94086"/>
            <w:id w:val="25755"/>
          </w:sdtPr>
          <w:sdtEndPr>
            <w:rPr>
              <w:rFonts w:hint="eastAsia" w:cs="Times New Roman"/>
              <w:kern w:val="2"/>
              <w:szCs w:val="22"/>
            </w:rPr>
          </w:sdtEndPr>
          <w:sdtContent>
            <w:tc>
              <w:tcPr>
                <w:tcW w:w="1492" w:type="dxa"/>
                <w:shd w:val="clear" w:color="auto" w:fill="auto"/>
                <w:vAlign w:val="center"/>
              </w:tcPr>
              <w:p>
                <w:pPr>
                  <w:widowControl w:val="0"/>
                  <w:jc w:val="center"/>
                </w:pPr>
                <w:r>
                  <w:rPr>
                    <w:rFonts w:hint="eastAsia" w:cs="Times New Roman"/>
                    <w:kern w:val="2"/>
                    <w:szCs w:val="22"/>
                  </w:rPr>
                  <w:t>资产类别</w:t>
                </w:r>
              </w:p>
            </w:tc>
          </w:sdtContent>
        </w:sdt>
        <w:sdt>
          <w:sdtPr>
            <w:rPr>
              <w:rFonts w:hint="eastAsia"/>
            </w:rPr>
            <w:tag w:val="_PLD_4b84ad0ddc154021b1b8d9a6bffa6c39"/>
            <w:id w:val="25756"/>
          </w:sdtPr>
          <w:sdtEndPr>
            <w:rPr>
              <w:rFonts w:hint="eastAsia"/>
            </w:rPr>
          </w:sdtEndPr>
          <w:sdtContent>
            <w:tc>
              <w:tcPr>
                <w:tcW w:w="1686" w:type="dxa"/>
                <w:shd w:val="clear" w:color="auto" w:fill="auto"/>
                <w:vAlign w:val="center"/>
              </w:tcPr>
              <w:p>
                <w:pPr>
                  <w:widowControl w:val="0"/>
                  <w:jc w:val="center"/>
                </w:pPr>
                <w:r>
                  <w:rPr>
                    <w:rFonts w:hint="eastAsia"/>
                  </w:rPr>
                  <w:t>期初数</w:t>
                </w:r>
              </w:p>
            </w:tc>
          </w:sdtContent>
        </w:sdt>
        <w:sdt>
          <w:sdtPr>
            <w:rPr>
              <w:rFonts w:hint="eastAsia"/>
            </w:rPr>
            <w:tag w:val="_PLD_fa8919b699f843d2b03f2004a27810b6"/>
            <w:id w:val="25757"/>
          </w:sdtPr>
          <w:sdtEndPr>
            <w:rPr>
              <w:rFonts w:hint="eastAsia"/>
            </w:rPr>
          </w:sdtEndPr>
          <w:sdtContent>
            <w:tc>
              <w:tcPr>
                <w:tcW w:w="1551" w:type="dxa"/>
                <w:shd w:val="clear" w:color="auto" w:fill="auto"/>
                <w:vAlign w:val="center"/>
              </w:tcPr>
              <w:p>
                <w:pPr>
                  <w:widowControl w:val="0"/>
                  <w:jc w:val="center"/>
                  <w:rPr>
                    <w:b/>
                  </w:rPr>
                </w:pPr>
                <w:r>
                  <w:rPr>
                    <w:rFonts w:hint="eastAsia"/>
                  </w:rPr>
                  <w:t>本期公允价值变动损益</w:t>
                </w:r>
              </w:p>
            </w:tc>
          </w:sdtContent>
        </w:sdt>
        <w:sdt>
          <w:sdtPr>
            <w:rPr>
              <w:rFonts w:hint="eastAsia"/>
            </w:rPr>
            <w:tag w:val="_PLD_81fc9fd2b35c49e2bfd3b55b8724ae1d"/>
            <w:id w:val="25758"/>
          </w:sdtPr>
          <w:sdtEndPr>
            <w:rPr>
              <w:rFonts w:hint="eastAsia"/>
            </w:rPr>
          </w:sdtEndPr>
          <w:sdtContent>
            <w:tc>
              <w:tcPr>
                <w:tcW w:w="1493" w:type="dxa"/>
                <w:shd w:val="clear" w:color="auto" w:fill="auto"/>
                <w:vAlign w:val="center"/>
              </w:tcPr>
              <w:p>
                <w:pPr>
                  <w:widowControl w:val="0"/>
                  <w:jc w:val="center"/>
                </w:pPr>
                <w:r>
                  <w:rPr>
                    <w:rFonts w:hint="eastAsia"/>
                  </w:rPr>
                  <w:t>计入权益的累计公允价值变动</w:t>
                </w:r>
              </w:p>
            </w:tc>
          </w:sdtContent>
        </w:sdt>
        <w:sdt>
          <w:sdtPr>
            <w:rPr>
              <w:rFonts w:hint="eastAsia"/>
            </w:rPr>
            <w:tag w:val="_PLD_d6f12030ef654b5cad4265cc31977836"/>
            <w:id w:val="25759"/>
          </w:sdtPr>
          <w:sdtEndPr>
            <w:rPr>
              <w:rFonts w:hint="eastAsia"/>
            </w:rPr>
          </w:sdtEndPr>
          <w:sdtContent>
            <w:tc>
              <w:tcPr>
                <w:tcW w:w="1492" w:type="dxa"/>
                <w:shd w:val="clear" w:color="auto" w:fill="auto"/>
                <w:vAlign w:val="center"/>
              </w:tcPr>
              <w:p>
                <w:pPr>
                  <w:widowControl w:val="0"/>
                  <w:jc w:val="center"/>
                </w:pPr>
                <w:r>
                  <w:rPr>
                    <w:rFonts w:hint="eastAsia"/>
                  </w:rPr>
                  <w:t>本期计提的减值</w:t>
                </w:r>
              </w:p>
            </w:tc>
          </w:sdtContent>
        </w:sdt>
        <w:sdt>
          <w:sdtPr>
            <w:rPr>
              <w:rFonts w:hint="eastAsia"/>
            </w:rPr>
            <w:tag w:val="_PLD_8693ec76f7f14d898c4b16665659ded9"/>
            <w:id w:val="25760"/>
          </w:sdtPr>
          <w:sdtEndPr>
            <w:rPr>
              <w:rFonts w:hint="eastAsia"/>
            </w:rPr>
          </w:sdtEndPr>
          <w:sdtContent>
            <w:tc>
              <w:tcPr>
                <w:tcW w:w="1493" w:type="dxa"/>
                <w:shd w:val="clear" w:color="auto" w:fill="auto"/>
                <w:vAlign w:val="center"/>
              </w:tcPr>
              <w:p>
                <w:pPr>
                  <w:widowControl w:val="0"/>
                  <w:jc w:val="center"/>
                </w:pPr>
                <w:r>
                  <w:rPr>
                    <w:rFonts w:hint="eastAsia"/>
                  </w:rPr>
                  <w:t>本期购买金额</w:t>
                </w:r>
              </w:p>
            </w:tc>
          </w:sdtContent>
        </w:sdt>
        <w:sdt>
          <w:sdtPr>
            <w:rPr>
              <w:rFonts w:hint="eastAsia"/>
            </w:rPr>
            <w:tag w:val="_PLD_ba0671fda1cb4d8c8d3c1e5b16cc6e5a"/>
            <w:id w:val="25761"/>
          </w:sdtPr>
          <w:sdtEndPr>
            <w:rPr>
              <w:rFonts w:hint="eastAsia"/>
            </w:rPr>
          </w:sdtEndPr>
          <w:sdtContent>
            <w:tc>
              <w:tcPr>
                <w:tcW w:w="1492" w:type="dxa"/>
                <w:shd w:val="clear" w:color="auto" w:fill="auto"/>
                <w:vAlign w:val="center"/>
              </w:tcPr>
              <w:p>
                <w:pPr>
                  <w:widowControl w:val="0"/>
                  <w:jc w:val="center"/>
                </w:pPr>
                <w:r>
                  <w:rPr>
                    <w:rFonts w:hint="eastAsia"/>
                  </w:rPr>
                  <w:t>本期出售/赎回金额</w:t>
                </w:r>
              </w:p>
            </w:tc>
          </w:sdtContent>
        </w:sdt>
        <w:sdt>
          <w:sdtPr>
            <w:rPr>
              <w:rFonts w:hint="eastAsia"/>
            </w:rPr>
            <w:tag w:val="_PLD_50b7e7d4561f48f190f80d486d12a170"/>
            <w:id w:val="25762"/>
          </w:sdtPr>
          <w:sdtEndPr>
            <w:rPr>
              <w:rFonts w:hint="eastAsia"/>
            </w:rPr>
          </w:sdtEndPr>
          <w:sdtContent>
            <w:tc>
              <w:tcPr>
                <w:tcW w:w="1493" w:type="dxa"/>
                <w:shd w:val="clear" w:color="auto" w:fill="auto"/>
                <w:vAlign w:val="center"/>
              </w:tcPr>
              <w:p>
                <w:pPr>
                  <w:widowControl w:val="0"/>
                  <w:jc w:val="center"/>
                </w:pPr>
                <w:r>
                  <w:rPr>
                    <w:rFonts w:hint="eastAsia"/>
                  </w:rPr>
                  <w:t>其他变动</w:t>
                </w:r>
              </w:p>
            </w:tc>
          </w:sdtContent>
        </w:sdt>
        <w:sdt>
          <w:sdtPr>
            <w:rPr>
              <w:rFonts w:hint="eastAsia"/>
            </w:rPr>
            <w:tag w:val="_PLD_816d427a273240d9af67db4a5feee586"/>
            <w:id w:val="25763"/>
          </w:sdtPr>
          <w:sdtEndPr>
            <w:rPr>
              <w:rFonts w:hint="eastAsia"/>
            </w:rPr>
          </w:sdtEndPr>
          <w:sdtContent>
            <w:tc>
              <w:tcPr>
                <w:tcW w:w="1897" w:type="dxa"/>
                <w:shd w:val="clear" w:color="auto" w:fill="auto"/>
                <w:vAlign w:val="center"/>
              </w:tcPr>
              <w:p>
                <w:pPr>
                  <w:widowControl w:val="0"/>
                  <w:jc w:val="center"/>
                </w:pPr>
                <w:r>
                  <w:rPr>
                    <w:rFonts w:hint="eastAsia"/>
                  </w:rPr>
                  <w:t>期末数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alias w:val="以公允价值计量的金融资产情况明细_资产类别"/>
            <w:tag w:val="_GBC_cc72d7a8c8f74a64a251dbd2114ca4fe"/>
            <w:id w:val="25764"/>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492" w:type="dxa"/>
                <w:shd w:val="clear" w:color="auto" w:fill="auto"/>
                <w:vAlign w:val="center"/>
              </w:tcPr>
              <w:p>
                <w:pPr>
                  <w:widowControl w:val="0"/>
                  <w:jc w:val="center"/>
                </w:pPr>
                <w:r>
                  <w:rPr>
                    <w:rFonts w:ascii="宋体" w:hAnsi="宋体" w:eastAsia="宋体" w:cs="宋体"/>
                    <w:sz w:val="21"/>
                    <w:szCs w:val="24"/>
                    <w:lang w:val="en-US" w:eastAsia="zh-CN" w:bidi="ar-SA"/>
                  </w:rPr>
                  <w:t>股票</w:t>
                </w:r>
              </w:p>
            </w:tc>
          </w:sdtContent>
        </w:sdt>
        <w:tc>
          <w:tcPr>
            <w:tcW w:w="1686"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198,523,462.44</w:t>
            </w:r>
          </w:p>
        </w:tc>
        <w:tc>
          <w:tcPr>
            <w:tcW w:w="1551"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4,632,585.20</w:t>
            </w:r>
          </w:p>
        </w:tc>
        <w:tc>
          <w:tcPr>
            <w:tcW w:w="1493"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2"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3"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2"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3"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897"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203,156,047.64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2" w:type="dxa"/>
            <w:shd w:val="clear" w:color="auto" w:fill="auto"/>
          </w:tcPr>
          <w:p>
            <w:pPr>
              <w:widowControl w:val="0"/>
              <w:jc w:val="center"/>
            </w:pPr>
            <w:r>
              <w:t>合计</w:t>
            </w:r>
          </w:p>
        </w:tc>
        <w:tc>
          <w:tcPr>
            <w:tcW w:w="1686"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198,523,462.44</w:t>
            </w:r>
          </w:p>
        </w:tc>
        <w:tc>
          <w:tcPr>
            <w:tcW w:w="1551"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4,632,585.20</w:t>
            </w:r>
          </w:p>
        </w:tc>
        <w:tc>
          <w:tcPr>
            <w:tcW w:w="1493"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2"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3"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2"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93" w:type="dxa"/>
            <w:shd w:val="clear" w:color="auto" w:fill="auto"/>
            <w:vAlign w:val="center"/>
          </w:tcPr>
          <w:p>
            <w:pPr>
              <w:widowControl w:val="0"/>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897"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203,156,047.64</w:t>
            </w:r>
          </w:p>
        </w:tc>
      </w:tr>
    </w:tbl>
    <w:p/>
    <w:bookmarkEnd w:id="60"/>
    <w:p>
      <w:pPr>
        <w:rPr>
          <w:szCs w:val="21"/>
        </w:rPr>
      </w:pPr>
      <w:r>
        <w:rPr>
          <w:rFonts w:hint="eastAsia"/>
          <w:szCs w:val="21"/>
        </w:rPr>
        <w:t>证券投资情况</w:t>
      </w:r>
    </w:p>
    <w:sdt>
      <w:sdtPr>
        <w:rPr>
          <w:szCs w:val="21"/>
        </w:rPr>
        <w:alias w:val="是否适用：证券投资情况[双击切换]"/>
        <w:tag w:val="_GBC_7d04680e71454924aa49897089c6ec88"/>
        <w:id w:val="25765"/>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104"/>
        <w:wordWrap w:val="0"/>
        <w:ind w:left="360" w:firstLine="0" w:firstLineChars="0"/>
        <w:jc w:val="right"/>
      </w:pPr>
      <w:r>
        <w:rPr>
          <w:rFonts w:hint="eastAsia"/>
        </w:rPr>
        <w:t>单位：</w:t>
      </w:r>
      <w:sdt>
        <w:sdtPr>
          <w:rPr>
            <w:rFonts w:hint="eastAsia"/>
          </w:rPr>
          <w:alias w:val="单位：证券投资情况"/>
          <w:tag w:val="_GBC_9030571ec97a42438b5264832c2a5326"/>
          <w:id w:val="2576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证券投资情况"/>
          <w:tag w:val="_GBC_21a6e145782e410295a95d0cfa95a807"/>
          <w:id w:val="257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95"/>
        <w:gridCol w:w="996"/>
        <w:gridCol w:w="1377"/>
        <w:gridCol w:w="1009"/>
        <w:gridCol w:w="1377"/>
        <w:gridCol w:w="1361"/>
        <w:gridCol w:w="1271"/>
        <w:gridCol w:w="614"/>
        <w:gridCol w:w="654"/>
        <w:gridCol w:w="1418"/>
        <w:gridCol w:w="1364"/>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eastAsia="宋体" w:cs="Times New Roman"/>
              <w:sz w:val="18"/>
              <w:szCs w:val="18"/>
            </w:rPr>
            <w:tag w:val="_PLD_a2aca594a908499a93ab70468f6a23b7"/>
            <w:id w:val="3368"/>
          </w:sdtPr>
          <w:sdtEndPr>
            <w:rPr>
              <w:rFonts w:hint="default" w:ascii="Times New Roman" w:hAnsi="Times New Roman" w:eastAsia="宋体" w:cs="Times New Roman"/>
              <w:sz w:val="18"/>
              <w:szCs w:val="18"/>
            </w:rPr>
          </w:sdtEndPr>
          <w:sdtContent>
            <w:tc>
              <w:tcPr>
                <w:tcW w:w="221" w:type="pct"/>
                <w:shd w:val="clear" w:color="auto" w:fill="auto"/>
                <w:vAlign w:val="center"/>
              </w:tcPr>
              <w:p>
                <w:pPr>
                  <w:widowControl w:val="0"/>
                  <w:jc w:val="center"/>
                  <w:rPr>
                    <w:rFonts w:hint="default" w:ascii="Times New Roman" w:hAnsi="Times New Roman" w:eastAsia="宋体" w:cs="Times New Roman"/>
                    <w:sz w:val="18"/>
                    <w:szCs w:val="18"/>
                  </w:rPr>
                </w:pPr>
                <w:bookmarkStart w:id="61" w:name="_Hlk40533881"/>
                <w:r>
                  <w:rPr>
                    <w:rFonts w:hint="default" w:ascii="Times New Roman" w:hAnsi="Times New Roman" w:eastAsia="宋体" w:cs="Times New Roman"/>
                    <w:sz w:val="18"/>
                    <w:szCs w:val="18"/>
                  </w:rPr>
                  <w:t>证券品种</w:t>
                </w:r>
              </w:p>
            </w:tc>
          </w:sdtContent>
        </w:sdt>
        <w:sdt>
          <w:sdtPr>
            <w:rPr>
              <w:rFonts w:hint="default" w:ascii="Times New Roman" w:hAnsi="Times New Roman" w:eastAsia="宋体" w:cs="Times New Roman"/>
              <w:sz w:val="18"/>
              <w:szCs w:val="18"/>
            </w:rPr>
            <w:tag w:val="_PLD_2a8a447db28f48a89b3e24843ac8c0b0"/>
            <w:id w:val="3369"/>
          </w:sdtPr>
          <w:sdtEndPr>
            <w:rPr>
              <w:rFonts w:hint="default" w:ascii="Times New Roman" w:hAnsi="Times New Roman" w:eastAsia="宋体" w:cs="Times New Roman"/>
              <w:sz w:val="18"/>
              <w:szCs w:val="18"/>
            </w:rPr>
          </w:sdtEndPr>
          <w:sdtContent>
            <w:tc>
              <w:tcPr>
                <w:tcW w:w="353"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证券代码</w:t>
                </w:r>
              </w:p>
            </w:tc>
          </w:sdtContent>
        </w:sdt>
        <w:sdt>
          <w:sdtPr>
            <w:rPr>
              <w:rFonts w:hint="default" w:ascii="Times New Roman" w:hAnsi="Times New Roman" w:eastAsia="宋体" w:cs="Times New Roman"/>
              <w:sz w:val="18"/>
              <w:szCs w:val="18"/>
            </w:rPr>
            <w:tag w:val="_PLD_b4b2dd48041247c08674576b86c9470b"/>
            <w:id w:val="3370"/>
          </w:sdtPr>
          <w:sdtEndPr>
            <w:rPr>
              <w:rFonts w:hint="default" w:ascii="Times New Roman" w:hAnsi="Times New Roman" w:eastAsia="宋体" w:cs="Times New Roman"/>
              <w:sz w:val="18"/>
              <w:szCs w:val="18"/>
            </w:rPr>
          </w:sdtEndPr>
          <w:sdtContent>
            <w:tc>
              <w:tcPr>
                <w:tcW w:w="353" w:type="pct"/>
                <w:shd w:val="clear" w:color="auto" w:fill="auto"/>
                <w:vAlign w:val="center"/>
              </w:tcPr>
              <w:p>
                <w:pPr>
                  <w:widowControl w:val="0"/>
                  <w:tabs>
                    <w:tab w:val="left" w:pos="60"/>
                  </w:tabs>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证券简称</w:t>
                </w:r>
              </w:p>
            </w:tc>
          </w:sdtContent>
        </w:sdt>
        <w:sdt>
          <w:sdtPr>
            <w:rPr>
              <w:rFonts w:hint="default" w:ascii="Times New Roman" w:hAnsi="Times New Roman" w:eastAsia="宋体" w:cs="Times New Roman"/>
              <w:sz w:val="18"/>
              <w:szCs w:val="18"/>
            </w:rPr>
            <w:tag w:val="_PLD_3c80e02ab5694d799cfd3d5d2ac9c797"/>
            <w:id w:val="3371"/>
          </w:sdtPr>
          <w:sdtEndPr>
            <w:rPr>
              <w:rFonts w:hint="default" w:ascii="Times New Roman" w:hAnsi="Times New Roman" w:eastAsia="宋体" w:cs="Times New Roman"/>
              <w:sz w:val="18"/>
              <w:szCs w:val="18"/>
            </w:rPr>
          </w:sdtEndPr>
          <w:sdtContent>
            <w:tc>
              <w:tcPr>
                <w:tcW w:w="488"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最初投资成本</w:t>
                </w:r>
              </w:p>
            </w:tc>
          </w:sdtContent>
        </w:sdt>
        <w:sdt>
          <w:sdtPr>
            <w:rPr>
              <w:rFonts w:hint="default" w:ascii="Times New Roman" w:hAnsi="Times New Roman" w:eastAsia="宋体" w:cs="Times New Roman"/>
              <w:sz w:val="18"/>
              <w:szCs w:val="18"/>
            </w:rPr>
            <w:tag w:val="_PLD_873ecdbb8a3343d6b6fcaa48e4cf64dc"/>
            <w:id w:val="3372"/>
          </w:sdtPr>
          <w:sdtEndPr>
            <w:rPr>
              <w:rFonts w:hint="default" w:ascii="Times New Roman" w:hAnsi="Times New Roman" w:eastAsia="宋体" w:cs="Times New Roman"/>
              <w:sz w:val="18"/>
              <w:szCs w:val="18"/>
            </w:rPr>
          </w:sdtEndPr>
          <w:sdtContent>
            <w:tc>
              <w:tcPr>
                <w:tcW w:w="358"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资金来源</w:t>
                </w:r>
              </w:p>
            </w:tc>
          </w:sdtContent>
        </w:sdt>
        <w:sdt>
          <w:sdtPr>
            <w:rPr>
              <w:rFonts w:hint="default" w:ascii="Times New Roman" w:hAnsi="Times New Roman" w:eastAsia="宋体" w:cs="Times New Roman"/>
              <w:sz w:val="18"/>
              <w:szCs w:val="18"/>
            </w:rPr>
            <w:tag w:val="_PLD_b0de4dcfc59f4ead974d9d61a70ccc80"/>
            <w:id w:val="3373"/>
          </w:sdtPr>
          <w:sdtEndPr>
            <w:rPr>
              <w:rFonts w:hint="default" w:ascii="Times New Roman" w:hAnsi="Times New Roman" w:eastAsia="宋体" w:cs="Times New Roman"/>
              <w:sz w:val="18"/>
              <w:szCs w:val="18"/>
            </w:rPr>
          </w:sdtEndPr>
          <w:sdtContent>
            <w:tc>
              <w:tcPr>
                <w:tcW w:w="488"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期初账面价值</w:t>
                </w:r>
              </w:p>
            </w:tc>
          </w:sdtContent>
        </w:sdt>
        <w:sdt>
          <w:sdtPr>
            <w:rPr>
              <w:rFonts w:hint="default" w:ascii="Times New Roman" w:hAnsi="Times New Roman" w:eastAsia="宋体" w:cs="Times New Roman"/>
              <w:sz w:val="18"/>
              <w:szCs w:val="18"/>
            </w:rPr>
            <w:tag w:val="_PLD_ca5b1b460dec4af98a137b84d77794ce"/>
            <w:id w:val="3374"/>
          </w:sdtPr>
          <w:sdtEndPr>
            <w:rPr>
              <w:rFonts w:hint="default" w:ascii="Times New Roman" w:hAnsi="Times New Roman" w:eastAsia="宋体" w:cs="Times New Roman"/>
              <w:sz w:val="18"/>
              <w:szCs w:val="18"/>
            </w:rPr>
          </w:sdtEndPr>
          <w:sdtContent>
            <w:tc>
              <w:tcPr>
                <w:tcW w:w="483"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本期公允价值变动损益</w:t>
                </w:r>
              </w:p>
            </w:tc>
          </w:sdtContent>
        </w:sdt>
        <w:sdt>
          <w:sdtPr>
            <w:rPr>
              <w:rFonts w:hint="default" w:ascii="Times New Roman" w:hAnsi="Times New Roman" w:eastAsia="宋体" w:cs="Times New Roman"/>
              <w:sz w:val="18"/>
              <w:szCs w:val="18"/>
            </w:rPr>
            <w:tag w:val="_PLD_cf51b58b5b4641d797351424d3c1ceeb"/>
            <w:id w:val="3375"/>
          </w:sdtPr>
          <w:sdtEndPr>
            <w:rPr>
              <w:rFonts w:hint="default" w:ascii="Times New Roman" w:hAnsi="Times New Roman" w:eastAsia="宋体" w:cs="Times New Roman"/>
              <w:sz w:val="18"/>
              <w:szCs w:val="18"/>
            </w:rPr>
          </w:sdtEndPr>
          <w:sdtContent>
            <w:tc>
              <w:tcPr>
                <w:tcW w:w="451"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计入权益的累计公允价值变动</w:t>
                </w:r>
              </w:p>
            </w:tc>
          </w:sdtContent>
        </w:sdt>
        <w:sdt>
          <w:sdtPr>
            <w:rPr>
              <w:rFonts w:hint="default" w:ascii="Times New Roman" w:hAnsi="Times New Roman" w:eastAsia="宋体" w:cs="Times New Roman"/>
              <w:sz w:val="18"/>
              <w:szCs w:val="18"/>
            </w:rPr>
            <w:tag w:val="_PLD_fa8acb6152da45658a6e5987a179057d"/>
            <w:id w:val="3376"/>
          </w:sdtPr>
          <w:sdtEndPr>
            <w:rPr>
              <w:rFonts w:hint="default" w:ascii="Times New Roman" w:hAnsi="Times New Roman" w:eastAsia="宋体" w:cs="Times New Roman"/>
              <w:sz w:val="18"/>
              <w:szCs w:val="18"/>
            </w:rPr>
          </w:sdtEndPr>
          <w:sdtContent>
            <w:tc>
              <w:tcPr>
                <w:tcW w:w="217"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本期购买金额</w:t>
                </w:r>
              </w:p>
            </w:tc>
          </w:sdtContent>
        </w:sdt>
        <w:sdt>
          <w:sdtPr>
            <w:rPr>
              <w:rFonts w:hint="default" w:ascii="Times New Roman" w:hAnsi="Times New Roman" w:eastAsia="宋体" w:cs="Times New Roman"/>
              <w:sz w:val="18"/>
              <w:szCs w:val="18"/>
            </w:rPr>
            <w:tag w:val="_PLD_6e2790d24c5846da999681b434e6731d"/>
            <w:id w:val="3377"/>
          </w:sdtPr>
          <w:sdtEndPr>
            <w:rPr>
              <w:rFonts w:hint="default" w:ascii="Times New Roman" w:hAnsi="Times New Roman" w:eastAsia="宋体" w:cs="Times New Roman"/>
              <w:sz w:val="18"/>
              <w:szCs w:val="18"/>
            </w:rPr>
          </w:sdtEndPr>
          <w:sdtContent>
            <w:tc>
              <w:tcPr>
                <w:tcW w:w="232"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本期出售金额</w:t>
                </w:r>
              </w:p>
            </w:tc>
          </w:sdtContent>
        </w:sdt>
        <w:sdt>
          <w:sdtPr>
            <w:rPr>
              <w:rFonts w:hint="default" w:ascii="Times New Roman" w:hAnsi="Times New Roman" w:eastAsia="宋体" w:cs="Times New Roman"/>
              <w:sz w:val="18"/>
              <w:szCs w:val="18"/>
            </w:rPr>
            <w:tag w:val="_PLD_b053cb2d8ab44a05be4e28df1b11bd04"/>
            <w:id w:val="3378"/>
          </w:sdtPr>
          <w:sdtEndPr>
            <w:rPr>
              <w:rFonts w:hint="default" w:ascii="Times New Roman" w:hAnsi="Times New Roman" w:eastAsia="宋体" w:cs="Times New Roman"/>
              <w:sz w:val="18"/>
              <w:szCs w:val="18"/>
            </w:rPr>
          </w:sdtEndPr>
          <w:sdtContent>
            <w:tc>
              <w:tcPr>
                <w:tcW w:w="503"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本期投资损益</w:t>
                </w:r>
              </w:p>
            </w:tc>
          </w:sdtContent>
        </w:sdt>
        <w:sdt>
          <w:sdtPr>
            <w:rPr>
              <w:rFonts w:hint="default" w:ascii="Times New Roman" w:hAnsi="Times New Roman" w:eastAsia="宋体" w:cs="Times New Roman"/>
              <w:sz w:val="18"/>
              <w:szCs w:val="18"/>
            </w:rPr>
            <w:tag w:val="_PLD_dc3183c5ec5e48d491b77e65bd093780"/>
            <w:id w:val="3379"/>
          </w:sdtPr>
          <w:sdtEndPr>
            <w:rPr>
              <w:rFonts w:hint="default" w:ascii="Times New Roman" w:hAnsi="Times New Roman" w:eastAsia="宋体" w:cs="Times New Roman"/>
              <w:sz w:val="18"/>
              <w:szCs w:val="18"/>
            </w:rPr>
          </w:sdtEndPr>
          <w:sdtContent>
            <w:tc>
              <w:tcPr>
                <w:tcW w:w="484"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期末账面价值</w:t>
                </w:r>
              </w:p>
            </w:tc>
          </w:sdtContent>
        </w:sdt>
        <w:sdt>
          <w:sdtPr>
            <w:rPr>
              <w:rFonts w:hint="default" w:ascii="Times New Roman" w:hAnsi="Times New Roman" w:eastAsia="宋体" w:cs="Times New Roman"/>
              <w:sz w:val="18"/>
              <w:szCs w:val="18"/>
            </w:rPr>
            <w:tag w:val="_PLD_953da3c8a977443ba41ba5b33c46abac"/>
            <w:id w:val="3380"/>
          </w:sdtPr>
          <w:sdtEndPr>
            <w:rPr>
              <w:rFonts w:hint="default" w:ascii="Times New Roman" w:hAnsi="Times New Roman" w:eastAsia="宋体" w:cs="Times New Roman"/>
              <w:sz w:val="18"/>
              <w:szCs w:val="18"/>
            </w:rPr>
          </w:sdtEndPr>
          <w:sdtContent>
            <w:tc>
              <w:tcPr>
                <w:tcW w:w="365"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会计核算科目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eastAsia="宋体" w:cs="Times New Roman"/>
              <w:sz w:val="18"/>
              <w:szCs w:val="18"/>
            </w:rPr>
            <w:alias w:val="上市公司证券投资情况明细－证券品种"/>
            <w:tag w:val="_GBC_5869f90e2f4241cba6edaadfa74944d0"/>
            <w:id w:val="338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rPr>
              <w:rFonts w:hint="default" w:ascii="Times New Roman" w:hAnsi="Times New Roman" w:eastAsia="宋体" w:cs="Times New Roman"/>
              <w:sz w:val="18"/>
              <w:szCs w:val="18"/>
            </w:rPr>
          </w:sdtEndPr>
          <w:sdtContent>
            <w:tc>
              <w:tcPr>
                <w:tcW w:w="221"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bidi="ar-SA"/>
                  </w:rPr>
                  <w:t>股票</w:t>
                </w:r>
              </w:p>
            </w:tc>
          </w:sdtContent>
        </w:sdt>
        <w:tc>
          <w:tcPr>
            <w:tcW w:w="35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600030</w:t>
            </w:r>
          </w:p>
        </w:tc>
        <w:tc>
          <w:tcPr>
            <w:tcW w:w="35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中信证券</w:t>
            </w:r>
          </w:p>
        </w:tc>
        <w:tc>
          <w:tcPr>
            <w:tcW w:w="488" w:type="pct"/>
            <w:shd w:val="clear" w:color="auto" w:fill="auto"/>
            <w:vAlign w:val="center"/>
          </w:tcPr>
          <w:p>
            <w:pPr>
              <w:widowControl w:val="0"/>
              <w:jc w:val="right"/>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44,732,230.56</w:t>
            </w:r>
          </w:p>
        </w:tc>
        <w:tc>
          <w:tcPr>
            <w:tcW w:w="358"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自有资金</w:t>
            </w:r>
          </w:p>
        </w:tc>
        <w:tc>
          <w:tcPr>
            <w:tcW w:w="488"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198,279,110.70</w:t>
            </w:r>
          </w:p>
        </w:tc>
        <w:tc>
          <w:tcPr>
            <w:tcW w:w="48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rPr>
              <w:t>4,581,034.20</w:t>
            </w:r>
          </w:p>
        </w:tc>
        <w:tc>
          <w:tcPr>
            <w:tcW w:w="451" w:type="pct"/>
            <w:shd w:val="clear" w:color="auto" w:fill="auto"/>
            <w:vAlign w:val="center"/>
          </w:tcPr>
          <w:p>
            <w:pPr>
              <w:widowControl w:val="0"/>
              <w:jc w:val="right"/>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217"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232"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50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4,879,797.30</w:t>
            </w:r>
          </w:p>
        </w:tc>
        <w:tc>
          <w:tcPr>
            <w:tcW w:w="484"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202,860,144.90</w:t>
            </w:r>
          </w:p>
        </w:tc>
        <w:tc>
          <w:tcPr>
            <w:tcW w:w="365"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交易性金融资产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eastAsia="宋体" w:cs="Times New Roman"/>
              <w:sz w:val="18"/>
              <w:szCs w:val="18"/>
            </w:rPr>
            <w:alias w:val="上市公司证券投资情况明细－证券品种"/>
            <w:tag w:val="_GBC_5869f90e2f4241cba6edaadfa74944d0"/>
            <w:id w:val="338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rPr>
              <w:rFonts w:hint="default" w:ascii="Times New Roman" w:hAnsi="Times New Roman" w:eastAsia="宋体" w:cs="Times New Roman"/>
              <w:sz w:val="18"/>
              <w:szCs w:val="18"/>
            </w:rPr>
          </w:sdtEndPr>
          <w:sdtContent>
            <w:tc>
              <w:tcPr>
                <w:tcW w:w="221" w:type="pct"/>
                <w:shd w:val="clear" w:color="auto" w:fill="auto"/>
                <w:vAlign w:val="center"/>
              </w:tcPr>
              <w:p>
                <w:pPr>
                  <w:widowControl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bidi="ar-SA"/>
                  </w:rPr>
                  <w:t>股票</w:t>
                </w:r>
              </w:p>
            </w:tc>
          </w:sdtContent>
        </w:sdt>
        <w:tc>
          <w:tcPr>
            <w:tcW w:w="35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601328</w:t>
            </w:r>
          </w:p>
        </w:tc>
        <w:tc>
          <w:tcPr>
            <w:tcW w:w="35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交通银行</w:t>
            </w:r>
          </w:p>
        </w:tc>
        <w:tc>
          <w:tcPr>
            <w:tcW w:w="488"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67,508.50</w:t>
            </w:r>
          </w:p>
        </w:tc>
        <w:tc>
          <w:tcPr>
            <w:tcW w:w="358"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自有资金</w:t>
            </w:r>
          </w:p>
        </w:tc>
        <w:tc>
          <w:tcPr>
            <w:tcW w:w="488"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244,351.74</w:t>
            </w:r>
          </w:p>
        </w:tc>
        <w:tc>
          <w:tcPr>
            <w:tcW w:w="48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rPr>
              <w:t>51,551.00</w:t>
            </w:r>
          </w:p>
        </w:tc>
        <w:tc>
          <w:tcPr>
            <w:tcW w:w="451" w:type="pct"/>
            <w:shd w:val="clear" w:color="auto" w:fill="auto"/>
            <w:vAlign w:val="center"/>
          </w:tcPr>
          <w:p>
            <w:pPr>
              <w:widowControl w:val="0"/>
              <w:jc w:val="right"/>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217"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232"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50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19,228.52</w:t>
            </w:r>
          </w:p>
        </w:tc>
        <w:tc>
          <w:tcPr>
            <w:tcW w:w="484"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295,902.74</w:t>
            </w:r>
          </w:p>
        </w:tc>
        <w:tc>
          <w:tcPr>
            <w:tcW w:w="365"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交易性金融资产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合计</w:t>
            </w:r>
          </w:p>
        </w:tc>
        <w:tc>
          <w:tcPr>
            <w:tcW w:w="35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353"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88" w:type="pct"/>
            <w:shd w:val="clear" w:color="auto" w:fill="auto"/>
            <w:vAlign w:val="center"/>
          </w:tcPr>
          <w:p>
            <w:pPr>
              <w:widowControl w:val="0"/>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44,799,739.06</w:t>
            </w:r>
          </w:p>
        </w:tc>
        <w:tc>
          <w:tcPr>
            <w:tcW w:w="358"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88" w:type="pct"/>
            <w:shd w:val="clear" w:color="auto" w:fill="auto"/>
            <w:vAlign w:val="center"/>
          </w:tcPr>
          <w:p>
            <w:pPr>
              <w:widowControl w:val="0"/>
              <w:jc w:val="right"/>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198,523,462.44</w:t>
            </w:r>
          </w:p>
        </w:tc>
        <w:tc>
          <w:tcPr>
            <w:tcW w:w="483"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eastAsia="zh-CN"/>
              </w:rPr>
              <w:t>4,632,585.20</w:t>
            </w:r>
          </w:p>
        </w:tc>
        <w:tc>
          <w:tcPr>
            <w:tcW w:w="451" w:type="pct"/>
            <w:shd w:val="clear" w:color="auto" w:fill="auto"/>
            <w:vAlign w:val="center"/>
          </w:tcPr>
          <w:p>
            <w:pPr>
              <w:widowControl w:val="0"/>
              <w:jc w:val="right"/>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217" w:type="pct"/>
            <w:shd w:val="clear" w:color="auto" w:fill="auto"/>
            <w:vAlign w:val="center"/>
          </w:tcPr>
          <w:p>
            <w:pPr>
              <w:widowControl w:val="0"/>
              <w:jc w:val="right"/>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232" w:type="pct"/>
            <w:shd w:val="clear" w:color="auto" w:fill="auto"/>
            <w:vAlign w:val="center"/>
          </w:tcPr>
          <w:p>
            <w:pPr>
              <w:widowControl w:val="0"/>
              <w:jc w:val="right"/>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1418"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4,899,025.82 </w:t>
            </w:r>
          </w:p>
        </w:tc>
        <w:tc>
          <w:tcPr>
            <w:tcW w:w="136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203,156,047.64 </w:t>
            </w:r>
          </w:p>
        </w:tc>
        <w:tc>
          <w:tcPr>
            <w:tcW w:w="365" w:type="pct"/>
            <w:shd w:val="clear" w:color="auto" w:fill="auto"/>
            <w:vAlign w:val="center"/>
          </w:tcPr>
          <w:p>
            <w:pPr>
              <w:widowControl w:val="0"/>
              <w:jc w:val="righ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bl>
    <w:p/>
    <w:p>
      <w:pPr>
        <w:rPr>
          <w:szCs w:val="21"/>
        </w:rPr>
      </w:pPr>
      <w:r>
        <w:rPr>
          <w:rFonts w:ascii="Times New Roman" w:cs="Times New Roman"/>
          <w:szCs w:val="21"/>
        </w:rPr>
        <w:t>说明：</w:t>
      </w:r>
      <w:r>
        <w:rPr>
          <w:rFonts w:ascii="Times New Roman" w:hAnsi="Times New Roman" w:cs="Times New Roman"/>
          <w:szCs w:val="21"/>
        </w:rPr>
        <w:t>公司202</w:t>
      </w:r>
      <w:r>
        <w:rPr>
          <w:rFonts w:hint="eastAsia" w:ascii="Times New Roman" w:hAnsi="Times New Roman" w:cs="Times New Roman"/>
          <w:szCs w:val="21"/>
          <w:lang w:val="en-US" w:eastAsia="zh-CN"/>
        </w:rPr>
        <w:t>3</w:t>
      </w:r>
      <w:r>
        <w:rPr>
          <w:rFonts w:ascii="Times New Roman" w:hAnsi="Times New Roman" w:cs="Times New Roman"/>
          <w:szCs w:val="21"/>
        </w:rPr>
        <w:t>年收到中信证券202</w:t>
      </w:r>
      <w:r>
        <w:rPr>
          <w:rFonts w:hint="eastAsia" w:ascii="Times New Roman" w:hAnsi="Times New Roman" w:cs="Times New Roman"/>
          <w:szCs w:val="21"/>
          <w:lang w:val="en-US" w:eastAsia="zh-CN"/>
        </w:rPr>
        <w:t>2</w:t>
      </w:r>
      <w:r>
        <w:rPr>
          <w:rFonts w:ascii="Times New Roman" w:hAnsi="Times New Roman" w:cs="Times New Roman"/>
          <w:szCs w:val="21"/>
        </w:rPr>
        <w:t>年度分红</w:t>
      </w:r>
      <w:r>
        <w:rPr>
          <w:rFonts w:hint="eastAsia" w:ascii="Times New Roman" w:hAnsi="Times New Roman" w:cs="Times New Roman"/>
          <w:color w:val="000000"/>
          <w:szCs w:val="21"/>
          <w:lang w:val="en-US" w:eastAsia="zh-CN"/>
        </w:rPr>
        <w:t>483.08</w:t>
      </w:r>
      <w:r>
        <w:rPr>
          <w:rFonts w:ascii="Times New Roman" w:hAnsi="Times New Roman" w:cs="Times New Roman"/>
          <w:szCs w:val="21"/>
        </w:rPr>
        <w:t>万元</w:t>
      </w:r>
      <w:r>
        <w:rPr>
          <w:rFonts w:hint="eastAsia"/>
          <w:szCs w:val="21"/>
        </w:rPr>
        <w:t>,</w:t>
      </w:r>
      <w:r>
        <w:rPr>
          <w:rFonts w:ascii="Times New Roman" w:hAnsi="Times New Roman" w:cs="Times New Roman"/>
          <w:szCs w:val="21"/>
        </w:rPr>
        <w:t>交通银行202</w:t>
      </w:r>
      <w:r>
        <w:rPr>
          <w:rFonts w:hint="eastAsia" w:ascii="Times New Roman" w:hAnsi="Times New Roman" w:cs="Times New Roman"/>
          <w:szCs w:val="21"/>
          <w:lang w:val="en-US" w:eastAsia="zh-CN"/>
        </w:rPr>
        <w:t>2</w:t>
      </w:r>
      <w:r>
        <w:rPr>
          <w:rFonts w:ascii="Times New Roman" w:hAnsi="Times New Roman" w:cs="Times New Roman"/>
          <w:szCs w:val="21"/>
        </w:rPr>
        <w:t>年度分红</w:t>
      </w:r>
      <w:r>
        <w:rPr>
          <w:rFonts w:hint="eastAsia" w:ascii="Times New Roman" w:hAnsi="Times New Roman" w:cs="Times New Roman"/>
          <w:szCs w:val="21"/>
          <w:lang w:val="en-US" w:eastAsia="zh-CN"/>
        </w:rPr>
        <w:t>1.92</w:t>
      </w:r>
      <w:r>
        <w:rPr>
          <w:rFonts w:hint="eastAsia" w:ascii="Times New Roman" w:hAnsi="Times New Roman" w:cs="Times New Roman"/>
          <w:szCs w:val="21"/>
        </w:rPr>
        <w:t>万</w:t>
      </w:r>
      <w:r>
        <w:rPr>
          <w:rFonts w:ascii="Times New Roman" w:hAnsi="Times New Roman" w:cs="Times New Roman"/>
          <w:szCs w:val="21"/>
        </w:rPr>
        <w:t>元。</w:t>
      </w:r>
    </w:p>
    <w:p>
      <w:pPr>
        <w:rPr>
          <w:rFonts w:hint="eastAsia"/>
          <w:szCs w:val="21"/>
        </w:rPr>
      </w:pPr>
    </w:p>
    <w:p>
      <w:pPr>
        <w:rPr>
          <w:szCs w:val="21"/>
        </w:rPr>
      </w:pPr>
      <w:r>
        <w:rPr>
          <w:rFonts w:hint="eastAsia"/>
          <w:szCs w:val="21"/>
        </w:rPr>
        <w:t>持有非上市金融企业股权情况</w:t>
      </w:r>
    </w:p>
    <w:tbl>
      <w:tblPr>
        <w:tblStyle w:val="124"/>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5"/>
        <w:gridCol w:w="1935"/>
        <w:gridCol w:w="1965"/>
        <w:gridCol w:w="1095"/>
        <w:gridCol w:w="2070"/>
        <w:gridCol w:w="1755"/>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6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所持对象名称</w:t>
            </w:r>
          </w:p>
        </w:tc>
        <w:tc>
          <w:tcPr>
            <w:tcW w:w="19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最初投资金额（元）</w:t>
            </w:r>
          </w:p>
        </w:tc>
        <w:tc>
          <w:tcPr>
            <w:tcW w:w="19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持有数量（股）</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highlight w:val="none"/>
              </w:rPr>
            </w:pPr>
            <w:r>
              <w:rPr>
                <w:rFonts w:ascii="Times New Roman" w:cs="Times New Roman"/>
                <w:szCs w:val="21"/>
                <w:highlight w:val="none"/>
              </w:rPr>
              <w:t>占该公司股权比例</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期末账面价值（元）</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报告期损益（元）</w:t>
            </w:r>
          </w:p>
        </w:tc>
        <w:tc>
          <w:tcPr>
            <w:tcW w:w="25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会计核算科目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685" w:type="dxa"/>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szCs w:val="21"/>
              </w:rPr>
              <w:t>柳州银行股份有限公司</w:t>
            </w:r>
          </w:p>
        </w:tc>
        <w:tc>
          <w:tcPr>
            <w:tcW w:w="1935"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lang w:val="en-US" w:eastAsia="zh-CN"/>
              </w:rPr>
            </w:pPr>
            <w:r>
              <w:rPr>
                <w:rFonts w:ascii="Times New Roman" w:hAnsi="Times New Roman" w:cs="Times New Roman"/>
                <w:szCs w:val="21"/>
              </w:rPr>
              <w:t>35,000,000</w:t>
            </w:r>
            <w:r>
              <w:rPr>
                <w:rFonts w:hint="eastAsia" w:ascii="Times New Roman" w:hAnsi="Times New Roman" w:cs="Times New Roman"/>
                <w:szCs w:val="21"/>
                <w:lang w:val="en-US" w:eastAsia="zh-CN"/>
              </w:rPr>
              <w:t>.00</w:t>
            </w:r>
          </w:p>
        </w:tc>
        <w:tc>
          <w:tcPr>
            <w:tcW w:w="196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kern w:val="2"/>
                <w:szCs w:val="21"/>
              </w:rPr>
              <w:t>20,000,000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highlight w:val="none"/>
              </w:rPr>
            </w:pPr>
            <w:r>
              <w:rPr>
                <w:rFonts w:ascii="Times New Roman" w:hAnsi="Times New Roman" w:cs="Times New Roman"/>
                <w:szCs w:val="21"/>
                <w:highlight w:val="none"/>
              </w:rPr>
              <w:t>0.44</w:t>
            </w:r>
            <w:r>
              <w:rPr>
                <w:rFonts w:cs="Times New Roman"/>
                <w:szCs w:val="21"/>
                <w:highlight w:val="none"/>
              </w:rPr>
              <w:t>%</w:t>
            </w:r>
          </w:p>
        </w:tc>
        <w:tc>
          <w:tcPr>
            <w:tcW w:w="207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35,000,000.00</w:t>
            </w:r>
          </w:p>
        </w:tc>
        <w:tc>
          <w:tcPr>
            <w:tcW w:w="17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800,000.00 </w:t>
            </w:r>
          </w:p>
        </w:tc>
        <w:tc>
          <w:tcPr>
            <w:tcW w:w="25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2685" w:type="dxa"/>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szCs w:val="21"/>
              </w:rPr>
              <w:t>广西北部湾银行股份有限公司</w:t>
            </w:r>
          </w:p>
        </w:tc>
        <w:tc>
          <w:tcPr>
            <w:tcW w:w="1935"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lang w:val="en-US" w:eastAsia="zh-CN"/>
              </w:rPr>
            </w:pPr>
            <w:r>
              <w:rPr>
                <w:rFonts w:ascii="Times New Roman" w:hAnsi="Times New Roman" w:cs="Times New Roman"/>
                <w:szCs w:val="21"/>
              </w:rPr>
              <w:t>257,200,000</w:t>
            </w:r>
            <w:r>
              <w:rPr>
                <w:rFonts w:hint="eastAsia" w:ascii="Times New Roman" w:hAnsi="Times New Roman" w:cs="Times New Roman"/>
                <w:szCs w:val="21"/>
                <w:lang w:val="en-US" w:eastAsia="zh-CN"/>
              </w:rPr>
              <w:t>.00</w:t>
            </w:r>
          </w:p>
        </w:tc>
        <w:tc>
          <w:tcPr>
            <w:tcW w:w="196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kern w:val="2"/>
                <w:szCs w:val="21"/>
              </w:rPr>
              <w:t>154,000,000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w:t>
            </w:r>
            <w:r>
              <w:rPr>
                <w:rFonts w:ascii="Times New Roman" w:hAnsi="Times New Roman" w:cs="Times New Roman"/>
                <w:szCs w:val="21"/>
                <w:highlight w:val="none"/>
              </w:rPr>
              <w:t>.</w:t>
            </w:r>
            <w:r>
              <w:rPr>
                <w:rFonts w:hint="eastAsia" w:ascii="Times New Roman" w:hAnsi="Times New Roman" w:cs="Times New Roman"/>
                <w:szCs w:val="21"/>
                <w:highlight w:val="none"/>
                <w:lang w:val="en-US" w:eastAsia="zh-CN"/>
              </w:rPr>
              <w:t>54</w:t>
            </w:r>
            <w:r>
              <w:rPr>
                <w:rFonts w:cs="Times New Roman"/>
                <w:szCs w:val="21"/>
                <w:highlight w:val="none"/>
              </w:rPr>
              <w:t>%</w:t>
            </w:r>
          </w:p>
        </w:tc>
        <w:tc>
          <w:tcPr>
            <w:tcW w:w="207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257,200,000.00</w:t>
            </w:r>
          </w:p>
        </w:tc>
        <w:tc>
          <w:tcPr>
            <w:tcW w:w="17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15,400,000.00 </w:t>
            </w:r>
          </w:p>
        </w:tc>
        <w:tc>
          <w:tcPr>
            <w:tcW w:w="25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其他权益工具投资</w:t>
            </w:r>
          </w:p>
        </w:tc>
      </w:tr>
    </w:tbl>
    <w:p>
      <w:pPr>
        <w:rPr>
          <w:szCs w:val="21"/>
        </w:rPr>
      </w:pPr>
      <w:r>
        <w:rPr>
          <w:rFonts w:hint="eastAsia"/>
          <w:szCs w:val="21"/>
        </w:rPr>
        <w:t>说明：公司</w:t>
      </w:r>
      <w:r>
        <w:rPr>
          <w:rFonts w:ascii="Times New Roman" w:hAnsi="Times New Roman" w:cs="Times New Roman"/>
          <w:szCs w:val="21"/>
        </w:rPr>
        <w:t>202</w:t>
      </w:r>
      <w:r>
        <w:rPr>
          <w:rFonts w:hint="eastAsia" w:ascii="Times New Roman" w:hAnsi="Times New Roman" w:cs="Times New Roman"/>
          <w:szCs w:val="21"/>
          <w:lang w:val="en-US" w:eastAsia="zh-CN"/>
        </w:rPr>
        <w:t>3</w:t>
      </w:r>
      <w:r>
        <w:rPr>
          <w:rFonts w:ascii="Times New Roman" w:hAnsi="Times New Roman" w:cs="Times New Roman"/>
          <w:szCs w:val="21"/>
        </w:rPr>
        <w:t>年收到广西北部湾银行股份有限公司202</w:t>
      </w:r>
      <w:r>
        <w:rPr>
          <w:rFonts w:hint="eastAsia" w:ascii="Times New Roman" w:hAnsi="Times New Roman" w:cs="Times New Roman"/>
          <w:szCs w:val="21"/>
          <w:lang w:val="en-US" w:eastAsia="zh-CN"/>
        </w:rPr>
        <w:t>2</w:t>
      </w:r>
      <w:r>
        <w:rPr>
          <w:rFonts w:ascii="Times New Roman" w:hAnsi="Times New Roman" w:cs="Times New Roman"/>
          <w:szCs w:val="21"/>
        </w:rPr>
        <w:t>年度分红</w:t>
      </w:r>
      <w:r>
        <w:rPr>
          <w:rFonts w:hint="eastAsia" w:ascii="Times New Roman" w:hAnsi="Times New Roman" w:cs="Times New Roman"/>
          <w:szCs w:val="21"/>
          <w:lang w:val="en-US" w:eastAsia="zh-CN"/>
        </w:rPr>
        <w:t>1,540</w:t>
      </w:r>
      <w:r>
        <w:rPr>
          <w:rFonts w:hint="eastAsia"/>
          <w:szCs w:val="21"/>
        </w:rPr>
        <w:t>万元</w:t>
      </w:r>
      <w:r>
        <w:rPr>
          <w:rFonts w:hint="eastAsia"/>
          <w:szCs w:val="21"/>
          <w:lang w:val="en-US" w:eastAsia="zh-CN"/>
        </w:rPr>
        <w:t>,收到柳州银</w:t>
      </w:r>
      <w:r>
        <w:rPr>
          <w:rFonts w:hint="default" w:ascii="Times New Roman" w:hAnsi="Times New Roman" w:cs="Times New Roman"/>
          <w:szCs w:val="21"/>
          <w:lang w:val="en-US" w:eastAsia="zh-CN"/>
        </w:rPr>
        <w:t>行2022</w:t>
      </w:r>
      <w:r>
        <w:rPr>
          <w:rFonts w:hint="eastAsia"/>
          <w:szCs w:val="21"/>
          <w:lang w:val="en-US" w:eastAsia="zh-CN"/>
        </w:rPr>
        <w:t>年度分红</w:t>
      </w:r>
      <w:r>
        <w:rPr>
          <w:rFonts w:hint="default" w:ascii="Times New Roman" w:hAnsi="Times New Roman" w:cs="Times New Roman"/>
          <w:szCs w:val="21"/>
          <w:lang w:val="en-US" w:eastAsia="zh-CN"/>
        </w:rPr>
        <w:t>80</w:t>
      </w:r>
      <w:r>
        <w:rPr>
          <w:rFonts w:hint="eastAsia"/>
          <w:szCs w:val="21"/>
          <w:lang w:val="en-US" w:eastAsia="zh-CN"/>
        </w:rPr>
        <w:t>万元</w:t>
      </w:r>
      <w:r>
        <w:rPr>
          <w:rFonts w:hint="eastAsia"/>
          <w:szCs w:val="21"/>
        </w:rPr>
        <w:t>。</w:t>
      </w:r>
    </w:p>
    <w:bookmarkEnd w:id="61"/>
    <w:p>
      <w:pPr>
        <w:rPr>
          <w:rFonts w:hint="eastAsia"/>
        </w:rPr>
      </w:pPr>
      <w:bookmarkStart w:id="62" w:name="_Hlk151135120"/>
    </w:p>
    <w:p>
      <w:r>
        <w:rPr>
          <w:rFonts w:hint="eastAsia"/>
        </w:rPr>
        <w:t>证券投资情况的说明</w:t>
      </w:r>
    </w:p>
    <w:sdt>
      <w:sdtPr>
        <w:alias w:val="证券投资情况的说明"/>
        <w:tag w:val="_GBC_f11696cd0149495f9212450c52793c47"/>
        <w:id w:val="25783"/>
        <w:placeholder>
          <w:docPart w:val="GBC22222222222222222222222222222"/>
        </w:placeholder>
      </w:sdtPr>
      <w:sdtContent>
        <w:p>
          <w:r>
            <w:rPr>
              <w:rFonts w:hint="eastAsia"/>
              <w:lang w:eastAsia="zh-CN"/>
            </w:rPr>
            <w:t>无</w:t>
          </w:r>
        </w:p>
      </w:sdtContent>
    </w:sdt>
    <w:p/>
    <w:bookmarkEnd w:id="62"/>
    <w:p>
      <w:pPr>
        <w:rPr>
          <w:szCs w:val="21"/>
        </w:rPr>
      </w:pPr>
      <w:bookmarkStart w:id="63" w:name="_Hlk40534809"/>
      <w:r>
        <w:rPr>
          <w:rFonts w:hint="eastAsia"/>
          <w:szCs w:val="21"/>
        </w:rPr>
        <w:t>私募基金投资情况</w:t>
      </w:r>
    </w:p>
    <w:sdt>
      <w:sdtPr>
        <w:rPr>
          <w:szCs w:val="21"/>
        </w:rPr>
        <w:alias w:val="是否适用：私募基金投资情况[双击切换]"/>
        <w:tag w:val="_GBC_6e916a873a4e4af3a90d6fc81d187ac8"/>
        <w:id w:val="2578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63"/>
    <w:p>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25785"/>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64" w:name="_Hlk155617745"/>
          <w:bookmarkStart w:id="65" w:name="_Hlk94111679"/>
        </w:p>
      </w:sdtContent>
    </w:sdt>
    <w:p>
      <w:pPr>
        <w:rPr>
          <w:szCs w:val="21"/>
        </w:rPr>
      </w:pPr>
    </w:p>
    <w:bookmarkEnd w:id="64"/>
    <w:p>
      <w:pPr>
        <w:rPr>
          <w:szCs w:val="21"/>
        </w:rPr>
      </w:pPr>
    </w:p>
    <w:p>
      <w:pPr>
        <w:rPr>
          <w:szCs w:val="21"/>
        </w:rPr>
      </w:pPr>
    </w:p>
    <w:p>
      <w:pPr>
        <w:rPr>
          <w:szCs w:val="21"/>
        </w:rPr>
      </w:pPr>
    </w:p>
    <w:p>
      <w:pPr>
        <w:rPr>
          <w:szCs w:val="21"/>
        </w:rPr>
        <w:sectPr>
          <w:pgSz w:w="16838" w:h="11906" w:orient="landscape"/>
          <w:pgMar w:top="1797" w:right="1525" w:bottom="1276" w:left="1440" w:header="855" w:footer="992" w:gutter="0"/>
          <w:cols w:space="425" w:num="1"/>
          <w:docGrid w:linePitch="312" w:charSpace="0"/>
        </w:sectPr>
      </w:pPr>
    </w:p>
    <w:p>
      <w:pPr>
        <w:pStyle w:val="5"/>
        <w:numPr>
          <w:ilvl w:val="0"/>
          <w:numId w:val="19"/>
        </w:numPr>
        <w:rPr>
          <w:rFonts w:ascii="宋体" w:hAnsi="宋体" w:cs="宋体"/>
          <w:kern w:val="0"/>
        </w:rPr>
      </w:pPr>
      <w:r>
        <w:rPr>
          <w:rFonts w:hint="eastAsia" w:ascii="宋体" w:hAnsi="宋体" w:cs="宋体"/>
          <w:kern w:val="0"/>
        </w:rPr>
        <w:t>报告期内重大资产重组整合的具体进展情况</w:t>
      </w:r>
    </w:p>
    <w:sdt>
      <w:sdtPr>
        <w:alias w:val="是否适用：报告期内重大资产重组整合的具体进展情况[双击切换]"/>
        <w:tag w:val="_GBC_c52695d1957b4fa89b0b7326da1f5a10"/>
        <w:id w:val="25786"/>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65"/>
    <w:p>
      <w:pPr>
        <w:pStyle w:val="4"/>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5787"/>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25788"/>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25789"/>
        <w:placeholder>
          <w:docPart w:val="GBC22222222222222222222222222222"/>
        </w:placeholder>
      </w:sdtPr>
      <w:sdtEndPr>
        <w:rPr>
          <w:rFonts w:hint="eastAsia"/>
          <w:szCs w:val="21"/>
        </w:rPr>
      </w:sdtEndPr>
      <w:sdtContent>
        <w:p>
          <w:pPr>
            <w:spacing w:line="400" w:lineRule="exact"/>
            <w:ind w:firstLine="420" w:firstLineChars="200"/>
          </w:pPr>
          <w:r>
            <w:rPr>
              <w:rFonts w:hint="eastAsia" w:ascii="Times New Roman" w:hAnsi="Times New Roman"/>
              <w:b/>
            </w:rPr>
            <w:t>1</w:t>
          </w:r>
          <w:r>
            <w:rPr>
              <w:rFonts w:hint="eastAsia"/>
              <w:b/>
            </w:rPr>
            <w:t>.基本情况</w:t>
          </w:r>
        </w:p>
        <w:p>
          <w:pPr>
            <w:spacing w:line="400" w:lineRule="exact"/>
            <w:ind w:firstLine="420" w:firstLineChars="200"/>
            <w:rPr>
              <w:rFonts w:ascii="Times New Roman" w:cs="Times New Roman"/>
              <w:szCs w:val="21"/>
            </w:rPr>
          </w:pPr>
          <w:r>
            <w:rPr>
              <w:rFonts w:hint="eastAsia"/>
              <w:szCs w:val="21"/>
            </w:rPr>
            <w:t>①两面针（江苏）实业有限公司，法定代表人：林钻煌；注册资本：</w:t>
          </w:r>
          <w:r>
            <w:rPr>
              <w:rFonts w:hint="eastAsia" w:ascii="Times New Roman" w:cs="Times New Roman"/>
              <w:szCs w:val="21"/>
            </w:rPr>
            <w:t>人民币</w:t>
          </w:r>
          <w:r>
            <w:rPr>
              <w:rFonts w:ascii="Times New Roman" w:hAnsi="Times New Roman" w:cs="Times New Roman"/>
              <w:szCs w:val="21"/>
            </w:rPr>
            <w:t>6,289.02</w:t>
          </w:r>
          <w:r>
            <w:rPr>
              <w:rFonts w:hint="eastAsia" w:ascii="Times New Roman" w:cs="Times New Roman"/>
              <w:szCs w:val="21"/>
            </w:rPr>
            <w:t>万元；注册地址：江苏省扬州市；经营范围：牙膏、洗发水、沐浴露、护发素、润肤露、香皂、洗手液、洗衣液、肥皂及合成洗涤剂、化妆品、香精、香料、口腔清洁用品、牙刷、头梳、鞋刷、宾馆酒店一次性用品、旅游用品、家用卫生品、日用化学品、包装用品、塑料制品、橡胶制品、日用杂品生产、销售；纸品加工、销售；拖鞋生产、销售；日用百货、五金交电、服装鞋帽、床上用品、化工产品及原料（除危险化学品等需许可项目）、纸及纸制品、金属材料、机械电子产品采购、销售；道路普通货物运输；自营和代理各类商品、技术服务、机械电子产品和技术的进出口业务（国家限定企业经营或禁止进出口的商品和技术除外）；预包装食品零售、批发。（经营范围不含工商登记前需许可项目，依法须经批准的项目，经相关部门批准后方可开展经营活动）。食品生产；食品经营；食品添加剂生产；食品添加剂销售；消毒剂生产（不含危险化学品）；消毒剂销售（不含危险化学品）；食品互联网销售；卫生用品和一次性使用医疗用品生产；卫生用品和一次性使用医疗用品销售；第二类医疗器械生产；家用纺织制成品制造；产业用纺织制成品制造；第一类医疗器械生产；非金属矿物制品制造；第一类医疗器械销售；第二类医疗器械销售；产业用纺织制成品销售。属于公司合并报表范围的控股子公司。</w:t>
          </w:r>
        </w:p>
        <w:p>
          <w:pPr>
            <w:spacing w:line="400" w:lineRule="exact"/>
            <w:ind w:firstLine="420" w:firstLineChars="200"/>
            <w:rPr>
              <w:rFonts w:ascii="Times New Roman" w:cs="Times New Roman"/>
              <w:szCs w:val="21"/>
            </w:rPr>
          </w:pPr>
          <w:r>
            <w:rPr>
              <w:rFonts w:hint="eastAsia" w:ascii="Times New Roman" w:cs="Times New Roman"/>
              <w:szCs w:val="21"/>
            </w:rPr>
            <w:t>②安徽两面针</w:t>
          </w:r>
          <w:r>
            <w:rPr>
              <w:rFonts w:ascii="Times New Roman" w:hAnsi="Times New Roman" w:cs="Times New Roman"/>
              <w:szCs w:val="21"/>
            </w:rPr>
            <w:t>•</w:t>
          </w:r>
          <w:r>
            <w:rPr>
              <w:rFonts w:hint="eastAsia" w:ascii="Times New Roman" w:cs="Times New Roman"/>
              <w:szCs w:val="21"/>
            </w:rPr>
            <w:t>芳草日化有限公司，法定代表人：林钻煌；注册资本：人民币</w:t>
          </w:r>
          <w:r>
            <w:rPr>
              <w:rFonts w:ascii="Times New Roman" w:hAnsi="Times New Roman" w:cs="Times New Roman"/>
              <w:szCs w:val="21"/>
            </w:rPr>
            <w:t>3,500</w:t>
          </w:r>
          <w:r>
            <w:rPr>
              <w:rFonts w:hint="eastAsia" w:ascii="Times New Roman" w:cs="Times New Roman"/>
              <w:szCs w:val="21"/>
            </w:rPr>
            <w:t>万元；注册地址：安徽省合肥市；</w:t>
          </w:r>
          <w:r>
            <w:rPr>
              <w:rFonts w:hint="eastAsia" w:ascii="Times New Roman" w:cs="Times New Roman"/>
              <w:szCs w:val="21"/>
              <w:highlight w:val="none"/>
            </w:rPr>
            <w:t>经营范围：许</w:t>
          </w:r>
          <w:r>
            <w:rPr>
              <w:rFonts w:hint="eastAsia" w:ascii="Times New Roman" w:cs="Times New Roman"/>
              <w:szCs w:val="21"/>
            </w:rPr>
            <w:t>可项目：化妆品生产；食品用洗涤剂生产；住宿服务；餐饮服务；食品销售；酒类经营（依法须经批准的项目，经相关部门批准后方可开展经营活动，具体经营项目以相关部门批准文件或许可证件为准）一般项目：化妆品批发；化妆品零售；日用化学产品制造；日用化学产品销售；日用杂品制造；日用杂品销售；母婴用品制造；母婴用品销售；食品用洗涤剂销售；日用品批发；日用品销售；纸制品制造；纸制品销售；个人卫生用品销售；日用百货销售；厨具卫具及日用杂品研发；技术服务、技术开发、技术咨询、技术交流、技术转让、技术推广；非居住房地产租赁；互联网销售（除销售需要许可的商品）；停车场服务；单位后勤管理服务；农副产品销售（除许可业务外，可自主依法经营法律法规非禁止或限制的项目）</w:t>
          </w:r>
          <w:r>
            <w:rPr>
              <w:rFonts w:ascii="Times New Roman" w:cs="Times New Roman"/>
              <w:szCs w:val="21"/>
            </w:rPr>
            <w:t>。</w:t>
          </w:r>
          <w:r>
            <w:rPr>
              <w:rFonts w:hint="eastAsia" w:ascii="Times New Roman" w:cs="Times New Roman"/>
              <w:szCs w:val="21"/>
            </w:rPr>
            <w:t>属于公司合并报表范围的控股子公司。</w:t>
          </w:r>
        </w:p>
        <w:p>
          <w:pPr>
            <w:spacing w:line="400" w:lineRule="exact"/>
            <w:ind w:firstLine="420" w:firstLineChars="200"/>
            <w:rPr>
              <w:rFonts w:ascii="Times New Roman" w:cs="Times New Roman"/>
              <w:szCs w:val="21"/>
            </w:rPr>
          </w:pPr>
          <w:r>
            <w:rPr>
              <w:rFonts w:hint="eastAsia" w:ascii="Times New Roman" w:cs="Times New Roman"/>
              <w:szCs w:val="21"/>
            </w:rPr>
            <w:t>③广西两面针亿康药业股份有限公司，法定代表人：龚慧泉；注册资本：人民币</w:t>
          </w:r>
          <w:r>
            <w:rPr>
              <w:rFonts w:ascii="Times New Roman" w:hAnsi="Times New Roman" w:cs="Times New Roman"/>
              <w:szCs w:val="21"/>
            </w:rPr>
            <w:t>9,100</w:t>
          </w:r>
          <w:r>
            <w:rPr>
              <w:rFonts w:hint="eastAsia" w:ascii="Times New Roman" w:cs="Times New Roman"/>
              <w:szCs w:val="21"/>
            </w:rPr>
            <w:t>万元；注册地址：广西柳州市；经营范围：一般项目:第一类医疗器械销售;化工产品（危险化学品除外）的生产销售;进出口贸易业务;牙膏（国家有专项规定除外）、发用化妆品、香皂、膏霜、香水类、牙刷、旅游用品、家用卫生用品、包装用品、日用化学品、洗涤用品的销售;许可项目:原料药、片剂、硬胶囊剂（含头孢菌素类）、颗粒剂（含头孢菌素类）、糖浆剂、口服溶液剂、软膏剂、乳膏剂（含激素类）、精神药品（第二类）的生产销售;食品经营（预包装食品、散装食品）（除依法须经批准的项目外,凭营业执照依法自主开展经营活动）。属于公司合并报表范围的控股子公司。</w:t>
          </w:r>
        </w:p>
        <w:p>
          <w:pPr>
            <w:spacing w:line="400" w:lineRule="exact"/>
            <w:ind w:firstLine="420" w:firstLineChars="200"/>
            <w:rPr>
              <w:rFonts w:ascii="Times New Roman" w:cs="Times New Roman"/>
              <w:szCs w:val="21"/>
            </w:rPr>
          </w:pPr>
          <w:r>
            <w:rPr>
              <w:rFonts w:hint="eastAsia" w:cs="Times New Roman"/>
              <w:szCs w:val="21"/>
            </w:rPr>
            <w:t>④</w:t>
          </w:r>
          <w:r>
            <w:rPr>
              <w:rFonts w:hint="eastAsia" w:ascii="Times New Roman" w:cs="Times New Roman"/>
              <w:szCs w:val="21"/>
            </w:rPr>
            <w:t>柳州两面针进出口贸易有限公司，法定代表人：杨玲；注册资本：人民币</w:t>
          </w:r>
          <w:r>
            <w:rPr>
              <w:rFonts w:ascii="Times New Roman" w:hAnsi="Times New Roman" w:cs="Times New Roman"/>
              <w:szCs w:val="21"/>
            </w:rPr>
            <w:t>500</w:t>
          </w:r>
          <w:r>
            <w:rPr>
              <w:rFonts w:hint="eastAsia" w:ascii="Times New Roman" w:cs="Times New Roman"/>
              <w:szCs w:val="21"/>
            </w:rPr>
            <w:t>万元；注册地址：广西柳州市；经营范围</w:t>
          </w:r>
          <w:r>
            <w:rPr>
              <w:rFonts w:hint="eastAsia"/>
              <w:szCs w:val="21"/>
            </w:rPr>
            <w:t>：一般项目：货物进出口；技术进出口；食品进出口；航空国际货物运输代理；陆路国际货物运输代理；国际货物运输代理；国内货物运输代理；海上国际货物运输代理；日用品销售；化工产品销售（不含许可类化工产品）；针纺织品销售；电子元器件与机电组件设备销售；家用电器销售；机械零件、零部件销售；建筑材料销售；有色金属合金销售；工艺美术品及礼仪用品销售（象牙及其制品除外）；日用杂品销售；第一类医疗器械销售；第二类医疗器械销售；食品互联网销售（仅销售预包装食品）；金属矿石销售；生物基材料销售；畜牧渔业饲料销售；鲜肉批发；五金产品批发；食品销售（仅销售预包装食品）（除依法须经批准的项目外，凭营业执照依法自主开展经营活动）许可项目：国际道路货物运输；公共航空运输；国际班轮运输；食品销售；第三类医疗器械经营（依法须经批准的项目，经相关部门批准后方可开展经营活动，具体经营项目以相关部门批准文件或许可证件为准</w:t>
          </w:r>
          <w:r>
            <w:rPr>
              <w:rFonts w:hint="eastAsia"/>
              <w:szCs w:val="21"/>
              <w:lang w:eastAsia="zh-CN"/>
            </w:rPr>
            <w:t>）</w:t>
          </w:r>
          <w:r>
            <w:rPr>
              <w:rFonts w:hint="eastAsia"/>
              <w:szCs w:val="21"/>
              <w:shd w:val="clear" w:color="auto" w:fill="FFFFFF"/>
            </w:rPr>
            <w:t>。</w:t>
          </w:r>
          <w:r>
            <w:rPr>
              <w:rFonts w:hint="eastAsia"/>
              <w:szCs w:val="21"/>
            </w:rPr>
            <w:t>属</w:t>
          </w:r>
          <w:r>
            <w:rPr>
              <w:rFonts w:hint="eastAsia" w:ascii="Times New Roman" w:cs="Times New Roman"/>
              <w:szCs w:val="21"/>
            </w:rPr>
            <w:t>于公司合并报表范围的控股子公司。</w:t>
          </w:r>
        </w:p>
        <w:p>
          <w:pPr>
            <w:spacing w:line="400" w:lineRule="exact"/>
            <w:ind w:firstLine="420" w:firstLineChars="200"/>
            <w:rPr>
              <w:rFonts w:hint="eastAsia" w:ascii="Times New Roman" w:cs="Times New Roman"/>
              <w:szCs w:val="21"/>
            </w:rPr>
          </w:pPr>
          <w:r>
            <w:rPr>
              <w:rFonts w:hint="eastAsia" w:cs="Times New Roman"/>
              <w:szCs w:val="21"/>
            </w:rPr>
            <w:t>⑤</w:t>
          </w:r>
          <w:r>
            <w:rPr>
              <w:rFonts w:hint="eastAsia" w:ascii="Times New Roman" w:cs="Times New Roman"/>
              <w:szCs w:val="21"/>
            </w:rPr>
            <w:t>柳州惠好卫生用品有限公司，法定代表人：叶建平；注册资本：</w:t>
          </w:r>
          <w:r>
            <w:rPr>
              <w:rFonts w:ascii="Times New Roman" w:hAnsi="Times New Roman" w:cs="Times New Roman"/>
              <w:szCs w:val="21"/>
            </w:rPr>
            <w:t>210</w:t>
          </w:r>
          <w:r>
            <w:rPr>
              <w:rFonts w:hint="eastAsia" w:ascii="Times New Roman" w:cs="Times New Roman"/>
              <w:szCs w:val="21"/>
            </w:rPr>
            <w:t>万美元；注册地址：广西柳州市；经营范围：</w:t>
          </w:r>
          <w:r>
            <w:rPr>
              <w:rFonts w:hint="eastAsia"/>
              <w:szCs w:val="21"/>
              <w:shd w:val="clear" w:color="auto" w:fill="FFFFFF"/>
            </w:rPr>
            <w:t>许可项目：卫生用品和一次性使用医疗用品生产。（依法须经批准的项目，经相关部门批准后方可开展经营活动，具体经营项目以相关部门批准文件或许可证件为准）一般项目：卫生用品和一次性使用医疗用品销售；个人卫生用品销售；知识产权服务（专利代理服务除外）。（除依法须经批准的项目外，凭营业执照依法自主开展经营活动）</w:t>
          </w:r>
          <w:r>
            <w:rPr>
              <w:rFonts w:hint="eastAsia"/>
              <w:szCs w:val="21"/>
            </w:rPr>
            <w:t>。</w:t>
          </w:r>
          <w:r>
            <w:rPr>
              <w:rFonts w:hint="eastAsia" w:ascii="Times New Roman" w:cs="Times New Roman"/>
              <w:szCs w:val="21"/>
            </w:rPr>
            <w:t>属于公司合并报表范围的控股子公司。</w:t>
          </w:r>
        </w:p>
        <w:p>
          <w:pPr>
            <w:spacing w:line="400" w:lineRule="exact"/>
            <w:ind w:firstLine="422" w:firstLineChars="200"/>
            <w:rPr>
              <w:rFonts w:hint="default" w:eastAsia="仿宋_GB2312"/>
              <w:b/>
              <w:bCs/>
              <w:lang w:val="en-US" w:eastAsia="zh-CN"/>
            </w:rPr>
          </w:pPr>
          <w:r>
            <w:rPr>
              <w:rFonts w:hint="eastAsia" w:ascii="Times New Roman" w:cs="Times New Roman"/>
              <w:b/>
              <w:bCs/>
              <w:szCs w:val="21"/>
              <w:lang w:val="en-US" w:eastAsia="zh-CN"/>
            </w:rPr>
            <w:t>2.报告期内经营业绩</w:t>
          </w:r>
        </w:p>
        <w:tbl>
          <w:tblPr>
            <w:tblStyle w:val="124"/>
            <w:tblpPr w:leftFromText="180" w:rightFromText="180" w:vertAnchor="text" w:horzAnchor="page" w:tblpX="972" w:tblpY="271"/>
            <w:tblOverlap w:val="never"/>
            <w:tblW w:w="10207" w:type="dxa"/>
            <w:tblInd w:w="0" w:type="dxa"/>
            <w:tblLayout w:type="autofit"/>
            <w:tblCellMar>
              <w:top w:w="0" w:type="dxa"/>
              <w:left w:w="108" w:type="dxa"/>
              <w:bottom w:w="0" w:type="dxa"/>
              <w:right w:w="108" w:type="dxa"/>
            </w:tblCellMar>
          </w:tblPr>
          <w:tblGrid>
            <w:gridCol w:w="1985"/>
            <w:gridCol w:w="864"/>
            <w:gridCol w:w="1156"/>
            <w:gridCol w:w="1529"/>
            <w:gridCol w:w="1701"/>
            <w:gridCol w:w="1424"/>
            <w:gridCol w:w="1548"/>
          </w:tblGrid>
          <w:tr>
            <w:tblPrEx>
              <w:tblCellMar>
                <w:top w:w="0" w:type="dxa"/>
                <w:left w:w="108" w:type="dxa"/>
                <w:bottom w:w="0" w:type="dxa"/>
                <w:right w:w="108" w:type="dxa"/>
              </w:tblCellMar>
            </w:tblPrEx>
            <w:trPr>
              <w:trHeight w:val="315" w:hRule="atLeast"/>
            </w:trPr>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公司名称</w:t>
                </w:r>
              </w:p>
            </w:tc>
            <w:tc>
              <w:tcPr>
                <w:tcW w:w="86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权益</w:t>
                </w:r>
              </w:p>
              <w:p>
                <w:pPr>
                  <w:jc w:val="center"/>
                  <w:rPr>
                    <w:rFonts w:ascii="Times New Roman" w:hAnsi="Times New Roman" w:cs="Times New Roman"/>
                    <w:szCs w:val="21"/>
                  </w:rPr>
                </w:pPr>
                <w:r>
                  <w:rPr>
                    <w:rFonts w:ascii="Times New Roman" w:hAnsi="Times New Roman" w:cs="Times New Roman"/>
                    <w:szCs w:val="21"/>
                  </w:rPr>
                  <w:t>比例</w:t>
                </w:r>
              </w:p>
            </w:tc>
            <w:tc>
              <w:tcPr>
                <w:tcW w:w="1156"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注册资本(万元)</w:t>
                </w:r>
              </w:p>
            </w:tc>
            <w:tc>
              <w:tcPr>
                <w:tcW w:w="152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总资产(元)</w:t>
                </w:r>
              </w:p>
            </w:tc>
            <w:tc>
              <w:tcPr>
                <w:tcW w:w="1701"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净资产</w:t>
                </w:r>
              </w:p>
            </w:tc>
            <w:tc>
              <w:tcPr>
                <w:tcW w:w="14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净利润(元)</w:t>
                </w:r>
              </w:p>
            </w:tc>
            <w:tc>
              <w:tcPr>
                <w:tcW w:w="1548"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营业收入</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hAnsi="Times New Roman" w:cs="Times New Roman"/>
                    <w:szCs w:val="21"/>
                  </w:rPr>
                  <w:t>两面针(江苏)实业有限公司</w:t>
                </w:r>
              </w:p>
            </w:tc>
            <w:tc>
              <w:tcPr>
                <w:tcW w:w="86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93.80</w:t>
                </w:r>
                <w:r>
                  <w:rPr>
                    <w:rFonts w:cs="Times New Roman"/>
                    <w:szCs w:val="21"/>
                  </w:rPr>
                  <w:t>%</w:t>
                </w:r>
              </w:p>
            </w:tc>
            <w:tc>
              <w:tcPr>
                <w:tcW w:w="1156"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RMB6,289</w:t>
                </w:r>
              </w:p>
            </w:tc>
            <w:tc>
              <w:tcPr>
                <w:tcW w:w="1529"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eastAsia="zh-CN"/>
                  </w:rPr>
                  <w:t>477,270,183.29</w:t>
                </w:r>
              </w:p>
            </w:tc>
            <w:tc>
              <w:tcPr>
                <w:tcW w:w="1701"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eastAsia="zh-CN"/>
                  </w:rPr>
                  <w:t>215,078,909.20</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17,788,013.47</w:t>
                </w:r>
              </w:p>
            </w:tc>
            <w:tc>
              <w:tcPr>
                <w:tcW w:w="1548"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695,628,350.45</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hAnsi="Times New Roman" w:cs="Times New Roman"/>
                    <w:szCs w:val="21"/>
                  </w:rPr>
                  <w:t>广西两面针亿康药业股份有限公司</w:t>
                </w:r>
              </w:p>
            </w:tc>
            <w:tc>
              <w:tcPr>
                <w:tcW w:w="86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90.10</w:t>
                </w:r>
                <w:r>
                  <w:rPr>
                    <w:rFonts w:cs="Times New Roman"/>
                    <w:szCs w:val="21"/>
                  </w:rPr>
                  <w:t>%</w:t>
                </w:r>
              </w:p>
            </w:tc>
            <w:tc>
              <w:tcPr>
                <w:tcW w:w="1156"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RMB9100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142,156,009.95</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91,720,819.06</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4,883,611.45</w:t>
                </w:r>
              </w:p>
            </w:tc>
            <w:tc>
              <w:tcPr>
                <w:tcW w:w="1548"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107,890,040.39</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hAnsi="Times New Roman" w:cs="Times New Roman"/>
                    <w:szCs w:val="21"/>
                  </w:rPr>
                  <w:t>安徽两面针•芳草日化有限公司</w:t>
                </w:r>
              </w:p>
            </w:tc>
            <w:tc>
              <w:tcPr>
                <w:tcW w:w="86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70</w:t>
                </w:r>
                <w:r>
                  <w:rPr>
                    <w:rFonts w:cs="Times New Roman"/>
                    <w:szCs w:val="21"/>
                  </w:rPr>
                  <w:t>%</w:t>
                </w:r>
              </w:p>
            </w:tc>
            <w:tc>
              <w:tcPr>
                <w:tcW w:w="1156"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RMB3,500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79,959,606.36</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-24,660,827.03</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890,000.80</w:t>
                </w:r>
              </w:p>
            </w:tc>
            <w:tc>
              <w:tcPr>
                <w:tcW w:w="1548"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36,210,900.00</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hAnsi="Times New Roman" w:cs="Times New Roman"/>
                    <w:szCs w:val="21"/>
                  </w:rPr>
                  <w:t>柳州两面针进出口贸易有限公司</w:t>
                </w:r>
              </w:p>
            </w:tc>
            <w:tc>
              <w:tcPr>
                <w:tcW w:w="86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51</w:t>
                </w:r>
                <w:r>
                  <w:rPr>
                    <w:rFonts w:cs="Times New Roman"/>
                    <w:szCs w:val="21"/>
                  </w:rPr>
                  <w:t>%</w:t>
                </w:r>
              </w:p>
            </w:tc>
            <w:tc>
              <w:tcPr>
                <w:tcW w:w="1156"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RMB500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16,833,606.49</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-6,516,618.06</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-26,225.96</w:t>
                </w:r>
              </w:p>
            </w:tc>
            <w:tc>
              <w:tcPr>
                <w:tcW w:w="1548"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12,217,827.87</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hAnsi="Times New Roman" w:cs="Times New Roman"/>
                    <w:szCs w:val="21"/>
                  </w:rPr>
                  <w:t>柳州惠好卫生用品有限公司</w:t>
                </w:r>
              </w:p>
            </w:tc>
            <w:tc>
              <w:tcPr>
                <w:tcW w:w="864"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75</w:t>
                </w:r>
                <w:r>
                  <w:rPr>
                    <w:rFonts w:cs="Times New Roman"/>
                    <w:szCs w:val="21"/>
                  </w:rPr>
                  <w:t>%</w:t>
                </w:r>
              </w:p>
            </w:tc>
            <w:tc>
              <w:tcPr>
                <w:tcW w:w="1156" w:type="dxa"/>
                <w:tcBorders>
                  <w:top w:val="nil"/>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USD210</w:t>
                </w:r>
              </w:p>
            </w:tc>
            <w:tc>
              <w:tcPr>
                <w:tcW w:w="1529"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86,849.89</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-58,588,652.64</w:t>
                </w:r>
              </w:p>
            </w:tc>
            <w:tc>
              <w:tcPr>
                <w:tcW w:w="1424" w:type="dxa"/>
                <w:tcBorders>
                  <w:top w:val="nil"/>
                  <w:left w:val="nil"/>
                  <w:bottom w:val="single" w:color="auto" w:sz="4" w:space="0"/>
                  <w:right w:val="single"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2,525.14</w:t>
                </w:r>
              </w:p>
            </w:tc>
            <w:tc>
              <w:tcPr>
                <w:tcW w:w="1548" w:type="dxa"/>
                <w:tcBorders>
                  <w:top w:val="nil"/>
                  <w:left w:val="nil"/>
                  <w:bottom w:val="single" w:color="auto" w:sz="4" w:space="0"/>
                  <w:right w:val="single" w:color="auto" w:sz="4" w:space="0"/>
                </w:tcBorders>
                <w:vAlign w:val="center"/>
              </w:tcPr>
              <w:p>
                <w:pPr>
                  <w:jc w:val="righ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w:t>
                </w:r>
              </w:p>
            </w:tc>
          </w:tr>
        </w:tbl>
        <w:p/>
        <w:p/>
        <w:p>
          <w:pPr>
            <w:spacing w:line="400" w:lineRule="exact"/>
            <w:rPr>
              <w:szCs w:val="21"/>
            </w:rPr>
          </w:pPr>
          <w:r>
            <w:rPr>
              <w:rFonts w:hint="eastAsia" w:ascii="Times New Roman" w:cs="Times New Roman"/>
              <w:szCs w:val="21"/>
            </w:rPr>
            <w:t>其他</w:t>
          </w:r>
          <w:r>
            <w:rPr>
              <w:rFonts w:ascii="Times New Roman" w:cs="Times New Roman"/>
              <w:szCs w:val="21"/>
            </w:rPr>
            <w:t>说明：本公司直接持有安徽两面针</w:t>
          </w:r>
          <w:r>
            <w:rPr>
              <w:rFonts w:ascii="Times New Roman" w:hAnsi="Times New Roman" w:cs="Times New Roman"/>
              <w:szCs w:val="21"/>
            </w:rPr>
            <w:t>·</w:t>
          </w:r>
          <w:r>
            <w:rPr>
              <w:rFonts w:ascii="Times New Roman" w:cs="Times New Roman"/>
              <w:szCs w:val="21"/>
            </w:rPr>
            <w:t>芳草日化有限公司</w:t>
          </w:r>
          <w:r>
            <w:rPr>
              <w:rFonts w:ascii="Times New Roman" w:hAnsi="Times New Roman" w:cs="Times New Roman"/>
              <w:szCs w:val="21"/>
            </w:rPr>
            <w:t>70</w:t>
          </w:r>
          <w:r>
            <w:rPr>
              <w:rFonts w:cs="Times New Roman"/>
              <w:szCs w:val="21"/>
            </w:rPr>
            <w:t>%</w:t>
          </w:r>
          <w:r>
            <w:rPr>
              <w:rFonts w:ascii="Times New Roman" w:cs="Times New Roman"/>
              <w:szCs w:val="21"/>
            </w:rPr>
            <w:t>的股权，通过控股子公司两面针（江苏）实业有限公司间接持股</w:t>
          </w:r>
          <w:r>
            <w:rPr>
              <w:rFonts w:ascii="Times New Roman" w:hAnsi="Times New Roman" w:cs="Times New Roman"/>
              <w:szCs w:val="21"/>
            </w:rPr>
            <w:t>15</w:t>
          </w:r>
          <w:r>
            <w:rPr>
              <w:rFonts w:cs="Times New Roman"/>
              <w:szCs w:val="21"/>
            </w:rPr>
            <w:t>%</w:t>
          </w:r>
          <w:r>
            <w:rPr>
              <w:rFonts w:ascii="Times New Roman" w:cs="Times New Roman"/>
              <w:szCs w:val="21"/>
            </w:rPr>
            <w:t>。</w:t>
          </w:r>
        </w:p>
        <w:p>
          <w:pPr>
            <w:rPr>
              <w:szCs w:val="21"/>
            </w:rPr>
          </w:pPr>
        </w:p>
      </w:sdtContent>
    </w:sdt>
    <w:p>
      <w:pPr>
        <w:rPr>
          <w:szCs w:val="21"/>
        </w:rPr>
      </w:pPr>
    </w:p>
    <w:p>
      <w:pPr>
        <w:pStyle w:val="4"/>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25790"/>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7"/>
        </w:numPr>
        <w:ind w:left="422" w:hanging="422" w:hangingChars="200"/>
      </w:pPr>
      <w:r>
        <w:rPr>
          <w:rFonts w:hint="eastAsia"/>
        </w:rPr>
        <w:t>公司</w:t>
      </w:r>
      <w:r>
        <w:t>关于公司未来发展的讨论与分析</w:t>
      </w:r>
    </w:p>
    <w:p>
      <w:pPr>
        <w:pStyle w:val="4"/>
        <w:numPr>
          <w:ilvl w:val="3"/>
          <w:numId w:val="20"/>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25791"/>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25792"/>
        <w:placeholder>
          <w:docPart w:val="GBC22222222222222222222222222222"/>
        </w:placeholder>
      </w:sdtPr>
      <w:sdtEndPr>
        <w:rPr>
          <w:rFonts w:hint="eastAsia" w:asci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cs="Times New Roman"/>
              <w:szCs w:val="21"/>
            </w:rPr>
          </w:pPr>
          <w:r>
            <w:rPr>
              <w:rFonts w:hint="eastAsia" w:ascii="Times New Roman" w:cs="Times New Roman"/>
              <w:szCs w:val="21"/>
            </w:rPr>
            <w:t>详见本报告“第三节 管理层讨论与分析”之“五、报告期内主要经营情况（四）行业经营性信息分析”的相关内容。</w:t>
          </w:r>
        </w:p>
      </w:sdtContent>
    </w:sdt>
    <w:p>
      <w:pPr>
        <w:rPr>
          <w:szCs w:val="21"/>
        </w:rPr>
      </w:pPr>
    </w:p>
    <w:p>
      <w:pPr>
        <w:pStyle w:val="4"/>
        <w:numPr>
          <w:ilvl w:val="3"/>
          <w:numId w:val="20"/>
        </w:numPr>
        <w:ind w:left="420" w:hangingChars="200"/>
        <w:rPr>
          <w:szCs w:val="21"/>
          <w:highlight w:val="none"/>
        </w:rPr>
      </w:pPr>
      <w:r>
        <w:rPr>
          <w:szCs w:val="21"/>
          <w:highlight w:val="none"/>
        </w:rPr>
        <w:t>公司发展战略</w:t>
      </w:r>
    </w:p>
    <w:sdt>
      <w:sdtPr>
        <w:rPr>
          <w:rFonts w:hint="eastAsia"/>
          <w:szCs w:val="21"/>
        </w:rPr>
        <w:alias w:val="是否适用：公司发展战略[双击切换]"/>
        <w:tag w:val="_GBC_5cdf4718a6044c1fbf76e22df729f9b7"/>
        <w:id w:val="25793"/>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25794"/>
        <w:placeholder>
          <w:docPart w:val="GBC22222222222222222222222222222"/>
        </w:placeholder>
      </w:sdtPr>
      <w:sdtEndPr>
        <w:rPr>
          <w:rFonts w:hint="eastAsia" w:ascii="Times New Roman" w:cs="Times New Roman"/>
          <w:szCs w:val="21"/>
          <w:highlight w:val="yellow"/>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cs="Times New Roman"/>
              <w:szCs w:val="21"/>
              <w:highlight w:val="yellow"/>
            </w:rPr>
          </w:pPr>
          <w:r>
            <w:rPr>
              <w:rFonts w:hint="eastAsia" w:ascii="Times New Roman" w:cs="Times New Roman"/>
              <w:szCs w:val="21"/>
            </w:rPr>
            <w:t>公司坚定聚焦主业的发展战略，专注中药日化，秉持“传承、健康、时尚”的产品理念，</w:t>
          </w:r>
          <w:r>
            <w:rPr>
              <w:rFonts w:hint="eastAsia" w:ascii="Times New Roman" w:cs="Times New Roman"/>
              <w:szCs w:val="21"/>
              <w:highlight w:val="none"/>
            </w:rPr>
            <w:t>加快日化和药业</w:t>
          </w:r>
          <w:r>
            <w:rPr>
              <w:rFonts w:hint="eastAsia" w:ascii="Times New Roman" w:cs="Times New Roman"/>
              <w:szCs w:val="21"/>
              <w:highlight w:val="none"/>
              <w:lang w:val="en-US" w:eastAsia="zh-CN"/>
            </w:rPr>
            <w:t>两产业</w:t>
          </w:r>
          <w:r>
            <w:rPr>
              <w:rFonts w:hint="eastAsia" w:ascii="Times New Roman" w:cs="Times New Roman"/>
              <w:szCs w:val="21"/>
              <w:highlight w:val="none"/>
            </w:rPr>
            <w:t>深度融合，</w:t>
          </w:r>
          <w:r>
            <w:rPr>
              <w:rFonts w:hint="eastAsia" w:ascii="Times New Roman" w:cs="Times New Roman"/>
              <w:szCs w:val="21"/>
            </w:rPr>
            <w:t>将两面针打造成中药理念下的大健康产业技术领先型企业，致力改善和提高消费者生活品质。</w:t>
          </w:r>
        </w:p>
      </w:sdtContent>
    </w:sdt>
    <w:p>
      <w:pPr>
        <w:rPr>
          <w:szCs w:val="21"/>
        </w:rPr>
      </w:pPr>
    </w:p>
    <w:p>
      <w:pPr>
        <w:pStyle w:val="4"/>
        <w:numPr>
          <w:ilvl w:val="3"/>
          <w:numId w:val="20"/>
        </w:numPr>
        <w:ind w:left="420" w:hangingChars="200"/>
        <w:rPr>
          <w:szCs w:val="21"/>
        </w:rPr>
      </w:pPr>
      <w:r>
        <w:rPr>
          <w:szCs w:val="21"/>
        </w:rPr>
        <w:t>经营计划</w:t>
      </w:r>
    </w:p>
    <w:sdt>
      <w:sdtPr>
        <w:rPr>
          <w:rFonts w:hint="eastAsia"/>
          <w:szCs w:val="21"/>
        </w:rPr>
        <w:alias w:val="是否适用：经营计划[双击切换]"/>
        <w:tag w:val="_GBC_871dbf3fc5a0422cadcc3452003278de"/>
        <w:id w:val="25795"/>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Times New Roman" w:cs="Times New Roman"/>
          <w:szCs w:val="21"/>
        </w:rPr>
        <w:alias w:val="公司经营计划"/>
        <w:tag w:val="_GBC_3f9bf7d7a36444cab37005d22ebc798c"/>
        <w:id w:val="25796"/>
        <w:placeholder>
          <w:docPart w:val="GBC22222222222222222222222222222"/>
        </w:placeholder>
      </w:sdtPr>
      <w:sdtEndPr>
        <w:rPr>
          <w:rFonts w:hint="eastAsia" w:ascii="Times New Roman" w:cs="Times New Roman"/>
          <w:szCs w:val="21"/>
          <w:highlight w:val="none"/>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imes New Roman" w:cs="Times New Roman"/>
              <w:szCs w:val="21"/>
            </w:rPr>
          </w:pPr>
          <w:r>
            <w:rPr>
              <w:rFonts w:hint="eastAsia" w:ascii="Times New Roman" w:cs="Times New Roman"/>
              <w:szCs w:val="21"/>
            </w:rPr>
            <w:t>2024年是新中国成立75周年，也是实现“十四五”规划目标任务的关键一年</w:t>
          </w:r>
          <w:r>
            <w:rPr>
              <w:rFonts w:hint="eastAsia" w:ascii="Times New Roman" w:cs="Times New Roman"/>
              <w:szCs w:val="21"/>
              <w:lang w:eastAsia="zh-CN"/>
            </w:rPr>
            <w:t>。</w:t>
          </w:r>
          <w:r>
            <w:rPr>
              <w:rFonts w:hint="eastAsia" w:ascii="Times New Roman" w:cs="Times New Roman"/>
              <w:szCs w:val="21"/>
            </w:rPr>
            <w:t>公司将充分发挥党建引领作用，</w:t>
          </w:r>
          <w:r>
            <w:rPr>
              <w:rFonts w:hint="eastAsia" w:ascii="Times New Roman" w:cs="Times New Roman"/>
              <w:szCs w:val="21"/>
              <w:lang w:val="en-US" w:eastAsia="zh-CN"/>
            </w:rPr>
            <w:t>深化</w:t>
          </w:r>
          <w:r>
            <w:rPr>
              <w:rFonts w:hint="eastAsia" w:ascii="Times New Roman" w:cs="Times New Roman"/>
              <w:szCs w:val="21"/>
            </w:rPr>
            <w:t>改革创新，围绕核心主业，坚守“效益优先、兼顾规模”</w:t>
          </w:r>
          <w:r>
            <w:rPr>
              <w:rFonts w:hint="eastAsia" w:ascii="Times New Roman" w:cs="Times New Roman"/>
              <w:szCs w:val="21"/>
              <w:lang w:val="en-US" w:eastAsia="zh-CN"/>
            </w:rPr>
            <w:t>的发展理念</w:t>
          </w:r>
          <w:r>
            <w:rPr>
              <w:rFonts w:hint="eastAsia" w:ascii="Times New Roman" w:cs="Times New Roman"/>
              <w:szCs w:val="21"/>
            </w:rPr>
            <w:t>，持续提升经济效益，坚持技术创新，通过优化业务布局、优化资源配置、提高运营效率等手段，促进信息共享和资源互通，使公司各业务板块优势互补、携手并进，集聚高质量发展动能，</w:t>
          </w:r>
          <w:r>
            <w:rPr>
              <w:rFonts w:hint="eastAsia" w:ascii="Times New Roman" w:cs="Times New Roman"/>
              <w:szCs w:val="21"/>
              <w:lang w:val="en-US" w:eastAsia="zh-CN"/>
            </w:rPr>
            <w:t>推动日化和药业两板块提质升效</w:t>
          </w:r>
          <w:r>
            <w:rPr>
              <w:rFonts w:hint="eastAsia" w:ascii="Times New Roman" w:cs="Times New Roman"/>
              <w:szCs w:val="21"/>
            </w:rPr>
            <w:t>。</w:t>
          </w:r>
        </w:p>
        <w:p>
          <w:pPr>
            <w:rPr>
              <w:szCs w:val="21"/>
              <w:highlight w:val="none"/>
            </w:rPr>
          </w:pPr>
        </w:p>
      </w:sdtContent>
    </w:sdt>
    <w:p>
      <w:pPr>
        <w:pStyle w:val="4"/>
        <w:numPr>
          <w:ilvl w:val="3"/>
          <w:numId w:val="20"/>
        </w:numPr>
        <w:ind w:left="420" w:hangingChars="200"/>
        <w:rPr>
          <w:szCs w:val="21"/>
          <w:highlight w:val="none"/>
        </w:rPr>
      </w:pPr>
      <w:r>
        <w:rPr>
          <w:szCs w:val="21"/>
          <w:highlight w:val="none"/>
        </w:rPr>
        <w:t>可能面对的风险</w:t>
      </w:r>
    </w:p>
    <w:sdt>
      <w:sdtPr>
        <w:rPr>
          <w:rFonts w:hint="eastAsia"/>
          <w:szCs w:val="21"/>
        </w:rPr>
        <w:alias w:val="是否适用：可能面对的风险[双击切换]"/>
        <w:tag w:val="_GBC_1b74f2e1039c4fe9acc819e860071020"/>
        <w:id w:val="25797"/>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shd w:val="clear" w:color="auto" w:fill="FFFFFF"/>
        </w:rPr>
        <w:alias w:val="公司可能面对的风险"/>
        <w:tag w:val="_GBC_c62723d12603412ba692148cd4961de5"/>
        <w:id w:val="25798"/>
        <w:placeholder>
          <w:docPart w:val="GBC22222222222222222222222222222"/>
        </w:placeholder>
      </w:sdtPr>
      <w:sdtEndPr>
        <w:rPr>
          <w:rFonts w:hint="eastAsia" w:ascii="Times New Roman" w:cs="Times New Roman"/>
          <w:szCs w:val="21"/>
          <w:shd w:val="clear" w:color="auto" w:fill="FFFFFF"/>
        </w:rPr>
      </w:sdtEndPr>
      <w:sdtContent>
        <w:p>
          <w:pPr>
            <w:spacing w:line="400" w:lineRule="exact"/>
            <w:ind w:firstLine="420" w:firstLineChars="200"/>
            <w:rPr>
              <w:rFonts w:hint="eastAsia"/>
              <w:szCs w:val="21"/>
              <w:shd w:val="clear" w:color="auto" w:fill="FFFFFF"/>
            </w:rPr>
          </w:pPr>
          <w:r>
            <w:rPr>
              <w:rFonts w:hint="eastAsia"/>
              <w:szCs w:val="21"/>
              <w:shd w:val="clear" w:color="auto" w:fill="FFFFFF"/>
            </w:rPr>
            <w:t>1、市场竞争加剧风险</w:t>
          </w:r>
        </w:p>
        <w:p>
          <w:pPr>
            <w:spacing w:line="400" w:lineRule="exact"/>
            <w:ind w:firstLine="420" w:firstLineChars="200"/>
            <w:rPr>
              <w:rFonts w:hint="eastAsia" w:ascii="Times New Roman" w:cs="Times New Roman"/>
              <w:szCs w:val="21"/>
            </w:rPr>
          </w:pPr>
          <w:r>
            <w:rPr>
              <w:rFonts w:hint="eastAsia" w:ascii="Times New Roman" w:cs="Times New Roman"/>
              <w:szCs w:val="21"/>
            </w:rPr>
            <w:t>日化产业已经进入成熟期，市场细分程度高，跨行业投资者不断进入，产品品牌和品类数目繁多，消费需求呈现出多样化、个性化、品质化的趋势，日化行业竞争加剧。公司日化产业面临着价格、研发技术、服务质量等全方面的市场竞争，竞争压力不断增大。公司要积极发挥自身的研发优势、质量优势和品牌优势，精准定位，提高市场竞争力。</w:t>
          </w:r>
        </w:p>
        <w:p>
          <w:pPr>
            <w:numPr>
              <w:ilvl w:val="0"/>
              <w:numId w:val="0"/>
            </w:numPr>
            <w:spacing w:line="400" w:lineRule="exact"/>
            <w:ind w:firstLine="420" w:firstLineChars="200"/>
            <w:jc w:val="both"/>
            <w:rPr>
              <w:rFonts w:hint="eastAsia" w:ascii="Times New Roman" w:cs="Times New Roman"/>
              <w:szCs w:val="21"/>
              <w:highlight w:val="yellow"/>
              <w:lang w:val="en-US" w:eastAsia="zh-CN"/>
            </w:rPr>
          </w:pPr>
          <w:r>
            <w:rPr>
              <w:rFonts w:hint="eastAsia" w:ascii="Times New Roman" w:cs="Times New Roman"/>
              <w:szCs w:val="21"/>
              <w:lang w:val="en-US" w:eastAsia="zh-CN"/>
            </w:rPr>
            <w:t>2、渠道结构变革</w:t>
          </w:r>
          <w:r>
            <w:rPr>
              <w:rFonts w:hint="default" w:ascii="Times New Roman" w:cs="Times New Roman"/>
              <w:szCs w:val="21"/>
              <w:lang w:val="en-US" w:eastAsia="zh-CN"/>
            </w:rPr>
            <w:t>风险</w:t>
          </w:r>
        </w:p>
        <w:p>
          <w:pPr>
            <w:numPr>
              <w:ilvl w:val="0"/>
              <w:numId w:val="0"/>
            </w:numPr>
            <w:spacing w:line="400" w:lineRule="exact"/>
            <w:ind w:firstLine="420" w:firstLineChars="200"/>
            <w:rPr>
              <w:rFonts w:hint="default" w:ascii="Times New Roman" w:cs="Times New Roman"/>
              <w:szCs w:val="21"/>
              <w:lang w:val="en-US" w:eastAsia="zh-CN"/>
            </w:rPr>
          </w:pPr>
          <w:r>
            <w:rPr>
              <w:rFonts w:hint="eastAsia" w:ascii="Times New Roman" w:cs="Times New Roman"/>
              <w:szCs w:val="21"/>
              <w:lang w:val="en-US" w:eastAsia="zh-CN"/>
            </w:rPr>
            <w:t>中国</w:t>
          </w:r>
          <w:r>
            <w:rPr>
              <w:rFonts w:hint="default" w:ascii="Times New Roman" w:cs="Times New Roman"/>
              <w:szCs w:val="21"/>
              <w:lang w:val="en-US" w:eastAsia="zh-CN"/>
            </w:rPr>
            <w:t>零售渠道变革裂变加剧，</w:t>
          </w:r>
          <w:r>
            <w:rPr>
              <w:rFonts w:hint="eastAsia" w:ascii="Times New Roman" w:cs="Times New Roman"/>
              <w:szCs w:val="21"/>
              <w:lang w:val="en-US" w:eastAsia="zh-CN"/>
            </w:rPr>
            <w:t>新渠道不断涌现。在消费品行业渠道变革的趋势下，</w:t>
          </w:r>
          <w:r>
            <w:rPr>
              <w:rFonts w:hint="default" w:ascii="Times New Roman" w:cs="Times New Roman"/>
              <w:szCs w:val="21"/>
              <w:lang w:val="en-US" w:eastAsia="zh-CN"/>
            </w:rPr>
            <w:t>公司针对消费者购买习惯的不同和变化持续完善渠道布局，</w:t>
          </w:r>
          <w:r>
            <w:rPr>
              <w:rFonts w:hint="eastAsia" w:ascii="Times New Roman" w:cs="Times New Roman"/>
              <w:szCs w:val="21"/>
              <w:lang w:val="en-US" w:eastAsia="zh-CN"/>
            </w:rPr>
            <w:t>行业渠道变革常变常新，</w:t>
          </w:r>
          <w:r>
            <w:rPr>
              <w:rFonts w:hint="default" w:ascii="Times New Roman" w:cs="Times New Roman"/>
              <w:szCs w:val="21"/>
              <w:lang w:val="en-US" w:eastAsia="zh-CN"/>
            </w:rPr>
            <w:t>不排除未来存在开拓</w:t>
          </w:r>
          <w:r>
            <w:rPr>
              <w:rFonts w:hint="eastAsia" w:ascii="Times New Roman" w:cs="Times New Roman"/>
              <w:szCs w:val="21"/>
              <w:lang w:val="en-US" w:eastAsia="zh-CN"/>
            </w:rPr>
            <w:t>不及时、</w:t>
          </w:r>
          <w:r>
            <w:rPr>
              <w:rFonts w:hint="default" w:ascii="Times New Roman" w:cs="Times New Roman"/>
              <w:szCs w:val="21"/>
              <w:lang w:val="en-US" w:eastAsia="zh-CN"/>
            </w:rPr>
            <w:t>不达预期的可能性</w:t>
          </w:r>
          <w:r>
            <w:rPr>
              <w:rFonts w:hint="eastAsia" w:ascii="Times New Roman" w:cs="Times New Roman"/>
              <w:szCs w:val="21"/>
              <w:lang w:val="en-US" w:eastAsia="zh-CN"/>
            </w:rPr>
            <w:t>。公司根据自身情况和市场需求，选择并沉淀匹配的商业模式和策略的同时，不断创新和拓展渠道，积极拥抱多元化渠道发展趋势。</w:t>
          </w:r>
        </w:p>
        <w:p>
          <w:pPr>
            <w:spacing w:line="400" w:lineRule="exact"/>
            <w:ind w:firstLine="420" w:firstLineChars="200"/>
            <w:rPr>
              <w:rFonts w:hint="eastAsia" w:ascii="Times New Roman" w:cs="Times New Roman"/>
              <w:szCs w:val="21"/>
            </w:rPr>
          </w:pPr>
          <w:r>
            <w:rPr>
              <w:rFonts w:hint="eastAsia" w:ascii="Times New Roman" w:cs="Times New Roman"/>
              <w:szCs w:val="21"/>
              <w:lang w:val="en-US" w:eastAsia="zh-CN"/>
            </w:rPr>
            <w:t>3</w:t>
          </w:r>
          <w:r>
            <w:rPr>
              <w:rFonts w:hint="eastAsia" w:ascii="Times New Roman" w:cs="Times New Roman"/>
              <w:szCs w:val="21"/>
            </w:rPr>
            <w:t>、原材料价格</w:t>
          </w:r>
          <w:r>
            <w:rPr>
              <w:rFonts w:hint="eastAsia" w:ascii="Times New Roman" w:cs="Times New Roman"/>
              <w:szCs w:val="21"/>
              <w:lang w:val="en-US" w:eastAsia="zh-CN"/>
            </w:rPr>
            <w:t>波动</w:t>
          </w:r>
          <w:r>
            <w:rPr>
              <w:rFonts w:hint="eastAsia" w:ascii="Times New Roman" w:cs="Times New Roman"/>
              <w:szCs w:val="21"/>
            </w:rPr>
            <w:t>风险</w:t>
          </w:r>
        </w:p>
        <w:p>
          <w:pPr>
            <w:spacing w:line="400" w:lineRule="exact"/>
            <w:ind w:firstLine="420" w:firstLineChars="200"/>
            <w:jc w:val="both"/>
            <w:rPr>
              <w:rFonts w:hint="eastAsia" w:ascii="Times New Roman" w:cs="Times New Roman"/>
              <w:szCs w:val="21"/>
            </w:rPr>
          </w:pPr>
          <w:r>
            <w:rPr>
              <w:rFonts w:hint="eastAsia" w:ascii="Times New Roman" w:cs="Times New Roman"/>
              <w:szCs w:val="21"/>
              <w:lang w:val="en-US" w:eastAsia="zh-CN"/>
            </w:rPr>
            <w:t>受诸多因素影响，</w:t>
          </w:r>
          <w:r>
            <w:rPr>
              <w:rFonts w:hint="eastAsia" w:ascii="Times New Roman" w:cs="Times New Roman"/>
              <w:szCs w:val="21"/>
            </w:rPr>
            <w:t>原材料价格</w:t>
          </w:r>
          <w:r>
            <w:rPr>
              <w:rFonts w:hint="eastAsia" w:ascii="Times New Roman" w:cs="Times New Roman"/>
              <w:szCs w:val="21"/>
              <w:lang w:val="en-US" w:eastAsia="zh-CN"/>
            </w:rPr>
            <w:t>波动风险较高。如原材料上涨较多</w:t>
          </w:r>
          <w:r>
            <w:rPr>
              <w:rFonts w:hint="eastAsia" w:ascii="Times New Roman" w:cs="Times New Roman"/>
              <w:szCs w:val="21"/>
            </w:rPr>
            <w:t>，</w:t>
          </w:r>
          <w:r>
            <w:rPr>
              <w:rFonts w:hint="eastAsia" w:ascii="Times New Roman" w:cs="Times New Roman"/>
              <w:szCs w:val="21"/>
              <w:lang w:val="en-US" w:eastAsia="zh-CN"/>
            </w:rPr>
            <w:t>将会</w:t>
          </w:r>
          <w:r>
            <w:rPr>
              <w:rFonts w:hint="eastAsia" w:ascii="Times New Roman" w:cs="Times New Roman"/>
              <w:szCs w:val="21"/>
            </w:rPr>
            <w:t>造成公司采购成本的增加，对公司毛利造成不利影响。公司</w:t>
          </w:r>
          <w:r>
            <w:rPr>
              <w:rFonts w:hint="eastAsia" w:ascii="Times New Roman" w:cs="Times New Roman"/>
              <w:szCs w:val="21"/>
              <w:lang w:val="en-US" w:eastAsia="zh-CN"/>
            </w:rPr>
            <w:t>加强对上游大宗原料的行情信息收集，做好价格走势预测分析，适时采购储备，拓宽供应渠道，有效控制采购成本。</w:t>
          </w:r>
        </w:p>
        <w:p>
          <w:pPr>
            <w:spacing w:line="400" w:lineRule="exact"/>
            <w:ind w:firstLine="420" w:firstLineChars="200"/>
            <w:rPr>
              <w:rFonts w:hint="default" w:ascii="Times New Roman" w:cs="Times New Roman"/>
              <w:szCs w:val="21"/>
              <w:lang w:val="en-US" w:eastAsia="zh-CN"/>
            </w:rPr>
          </w:pPr>
          <w:r>
            <w:rPr>
              <w:rFonts w:hint="eastAsia" w:ascii="Times New Roman" w:cs="Times New Roman"/>
              <w:szCs w:val="21"/>
              <w:lang w:val="en-US" w:eastAsia="zh-CN"/>
            </w:rPr>
            <w:t>4、投资风险</w:t>
          </w:r>
        </w:p>
        <w:p>
          <w:pPr>
            <w:numPr>
              <w:ilvl w:val="0"/>
              <w:numId w:val="0"/>
            </w:numPr>
            <w:spacing w:line="400" w:lineRule="exact"/>
            <w:ind w:firstLine="420" w:firstLineChars="200"/>
            <w:rPr>
              <w:rFonts w:hint="default" w:ascii="Times New Roman" w:cs="Times New Roman"/>
              <w:szCs w:val="21"/>
              <w:lang w:val="en-US" w:eastAsia="zh-CN"/>
            </w:rPr>
          </w:pPr>
          <w:r>
            <w:rPr>
              <w:rFonts w:hint="eastAsia" w:ascii="Times New Roman" w:cs="Times New Roman"/>
              <w:szCs w:val="21"/>
              <w:lang w:val="en-US" w:eastAsia="zh-CN"/>
            </w:rPr>
            <w:t>公司持有上市公司的股权在每个报告期末根据其公允价值确定，公允价值计入当期损益，市场波动可能会给公司公允价值计量金融资产带来重大影响，从而导致公司的净利润产生大幅波动。公司密切关注所投资上市公司的股价走势以便就该等投资及时作出应对决策。</w:t>
          </w:r>
        </w:p>
        <w:p>
          <w:pPr>
            <w:rPr>
              <w:szCs w:val="21"/>
            </w:rPr>
          </w:pPr>
        </w:p>
      </w:sdtContent>
    </w:sdt>
    <w:p>
      <w:pPr>
        <w:pStyle w:val="4"/>
        <w:numPr>
          <w:ilvl w:val="3"/>
          <w:numId w:val="20"/>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25799"/>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7"/>
        </w:numPr>
        <w:rPr>
          <w:rFonts w:ascii="Cambria" w:hAnsi="Cambria"/>
        </w:rPr>
      </w:pPr>
      <w:r>
        <w:rPr>
          <w:rFonts w:hint="eastAsia" w:ascii="Cambria" w:hAnsi="Cambr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5800"/>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
        <w:numPr>
          <w:ilvl w:val="0"/>
          <w:numId w:val="2"/>
        </w:numPr>
        <w:spacing w:before="0" w:after="0"/>
        <w:rPr>
          <w:bCs w:val="0"/>
        </w:rPr>
      </w:pPr>
      <w:bookmarkStart w:id="66" w:name="_Toc437440716"/>
      <w:bookmarkStart w:id="67" w:name="_Toc409437610"/>
      <w:bookmarkStart w:id="68" w:name="_Toc89790251"/>
      <w:r>
        <w:rPr>
          <w:bCs w:val="0"/>
        </w:rPr>
        <w:t>公司治理</w:t>
      </w:r>
      <w:bookmarkEnd w:id="66"/>
      <w:bookmarkEnd w:id="67"/>
      <w:bookmarkEnd w:id="68"/>
    </w:p>
    <w:p>
      <w:pPr>
        <w:pStyle w:val="3"/>
        <w:numPr>
          <w:ilvl w:val="0"/>
          <w:numId w:val="21"/>
        </w:numPr>
      </w:pPr>
      <w:r>
        <w:t>公司治理相关情况说明</w:t>
      </w:r>
    </w:p>
    <w:sdt>
      <w:sdtPr>
        <w:rPr>
          <w:rFonts w:hint="eastAsia"/>
          <w:szCs w:val="21"/>
        </w:rPr>
        <w:alias w:val="是否适用：公司治理相关情况说明[双击切换]"/>
        <w:tag w:val="_GBC_fcded3e74c5842408b5da723b3a757fa"/>
        <w:id w:val="25801"/>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25802"/>
        <w:placeholder>
          <w:docPart w:val="GBC22222222222222222222222222222"/>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报告期内，公司</w:t>
          </w:r>
          <w:r>
            <w:rPr>
              <w:rFonts w:hint="eastAsia" w:ascii="Times New Roman" w:hAnsi="Times New Roman" w:cs="Times New Roman"/>
              <w:szCs w:val="21"/>
              <w:lang w:val="en-US" w:eastAsia="zh-CN"/>
            </w:rPr>
            <w:t>严格</w:t>
          </w:r>
          <w:r>
            <w:rPr>
              <w:rFonts w:hint="default" w:ascii="Times New Roman" w:hAnsi="Times New Roman" w:cs="Times New Roman"/>
              <w:szCs w:val="21"/>
            </w:rPr>
            <w:t>按照《公司法》《证券法》《上市公司治理准则》</w:t>
          </w:r>
          <w:r>
            <w:rPr>
              <w:rFonts w:hint="eastAsia" w:ascii="Times New Roman" w:hAnsi="Times New Roman" w:cs="Times New Roman"/>
              <w:szCs w:val="21"/>
              <w:lang w:val="en-US" w:eastAsia="zh-CN"/>
            </w:rPr>
            <w:t>等法律法规及</w:t>
          </w:r>
          <w:r>
            <w:rPr>
              <w:rFonts w:hint="default" w:ascii="Times New Roman" w:hAnsi="Times New Roman" w:cs="Times New Roman"/>
              <w:szCs w:val="21"/>
            </w:rPr>
            <w:t>中国证监会、上交所有关规范性文件的要求开展公司治理工作。公司已建立了较为完善的公司治理结构和公司治理制度，公司权力机构、决策机构、监督机构和经营管理层之间权责明确，运作规范。</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szCs w:val="21"/>
            </w:rPr>
          </w:pPr>
          <w:r>
            <w:rPr>
              <w:rFonts w:hint="default" w:ascii="Times New Roman" w:hAnsi="Times New Roman" w:cs="Times New Roman"/>
              <w:b/>
              <w:bCs/>
              <w:szCs w:val="21"/>
            </w:rPr>
            <w:t>1．关于股东与股东大会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公司根据《公司法》《上海证券交易所股票上市规则》及公司制定的</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公司章程</w:t>
          </w:r>
          <w:r>
            <w:rPr>
              <w:rFonts w:hint="eastAsia" w:ascii="Times New Roman" w:hAnsi="Times New Roman" w:cs="Times New Roman"/>
              <w:szCs w:val="21"/>
              <w:lang w:eastAsia="zh-CN"/>
            </w:rPr>
            <w:t>》</w:t>
          </w:r>
          <w:r>
            <w:rPr>
              <w:rFonts w:hint="default" w:ascii="Times New Roman" w:hAnsi="Times New Roman" w:cs="Times New Roman"/>
              <w:szCs w:val="21"/>
            </w:rPr>
            <w:t>《股东大会议事规则》召集、召开股东大会</w:t>
          </w:r>
          <w:r>
            <w:rPr>
              <w:rFonts w:hint="eastAsia" w:ascii="Times New Roman" w:hAnsi="Times New Roman" w:cs="Times New Roman"/>
              <w:szCs w:val="21"/>
              <w:lang w:eastAsia="zh-CN"/>
            </w:rPr>
            <w:t>，</w:t>
          </w:r>
          <w:r>
            <w:rPr>
              <w:rFonts w:hint="default" w:ascii="Times New Roman" w:hAnsi="Times New Roman" w:cs="Times New Roman"/>
              <w:szCs w:val="21"/>
            </w:rPr>
            <w:t>平等对待所有股东，特别是中小股东与大股东享有平等的地位，</w:t>
          </w:r>
          <w:r>
            <w:rPr>
              <w:rFonts w:hint="eastAsia" w:ascii="Times New Roman" w:hAnsi="Times New Roman" w:cs="Times New Roman"/>
              <w:szCs w:val="21"/>
              <w:lang w:val="en-US" w:eastAsia="zh-CN"/>
            </w:rPr>
            <w:t>确保全体股东能够</w:t>
          </w:r>
          <w:r>
            <w:rPr>
              <w:rFonts w:hint="default" w:ascii="Times New Roman" w:hAnsi="Times New Roman" w:cs="Times New Roman"/>
              <w:szCs w:val="21"/>
            </w:rPr>
            <w:t>充分行使自己的权利。按照证监会的相关规定，公司202</w:t>
          </w:r>
          <w:r>
            <w:rPr>
              <w:rFonts w:hint="eastAsia" w:ascii="Times New Roman" w:hAnsi="Times New Roman" w:cs="Times New Roman"/>
              <w:szCs w:val="21"/>
              <w:lang w:val="en-US" w:eastAsia="zh-CN"/>
            </w:rPr>
            <w:t>3</w:t>
          </w:r>
          <w:r>
            <w:rPr>
              <w:rFonts w:hint="default" w:ascii="Times New Roman" w:hAnsi="Times New Roman" w:cs="Times New Roman"/>
              <w:szCs w:val="21"/>
            </w:rPr>
            <w:t>年召开2次股东大会，均提供了现场投票和网络投票的渠道，保证广大中小股东能充分行使投票权。</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szCs w:val="21"/>
            </w:rPr>
          </w:pPr>
          <w:r>
            <w:rPr>
              <w:rFonts w:hint="default" w:ascii="Times New Roman" w:hAnsi="Times New Roman" w:cs="Times New Roman"/>
              <w:b/>
              <w:bCs/>
              <w:szCs w:val="21"/>
            </w:rPr>
            <w:t>2．关于控股股东与上市公司的关系</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公司控股股东行为规范，依法行使出资人权利，</w:t>
          </w:r>
          <w:r>
            <w:rPr>
              <w:rFonts w:hint="eastAsia" w:ascii="Times New Roman" w:hAnsi="Times New Roman" w:cs="Times New Roman"/>
              <w:szCs w:val="21"/>
              <w:lang w:val="en-US" w:eastAsia="zh-CN"/>
            </w:rPr>
            <w:t>避免出现</w:t>
          </w:r>
          <w:r>
            <w:rPr>
              <w:rFonts w:hint="default" w:ascii="Times New Roman" w:hAnsi="Times New Roman" w:cs="Times New Roman"/>
              <w:szCs w:val="21"/>
            </w:rPr>
            <w:t>直接或间接干预公司经营决策的情形。报告期内，公司与控股股东在其余人员、资产、机构、业务、财务等方面均保持独立，具有完整的业务体系和直接面向市场独立经营的能力，独立组织生产销售和经营规划，均按《公司章程》和有关法律法规的规定由股东大会、董事会依法做出重大决策，与控股股东不存在同业竞争的情况，也不存在控股股东干预公司决策和经营的情况，未发生大股东占用上市公司资金和资产的情况。公司已建立防止控股股东及其附属企业占用上市公司资金、侵害上市公司利益的长效机制。</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3．关于董事与董事会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董事会职责清晰，全体董事（包括独立董事）均能认真、负责地履行职责。董事会的召集、召开程序符合《公司法》《公司章程》以及《公司董事会议事规则》等有关规定。各董事的任职符合《公司法》《证券法》等相关法律法规对董事任职资格的要求。各董事任职期间勤勉尽责，能积极参加公司董事会会议并认真履行职责，严格维护公司和全体股东的合法权益。公司董事的选举严格按照《公司法》《公司章程》等相关规定的程序进行，各位董事能够以认真、负责的态度出席董事会，并熟悉有关法律法规，能充分行使和履行作为董事的权利、义务和责任。为更好履职，公司董事会设立战略委员会、审计委员会、提名委员会及薪酬与考核委员会，充分发挥专业职能。202</w:t>
          </w:r>
          <w:r>
            <w:rPr>
              <w:rFonts w:hint="eastAsia" w:ascii="Times New Roman" w:hAnsi="Times New Roman" w:cs="Times New Roman"/>
              <w:szCs w:val="21"/>
              <w:lang w:val="en-US" w:eastAsia="zh-CN"/>
            </w:rPr>
            <w:t>3</w:t>
          </w:r>
          <w:r>
            <w:rPr>
              <w:rFonts w:hint="default" w:ascii="Times New Roman" w:hAnsi="Times New Roman" w:cs="Times New Roman"/>
              <w:szCs w:val="21"/>
            </w:rPr>
            <w:t>年度，公司召开董事会</w:t>
          </w:r>
          <w:r>
            <w:rPr>
              <w:rFonts w:hint="eastAsia" w:ascii="Times New Roman" w:hAnsi="Times New Roman" w:cs="Times New Roman"/>
              <w:szCs w:val="21"/>
              <w:lang w:val="en-US" w:eastAsia="zh-CN"/>
            </w:rPr>
            <w:t>6</w:t>
          </w:r>
          <w:r>
            <w:rPr>
              <w:rFonts w:hint="default" w:ascii="Times New Roman" w:hAnsi="Times New Roman" w:cs="Times New Roman"/>
              <w:szCs w:val="21"/>
            </w:rPr>
            <w:t>次，审计委员会4次。</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4．关于监事与监事会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szCs w:val="21"/>
              <w:lang w:val="en-US" w:eastAsia="zh-CN"/>
            </w:rPr>
          </w:pPr>
          <w:r>
            <w:rPr>
              <w:rFonts w:hint="default" w:ascii="Times New Roman" w:hAnsi="Times New Roman" w:cs="Times New Roman"/>
              <w:szCs w:val="21"/>
            </w:rPr>
            <w:t>公司监事会职责清晰，全体监事能够认真、负责地履行职责。监事会的召集、召开程序符合《公司法》《公司章程》以及《公司监事会议事规则》等有关规定。各监事的任职符合《公司法》《证券法》等相关法律法规对监事任职资格的要求。公司监事的选举严格按照《公司法》《公司章程》等相关规定的程序进行。各监事任职期间勤勉尽责，能积极参加公司监事会会议并能认真履行职责，维护了公司和全体股东的合法权益。各位监事能认真履行自己的职责，能本着为股东负责的态度，独立有效地对公司董事会以及董事、经理和其他高级管理人员履行职责的合法、合规性进行监督和检查，对公司重大事项进行检查。</w:t>
          </w:r>
          <w:r>
            <w:rPr>
              <w:rFonts w:hint="eastAsia" w:ascii="Times New Roman" w:hAnsi="Times New Roman" w:cs="Times New Roman"/>
              <w:szCs w:val="21"/>
              <w:lang w:val="en-US" w:eastAsia="zh-CN"/>
            </w:rPr>
            <w:t>2023年度，</w:t>
          </w:r>
          <w:r>
            <w:rPr>
              <w:rFonts w:hint="default" w:ascii="Times New Roman" w:hAnsi="Times New Roman" w:cs="Times New Roman"/>
              <w:szCs w:val="21"/>
            </w:rPr>
            <w:t>公司召开</w:t>
          </w:r>
          <w:r>
            <w:rPr>
              <w:rFonts w:hint="eastAsia" w:ascii="Times New Roman" w:hAnsi="Times New Roman" w:cs="Times New Roman"/>
              <w:szCs w:val="21"/>
              <w:lang w:val="en-US" w:eastAsia="zh-CN"/>
            </w:rPr>
            <w:t>监事</w:t>
          </w:r>
          <w:r>
            <w:rPr>
              <w:rFonts w:hint="default" w:ascii="Times New Roman" w:hAnsi="Times New Roman" w:cs="Times New Roman"/>
              <w:szCs w:val="21"/>
            </w:rPr>
            <w:t>会</w:t>
          </w:r>
          <w:r>
            <w:rPr>
              <w:rFonts w:hint="eastAsia" w:ascii="Times New Roman" w:hAnsi="Times New Roman" w:cs="Times New Roman"/>
              <w:szCs w:val="21"/>
              <w:lang w:val="en-US" w:eastAsia="zh-CN"/>
            </w:rPr>
            <w:t>4</w:t>
          </w:r>
          <w:r>
            <w:rPr>
              <w:rFonts w:hint="default" w:ascii="Times New Roman" w:hAnsi="Times New Roman" w:cs="Times New Roman"/>
              <w:szCs w:val="21"/>
            </w:rPr>
            <w:t>次</w:t>
          </w:r>
          <w:r>
            <w:rPr>
              <w:rFonts w:hint="eastAsia" w:ascii="Times New Roman" w:hAnsi="Times New Roman" w:cs="Times New Roman"/>
              <w:szCs w:val="21"/>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5．关于绩效评估和激励约束机制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公司中层管理人员竞争上岗，全部实行绩效考核，薪酬及任免与责任业绩挂钩，高级管理人员按《公司章程》规定的任职条件和选聘程序选聘，由董事会聘任。</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6．关于信息披露与透明度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202</w:t>
          </w:r>
          <w:r>
            <w:rPr>
              <w:rFonts w:hint="eastAsia" w:ascii="Times New Roman" w:hAnsi="Times New Roman" w:cs="Times New Roman"/>
              <w:szCs w:val="21"/>
              <w:lang w:val="en-US" w:eastAsia="zh-CN"/>
            </w:rPr>
            <w:t>3</w:t>
          </w:r>
          <w:r>
            <w:rPr>
              <w:rFonts w:hint="default" w:ascii="Times New Roman" w:hAnsi="Times New Roman" w:cs="Times New Roman"/>
              <w:szCs w:val="21"/>
            </w:rPr>
            <w:t>年，公司按照法律、法规和中国证监会、上交所及公司有关制度的规定，真实、准确、完整、及时地披露相关信息，确保所有股东、投资者享有平等的机会获得信息。公司指定董事会秘书负责信息披露工作、接待股东来访和咨询，指定《上海证券报》《中国证券报》《证券日报》为公司法定信息披露的报纸；公司严格按照有关法律法规的要求，真实、准确、完整、及时地披露有关信息，并确保所有股东有平等的机会获得信息。</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7．关于利益相关者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公司充分尊重和维护利益相关者的合法权益，努力实现股东、员工、社会等各方利益的协调平衡，共同推动公司持续、健康地发展。</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8．关于投资者关系管理工作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公司一贯重视投资者关系管理工作，</w:t>
          </w:r>
          <w:r>
            <w:rPr>
              <w:rFonts w:hint="eastAsia" w:ascii="Times New Roman" w:hAnsi="Times New Roman" w:cs="Times New Roman"/>
              <w:szCs w:val="21"/>
              <w:lang w:val="en-US" w:eastAsia="zh-CN"/>
            </w:rPr>
            <w:t>制定有《投资者关系管理制度》，并积极落实规定要求。</w:t>
          </w:r>
          <w:r>
            <w:rPr>
              <w:rFonts w:hint="default" w:ascii="Times New Roman" w:hAnsi="Times New Roman" w:cs="Times New Roman"/>
              <w:szCs w:val="21"/>
            </w:rPr>
            <w:t>除认真做好信息披露外，通过电话咨询、接待投资者来访、上证e互动平台、业绩说明会等方式，在不违反保密规定的前提下认真负责解答股东的询问、投资者调研以及接受媒体的采访，在公平披露的前提下，充分保证投资者的知情权。</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szCs w:val="21"/>
            </w:rPr>
          </w:pPr>
          <w:r>
            <w:rPr>
              <w:rFonts w:hint="default" w:ascii="Times New Roman" w:hAnsi="Times New Roman" w:cs="Times New Roman"/>
              <w:b/>
              <w:bCs/>
              <w:szCs w:val="21"/>
            </w:rPr>
            <w:t>9．内幕知情人登记管理等相关情况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制定有《内幕信息知情人登记管理制度》。按照有关要求，公司明确董事长为公司加强内幕信息管理和内幕交易防控工作的主要责任人，指定董事会秘书负责办理公司内幕信息知情人的登记入档事宜，公司董事会办公室是公司信息披露机构，协助董事会秘书具体负责公司内幕信息知情人登记管理日常工作。报告期内，公司严格按照制度规定做好内幕信息知情人登记备案工作，公司及相关人员没有因内幕信息知情人登记管理制度执行不力或涉嫌内幕交易被监管部门采取监管措施和行政处罚情况。</w:t>
          </w:r>
        </w:p>
      </w:sdtContent>
    </w:sdt>
    <w:p>
      <w:pPr>
        <w:rPr>
          <w:szCs w:val="21"/>
        </w:rPr>
      </w:pPr>
    </w:p>
    <w:p>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25803"/>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3"/>
        <w:numPr>
          <w:ilvl w:val="0"/>
          <w:numId w:val="21"/>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25804"/>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25805"/>
        <w:placeholder>
          <w:docPart w:val="GBC22222222222222222222222222222"/>
        </w:placeholder>
      </w:sdtPr>
      <w:sdtEndPr>
        <w:rPr>
          <w:rFonts w:hint="eastAsia"/>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21"/>
        </w:numPr>
      </w:pPr>
      <w:r>
        <w:t>股东大会情况简介</w:t>
      </w:r>
    </w:p>
    <w:tbl>
      <w:tblPr>
        <w:tblStyle w:val="38"/>
        <w:tblW w:w="51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418"/>
        <w:gridCol w:w="1786"/>
        <w:gridCol w:w="1309"/>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hint="default" w:ascii="Times New Roman" w:hAnsi="Times New Roman" w:cs="Times New Roman"/>
            </w:rPr>
            <w:tag w:val="_PLD_ca305564151a412a8452996542c336c8"/>
            <w:id w:val="25806"/>
          </w:sdtPr>
          <w:sdtEndPr>
            <w:rPr>
              <w:rFonts w:hint="default" w:ascii="Times New Roman" w:hAnsi="Times New Roman" w:cs="Times New Roman"/>
            </w:rPr>
          </w:sdtEndPr>
          <w:sdtContent>
            <w:tc>
              <w:tcPr>
                <w:tcW w:w="75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会议届次</w:t>
                </w:r>
              </w:p>
            </w:tc>
          </w:sdtContent>
        </w:sdt>
        <w:sdt>
          <w:sdtPr>
            <w:rPr>
              <w:rFonts w:hint="default" w:ascii="Times New Roman" w:hAnsi="Times New Roman" w:cs="Times New Roman"/>
            </w:rPr>
            <w:tag w:val="_PLD_339c8451b8064684a85c81b08813156b"/>
            <w:id w:val="25807"/>
          </w:sdtPr>
          <w:sdtEndPr>
            <w:rPr>
              <w:rFonts w:hint="default" w:ascii="Times New Roman" w:hAnsi="Times New Roman" w:cs="Times New Roman"/>
            </w:rPr>
          </w:sdtEndPr>
          <w:sdtContent>
            <w:tc>
              <w:tcPr>
                <w:tcW w:w="76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召开日期</w:t>
                </w:r>
              </w:p>
            </w:tc>
          </w:sdtContent>
        </w:sdt>
        <w:sdt>
          <w:sdtPr>
            <w:rPr>
              <w:rFonts w:hint="default" w:ascii="Times New Roman" w:hAnsi="Times New Roman" w:cs="Times New Roman"/>
            </w:rPr>
            <w:tag w:val="_PLD_7b97e84dc8f648a0b4bd3bbd757797d1"/>
            <w:id w:val="25808"/>
          </w:sdtPr>
          <w:sdtEndPr>
            <w:rPr>
              <w:rFonts w:hint="default" w:ascii="Times New Roman" w:hAnsi="Times New Roman" w:cs="Times New Roman"/>
            </w:rPr>
          </w:sdtEndPr>
          <w:sdtContent>
            <w:tc>
              <w:tcPr>
                <w:tcW w:w="96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决议刊登的指定网站的查询索引</w:t>
                </w:r>
              </w:p>
            </w:tc>
          </w:sdtContent>
        </w:sdt>
        <w:sdt>
          <w:sdtPr>
            <w:rPr>
              <w:rFonts w:hint="default" w:ascii="Times New Roman" w:hAnsi="Times New Roman" w:cs="Times New Roman"/>
            </w:rPr>
            <w:tag w:val="_PLD_e175ad3c6edc4dc8a87f046a04fe2d07"/>
            <w:id w:val="25809"/>
          </w:sdtPr>
          <w:sdtEndPr>
            <w:rPr>
              <w:rFonts w:hint="default" w:ascii="Times New Roman" w:hAnsi="Times New Roman" w:cs="Times New Roman"/>
            </w:rPr>
          </w:sdtEndPr>
          <w:sdtContent>
            <w:tc>
              <w:tcPr>
                <w:tcW w:w="7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决议刊登的披露日期</w:t>
                </w:r>
              </w:p>
            </w:tc>
          </w:sdtContent>
        </w:sdt>
        <w:sdt>
          <w:sdtPr>
            <w:rPr>
              <w:rFonts w:hint="default" w:ascii="Times New Roman" w:hAnsi="Times New Roman" w:cs="Times New Roman"/>
            </w:rPr>
            <w:tag w:val="_PLD_23fd9aa41f9444b4a6b91c96589bb344"/>
            <w:id w:val="25810"/>
          </w:sdtPr>
          <w:sdtEndPr>
            <w:rPr>
              <w:rFonts w:hint="default" w:ascii="Times New Roman" w:hAnsi="Times New Roman" w:cs="Times New Roman"/>
            </w:rPr>
          </w:sdtEndPr>
          <w:sdtContent>
            <w:tc>
              <w:tcPr>
                <w:tcW w:w="1815" w:type="pct"/>
                <w:vAlign w:val="center"/>
              </w:tcPr>
              <w:p>
                <w:pPr>
                  <w:widowControl w:val="0"/>
                  <w:jc w:val="center"/>
                  <w:rPr>
                    <w:rFonts w:hint="default" w:ascii="Times New Roman" w:hAnsi="Times New Roman" w:cs="Times New Roman"/>
                  </w:rPr>
                </w:pPr>
                <w:r>
                  <w:rPr>
                    <w:rFonts w:hint="default" w:ascii="Times New Roman" w:hAnsi="Times New Roman" w:cs="Times New Roman"/>
                  </w:rPr>
                  <w:t>会议决议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trPr>
        <w:tc>
          <w:tcPr>
            <w:tcW w:w="75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2022年年度股东大会</w:t>
            </w:r>
          </w:p>
        </w:tc>
        <w:tc>
          <w:tcPr>
            <w:tcW w:w="76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2023年6月28日</w:t>
            </w:r>
          </w:p>
        </w:tc>
        <w:tc>
          <w:tcPr>
            <w:tcW w:w="96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www.sse.com.cn</w:t>
            </w:r>
          </w:p>
        </w:tc>
        <w:tc>
          <w:tcPr>
            <w:tcW w:w="70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2023年6月2</w:t>
            </w:r>
            <w:r>
              <w:rPr>
                <w:rFonts w:hint="default" w:ascii="Times New Roman" w:hAnsi="Times New Roman" w:cs="Times New Roman"/>
                <w:lang w:val="en-US" w:eastAsia="zh-CN"/>
              </w:rPr>
              <w:t>9</w:t>
            </w:r>
            <w:r>
              <w:rPr>
                <w:rFonts w:hint="default" w:ascii="Times New Roman" w:hAnsi="Times New Roman" w:cs="Times New Roman"/>
              </w:rPr>
              <w:t>日</w:t>
            </w:r>
          </w:p>
        </w:tc>
        <w:tc>
          <w:tcPr>
            <w:tcW w:w="1815" w:type="pct"/>
            <w:vAlign w:val="center"/>
          </w:tcPr>
          <w:p>
            <w:pPr>
              <w:widowControl w:val="0"/>
              <w:jc w:val="both"/>
              <w:rPr>
                <w:rFonts w:ascii="Times New Roman" w:hAnsi="Times New Roman" w:cs="Times New Roman"/>
              </w:rPr>
            </w:pPr>
            <w:r>
              <w:rPr>
                <w:rFonts w:ascii="Times New Roman" w:cs="Times New Roman"/>
              </w:rPr>
              <w:t>审议通过以下议案：</w:t>
            </w:r>
          </w:p>
          <w:p>
            <w:pPr>
              <w:widowControl w:val="0"/>
              <w:numPr>
                <w:ilvl w:val="0"/>
                <w:numId w:val="0"/>
              </w:numPr>
              <w:jc w:val="both"/>
              <w:rPr>
                <w:rFonts w:hint="default"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2022年度董事会工作报告</w:t>
            </w:r>
            <w:r>
              <w:rPr>
                <w:rFonts w:hint="eastAsia" w:ascii="Times New Roman" w:hAnsi="Times New Roman" w:cs="Times New Roman"/>
                <w:lang w:eastAsia="zh-CN"/>
              </w:rPr>
              <w:t>》</w:t>
            </w:r>
          </w:p>
          <w:p>
            <w:pPr>
              <w:widowControl w:val="0"/>
              <w:numPr>
                <w:ilvl w:val="0"/>
                <w:numId w:val="0"/>
              </w:numPr>
              <w:jc w:val="both"/>
              <w:rPr>
                <w:rFonts w:hint="default" w:ascii="Times New Roman" w:hAnsi="Times New Roman" w:cs="Times New Roman"/>
                <w:szCs w:val="21"/>
              </w:rPr>
            </w:pP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2022年度监事会工作报告</w:t>
            </w:r>
            <w:r>
              <w:rPr>
                <w:rFonts w:hint="eastAsia" w:ascii="Times New Roman" w:hAnsi="Times New Roman" w:cs="Times New Roman"/>
                <w:lang w:eastAsia="zh-CN"/>
              </w:rPr>
              <w:t>》</w:t>
            </w:r>
          </w:p>
          <w:p>
            <w:pPr>
              <w:widowControl w:val="0"/>
              <w:numPr>
                <w:ilvl w:val="0"/>
                <w:numId w:val="0"/>
              </w:numPr>
              <w:jc w:val="both"/>
              <w:rPr>
                <w:rFonts w:hint="eastAsia"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2022年度财务决算报告</w:t>
            </w:r>
            <w:r>
              <w:rPr>
                <w:rFonts w:hint="eastAsia" w:ascii="Times New Roman" w:hAnsi="Times New Roman" w:cs="Times New Roman"/>
                <w:lang w:val="en-US" w:eastAsia="zh-CN"/>
              </w:rPr>
              <w:t>》</w:t>
            </w:r>
          </w:p>
          <w:p>
            <w:pPr>
              <w:widowControl w:val="0"/>
              <w:numPr>
                <w:ilvl w:val="0"/>
                <w:numId w:val="0"/>
              </w:numPr>
              <w:jc w:val="both"/>
              <w:rPr>
                <w:rFonts w:hint="eastAsia"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rPr>
              <w:t>2022年年度报告（全文及摘要）</w:t>
            </w:r>
            <w:r>
              <w:rPr>
                <w:rFonts w:hint="eastAsia" w:ascii="Times New Roman" w:hAnsi="Times New Roman" w:cs="Times New Roman"/>
                <w:lang w:val="en-US" w:eastAsia="zh-CN"/>
              </w:rPr>
              <w:t>》</w:t>
            </w:r>
          </w:p>
          <w:p>
            <w:pPr>
              <w:widowControl w:val="0"/>
              <w:numPr>
                <w:ilvl w:val="0"/>
                <w:numId w:val="0"/>
              </w:numPr>
              <w:jc w:val="both"/>
              <w:rPr>
                <w:rFonts w:hint="eastAsia" w:ascii="Times New Roman" w:hAnsi="Times New Roman" w:cs="Times New Roman"/>
                <w:lang w:eastAsia="zh-CN"/>
              </w:rPr>
            </w:pPr>
            <w:r>
              <w:rPr>
                <w:rFonts w:hint="default" w:ascii="Times New Roman" w:hAnsi="Times New Roman" w:cs="Times New Roman"/>
              </w:rPr>
              <w:t>5</w:t>
            </w:r>
            <w:r>
              <w:rPr>
                <w:rFonts w:hint="eastAsia" w:ascii="Times New Roman" w:hAnsi="Times New Roman" w:cs="Times New Roman"/>
                <w:lang w:eastAsia="zh-CN"/>
              </w:rPr>
              <w:t>、《</w:t>
            </w:r>
            <w:r>
              <w:rPr>
                <w:rFonts w:hint="default" w:ascii="Times New Roman" w:hAnsi="Times New Roman" w:cs="Times New Roman"/>
              </w:rPr>
              <w:t>2022年度利润分配预案</w:t>
            </w:r>
            <w:r>
              <w:rPr>
                <w:rFonts w:hint="eastAsia" w:ascii="Times New Roman" w:hAnsi="Times New Roman" w:cs="Times New Roman"/>
                <w:lang w:eastAsia="zh-CN"/>
              </w:rPr>
              <w:t>》</w:t>
            </w:r>
          </w:p>
          <w:p>
            <w:pPr>
              <w:widowControl w:val="0"/>
              <w:numPr>
                <w:ilvl w:val="0"/>
                <w:numId w:val="0"/>
              </w:numPr>
              <w:jc w:val="both"/>
              <w:rPr>
                <w:rFonts w:hint="default" w:ascii="Times New Roman" w:hAnsi="Times New Roman" w:cs="Times New Roman"/>
                <w:szCs w:val="21"/>
              </w:rPr>
            </w:pPr>
            <w:r>
              <w:rPr>
                <w:rFonts w:hint="default" w:ascii="Times New Roman" w:hAnsi="Times New Roman" w:cs="Times New Roman"/>
              </w:rPr>
              <w:t>6</w:t>
            </w:r>
            <w:r>
              <w:rPr>
                <w:rFonts w:hint="eastAsia" w:ascii="Times New Roman" w:hAnsi="Times New Roman" w:cs="Times New Roman"/>
                <w:lang w:eastAsia="zh-CN"/>
              </w:rPr>
              <w:t>、《</w:t>
            </w:r>
            <w:r>
              <w:rPr>
                <w:rFonts w:hint="default" w:ascii="Times New Roman" w:hAnsi="Times New Roman" w:cs="Times New Roman"/>
              </w:rPr>
              <w:t>关于授权管理层贷款的议案</w:t>
            </w: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5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2023年第一次临时股东大会</w:t>
            </w:r>
          </w:p>
        </w:tc>
        <w:tc>
          <w:tcPr>
            <w:tcW w:w="76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2023年11月15日</w:t>
            </w:r>
          </w:p>
        </w:tc>
        <w:tc>
          <w:tcPr>
            <w:tcW w:w="962"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www.sse.com.cn</w:t>
            </w:r>
          </w:p>
        </w:tc>
        <w:tc>
          <w:tcPr>
            <w:tcW w:w="705" w:type="pct"/>
            <w:vAlign w:val="center"/>
          </w:tcPr>
          <w:p>
            <w:pPr>
              <w:widowControl w:val="0"/>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2023年11月1</w:t>
            </w:r>
            <w:r>
              <w:rPr>
                <w:rFonts w:hint="default" w:ascii="Times New Roman" w:hAnsi="Times New Roman" w:cs="Times New Roman"/>
                <w:lang w:val="en-US" w:eastAsia="zh-CN"/>
              </w:rPr>
              <w:t>6</w:t>
            </w:r>
            <w:r>
              <w:rPr>
                <w:rFonts w:hint="default" w:ascii="Times New Roman" w:hAnsi="Times New Roman" w:cs="Times New Roman"/>
              </w:rPr>
              <w:t>日</w:t>
            </w:r>
          </w:p>
        </w:tc>
        <w:tc>
          <w:tcPr>
            <w:tcW w:w="1815" w:type="pct"/>
            <w:vAlign w:val="center"/>
          </w:tcPr>
          <w:p>
            <w:pPr>
              <w:widowControl w:val="0"/>
              <w:jc w:val="both"/>
              <w:rPr>
                <w:rFonts w:ascii="Times New Roman" w:hAnsi="Times New Roman" w:cs="Times New Roman"/>
              </w:rPr>
            </w:pPr>
            <w:r>
              <w:rPr>
                <w:rFonts w:ascii="Times New Roman" w:cs="Times New Roman"/>
              </w:rPr>
              <w:t>审议通过以下议案：</w:t>
            </w:r>
          </w:p>
          <w:p>
            <w:pPr>
              <w:widowControl w:val="0"/>
              <w:jc w:val="center"/>
              <w:rPr>
                <w:rFonts w:hint="default" w:ascii="Times New Roman" w:hAnsi="Times New Roman" w:cs="Times New Roman"/>
                <w:szCs w:val="21"/>
              </w:rPr>
            </w:pP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《关于聘请中喜会计师事务所（特殊普通合伙）为公司2023年度财务报表及内部控制审计机构的议案》</w:t>
            </w:r>
          </w:p>
        </w:tc>
      </w:tr>
    </w:tbl>
    <w:p/>
    <w:p/>
    <w:p/>
    <w:p>
      <w:pPr>
        <w:rPr>
          <w:bCs/>
        </w:rPr>
      </w:pPr>
      <w:bookmarkStart w:id="69" w:name="_Hlk41294309"/>
      <w:bookmarkStart w:id="70" w:name="_Hlk89178901"/>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25811"/>
        <w:placeholder>
          <w:docPart w:val="GBC22222222222222222222222222222"/>
        </w:placeholder>
      </w:sdtPr>
      <w:sdtContent>
        <w:p>
          <w:pPr>
            <w:outlineLvl w:val="9"/>
            <w:rPr>
              <w:color w:val="333399"/>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69"/>
    <w:bookmarkEnd w:id="70"/>
    <w:p>
      <w:pPr>
        <w:rPr>
          <w:szCs w:val="21"/>
        </w:rPr>
      </w:pPr>
    </w:p>
    <w:p>
      <w:pPr>
        <w:rPr>
          <w:szCs w:val="21"/>
        </w:rPr>
      </w:pPr>
      <w:r>
        <w:rPr>
          <w:szCs w:val="21"/>
        </w:rPr>
        <w:t>股东大会情况说明</w:t>
      </w:r>
    </w:p>
    <w:sdt>
      <w:sdtPr>
        <w:rPr>
          <w:szCs w:val="21"/>
        </w:rPr>
        <w:alias w:val="是否适用：股东大会情况说明[双击切换]"/>
        <w:tag w:val="_GBC_417d33555ab14709b5640c8830ff5a67"/>
        <w:id w:val="2581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szCs w:val="21"/>
        </w:rPr>
        <w:sectPr>
          <w:pgSz w:w="11906" w:h="16838"/>
          <w:pgMar w:top="1525" w:right="1276" w:bottom="1440" w:left="1797" w:header="855" w:footer="992" w:gutter="0"/>
          <w:cols w:space="425" w:num="1"/>
          <w:docGrid w:linePitch="312" w:charSpace="0"/>
        </w:sectPr>
      </w:pPr>
    </w:p>
    <w:p>
      <w:pPr>
        <w:pStyle w:val="3"/>
        <w:numPr>
          <w:ilvl w:val="0"/>
          <w:numId w:val="21"/>
        </w:numPr>
        <w:ind w:left="450" w:hanging="450"/>
      </w:pPr>
      <w:r>
        <w:t>董事、监事和高级管理人员的情况</w:t>
      </w:r>
    </w:p>
    <w:p>
      <w:pPr>
        <w:pStyle w:val="4"/>
        <w:numPr>
          <w:ilvl w:val="0"/>
          <w:numId w:val="22"/>
        </w:numPr>
        <w:ind w:left="0" w:firstLine="0"/>
      </w:pPr>
      <w:r>
        <w:rPr>
          <w:rFonts w:hint="eastAsia"/>
        </w:rPr>
        <w:t xml:space="preserve"> </w:t>
      </w:r>
      <w:r>
        <w:t>现任及报告期内离任董事</w:t>
      </w:r>
      <w:r>
        <w:rPr>
          <w:rFonts w:hint="eastAsia"/>
        </w:rPr>
        <w:t>、监事和</w:t>
      </w:r>
      <w:r>
        <w:t>高级管理人员持股变动及报酬情况</w:t>
      </w:r>
    </w:p>
    <w:sdt>
      <w:sdtPr>
        <w:alias w:val="是否适用：董事、监事和高级管理人员持股变动[双击切换]"/>
        <w:tag w:val="_GBC_336639f5f1254c87a3d81a366e432afd"/>
        <w:id w:val="25813"/>
        <w:lock w:val="contentLocked"/>
        <w:placeholder>
          <w:docPart w:val="GBC22222222222222222222222222222"/>
        </w:placeholder>
      </w:sdtPr>
      <w:sdtContent>
        <w:p>
          <w:bookmarkStart w:id="71" w:name="_Hlk89179934"/>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25814"/>
          <w:placeholder>
            <w:docPart w:val="GBC33333333333333333333333333333"/>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463"/>
        <w:gridCol w:w="887"/>
        <w:gridCol w:w="575"/>
        <w:gridCol w:w="1538"/>
        <w:gridCol w:w="1650"/>
        <w:gridCol w:w="1278"/>
        <w:gridCol w:w="998"/>
        <w:gridCol w:w="1137"/>
        <w:gridCol w:w="787"/>
        <w:gridCol w:w="121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sdt>
          <w:sdtPr>
            <w:rPr>
              <w:rFonts w:hint="default" w:ascii="Times New Roman" w:hAnsi="Times New Roman" w:cs="Times New Roman"/>
            </w:rPr>
            <w:tag w:val="_PLD_3e935958e5b542f38f53ca8a2618690d"/>
            <w:id w:val="25815"/>
          </w:sdtPr>
          <w:sdtEndPr>
            <w:rPr>
              <w:rFonts w:hint="default" w:ascii="Times New Roman" w:hAnsi="Times New Roman" w:cs="Times New Roman"/>
            </w:rPr>
          </w:sdtEndPr>
          <w:sdtContent>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姓名</w:t>
                </w:r>
              </w:p>
            </w:tc>
          </w:sdtContent>
        </w:sdt>
        <w:sdt>
          <w:sdtPr>
            <w:rPr>
              <w:rFonts w:hint="default" w:ascii="Times New Roman" w:hAnsi="Times New Roman" w:cs="Times New Roman"/>
            </w:rPr>
            <w:tag w:val="_PLD_5ecaa59058dd4312acb6ebb4d88eb6c8"/>
            <w:id w:val="25816"/>
          </w:sdtPr>
          <w:sdtEndPr>
            <w:rPr>
              <w:rFonts w:hint="default" w:ascii="Times New Roman" w:hAnsi="Times New Roman" w:cs="Times New Roman"/>
            </w:rPr>
          </w:sdtEndPr>
          <w:sdtContent>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职务</w:t>
                </w:r>
              </w:p>
            </w:tc>
          </w:sdtContent>
        </w:sdt>
        <w:sdt>
          <w:sdtPr>
            <w:rPr>
              <w:rFonts w:hint="default" w:ascii="Times New Roman" w:hAnsi="Times New Roman" w:cs="Times New Roman"/>
            </w:rPr>
            <w:tag w:val="_PLD_f907f9c5cdf94b2ba9e217c0aaaf2c60"/>
            <w:id w:val="25817"/>
          </w:sdtPr>
          <w:sdtEndPr>
            <w:rPr>
              <w:rFonts w:hint="default" w:ascii="Times New Roman" w:hAnsi="Times New Roman" w:cs="Times New Roman"/>
            </w:rPr>
          </w:sdtEndPr>
          <w:sdtContent>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性别</w:t>
                </w:r>
              </w:p>
            </w:tc>
          </w:sdtContent>
        </w:sdt>
        <w:sdt>
          <w:sdtPr>
            <w:rPr>
              <w:rFonts w:hint="default" w:ascii="Times New Roman" w:hAnsi="Times New Roman" w:cs="Times New Roman"/>
            </w:rPr>
            <w:tag w:val="_PLD_9b2689bca35f4a3ebc7adf135b295bd6"/>
            <w:id w:val="25818"/>
          </w:sdtPr>
          <w:sdtEndPr>
            <w:rPr>
              <w:rFonts w:hint="default" w:ascii="Times New Roman" w:hAnsi="Times New Roman" w:cs="Times New Roman"/>
            </w:rPr>
          </w:sdtEndPr>
          <w:sdtContent>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年龄</w:t>
                </w:r>
              </w:p>
            </w:tc>
          </w:sdtContent>
        </w:sdt>
        <w:sdt>
          <w:sdtPr>
            <w:rPr>
              <w:rFonts w:hint="default" w:ascii="Times New Roman" w:hAnsi="Times New Roman" w:cs="Times New Roman"/>
            </w:rPr>
            <w:tag w:val="_PLD_3844eb481c79444fba199a9d3c3b8bf7"/>
            <w:id w:val="25819"/>
          </w:sdtPr>
          <w:sdtEndPr>
            <w:rPr>
              <w:rFonts w:hint="default" w:ascii="Times New Roman" w:hAnsi="Times New Roman" w:cs="Times New Roman"/>
            </w:rPr>
          </w:sdtEndPr>
          <w:sdtContent>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任期起始日期</w:t>
                </w:r>
              </w:p>
            </w:tc>
          </w:sdtContent>
        </w:sdt>
        <w:sdt>
          <w:sdtPr>
            <w:rPr>
              <w:rFonts w:hint="default" w:ascii="Times New Roman" w:hAnsi="Times New Roman" w:cs="Times New Roman"/>
            </w:rPr>
            <w:tag w:val="_PLD_94806df607544b4b97b389da94daaf66"/>
            <w:id w:val="25820"/>
          </w:sdtPr>
          <w:sdtEndPr>
            <w:rPr>
              <w:rFonts w:hint="default" w:ascii="Times New Roman" w:hAnsi="Times New Roman" w:cs="Times New Roman"/>
            </w:rPr>
          </w:sdtEndPr>
          <w:sdtContent>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任期终止日期</w:t>
                </w:r>
              </w:p>
            </w:tc>
          </w:sdtContent>
        </w:sdt>
        <w:sdt>
          <w:sdtPr>
            <w:rPr>
              <w:rFonts w:hint="default" w:ascii="Times New Roman" w:hAnsi="Times New Roman" w:cs="Times New Roman"/>
            </w:rPr>
            <w:tag w:val="_PLD_5e35d588fd7f4cb3af49fcbd9e313ac2"/>
            <w:id w:val="25821"/>
          </w:sdtPr>
          <w:sdtEndPr>
            <w:rPr>
              <w:rFonts w:hint="default" w:ascii="Times New Roman" w:hAnsi="Times New Roman" w:cs="Times New Roman"/>
            </w:rPr>
          </w:sdtEndPr>
          <w:sdtContent>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年初持股数</w:t>
                </w:r>
              </w:p>
            </w:tc>
          </w:sdtContent>
        </w:sdt>
        <w:sdt>
          <w:sdtPr>
            <w:rPr>
              <w:rFonts w:hint="default" w:ascii="Times New Roman" w:hAnsi="Times New Roman" w:cs="Times New Roman"/>
            </w:rPr>
            <w:tag w:val="_PLD_af0cabd7e3f44b95b26464bc652333c2"/>
            <w:id w:val="25822"/>
          </w:sdtPr>
          <w:sdtEndPr>
            <w:rPr>
              <w:rFonts w:hint="default" w:ascii="Times New Roman" w:hAnsi="Times New Roman" w:cs="Times New Roman"/>
            </w:rPr>
          </w:sdtEndPr>
          <w:sdtContent>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年末持股数</w:t>
                </w:r>
              </w:p>
            </w:tc>
          </w:sdtContent>
        </w:sdt>
        <w:sdt>
          <w:sdtPr>
            <w:rPr>
              <w:rFonts w:hint="default" w:ascii="Times New Roman" w:hAnsi="Times New Roman" w:cs="Times New Roman"/>
            </w:rPr>
            <w:tag w:val="_PLD_0b9453da77b34ba68718efe69463399a"/>
            <w:id w:val="25823"/>
          </w:sdtPr>
          <w:sdtEndPr>
            <w:rPr>
              <w:rFonts w:hint="default" w:ascii="Times New Roman" w:hAnsi="Times New Roman" w:cs="Times New Roman"/>
            </w:rPr>
          </w:sdtEndPr>
          <w:sdtContent>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年度内股份增减变动量</w:t>
                </w:r>
              </w:p>
            </w:tc>
          </w:sdtContent>
        </w:sdt>
        <w:sdt>
          <w:sdtPr>
            <w:rPr>
              <w:rFonts w:hint="default" w:ascii="Times New Roman" w:hAnsi="Times New Roman" w:cs="Times New Roman"/>
            </w:rPr>
            <w:tag w:val="_PLD_32c045d1529e42b7999b1f0c6b6e43a6"/>
            <w:id w:val="25824"/>
          </w:sdtPr>
          <w:sdtEndPr>
            <w:rPr>
              <w:rFonts w:hint="default" w:ascii="Times New Roman" w:hAnsi="Times New Roman" w:cs="Times New Roman"/>
            </w:rPr>
          </w:sdtEndPr>
          <w:sdtContent>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增减变动原因</w:t>
                </w:r>
              </w:p>
            </w:tc>
          </w:sdtContent>
        </w:sdt>
        <w:sdt>
          <w:sdtPr>
            <w:rPr>
              <w:rFonts w:hint="default" w:ascii="Times New Roman" w:hAnsi="Times New Roman" w:cs="Times New Roman"/>
            </w:rPr>
            <w:tag w:val="_PLD_47ee572944fa4c8098ef9eeca67d2eb2"/>
            <w:id w:val="25825"/>
            <w:placeholder>
              <w:docPart w:val="{53b7ebe8-324a-4236-bfbd-862527598ad6}"/>
            </w:placeholder>
          </w:sdtPr>
          <w:sdtEndPr>
            <w:rPr>
              <w:rFonts w:hint="default" w:ascii="Times New Roman" w:hAnsi="Times New Roman" w:cs="Times New Roman"/>
            </w:rPr>
          </w:sdtEndPr>
          <w:sdtContent>
            <w:tc>
              <w:tcPr>
                <w:tcW w:w="429" w:type="pct"/>
                <w:vAlign w:val="center"/>
              </w:tcPr>
              <w:p>
                <w:pPr>
                  <w:widowControl w:val="0"/>
                  <w:jc w:val="center"/>
                  <w:rPr>
                    <w:rFonts w:hint="default" w:ascii="Times New Roman" w:hAnsi="Times New Roman" w:cs="Times New Roman"/>
                  </w:rPr>
                </w:pPr>
                <w:r>
                  <w:rPr>
                    <w:rFonts w:hint="default" w:ascii="Times New Roman" w:hAnsi="Times New Roman" w:cs="Times New Roman"/>
                  </w:rPr>
                  <w:t>报告期内从公司获得的税前报酬总额（</w:t>
                </w:r>
                <w:sdt>
                  <w:sdtPr>
                    <w:rPr>
                      <w:rFonts w:hint="default" w:ascii="Times New Roman" w:hAnsi="Times New Roman" w:cs="Times New Roman"/>
                    </w:rPr>
                    <w:alias w:val="单位：报告期内从公司获得的税前报酬总额"/>
                    <w:tag w:val="_GBC_84bf98b6209e4e62813239bd0860e78d"/>
                    <w:id w:val="25826"/>
                    <w:comboBox>
                      <w:listItem w:displayText="元" w:value="元"/>
                      <w:listItem w:displayText="千元" w:value="千元"/>
                      <w:listItem w:displayText="万元" w:value="万元"/>
                      <w:listItem w:displayText="百万元" w:value="百万元"/>
                      <w:listItem w:displayText="亿元" w:value="亿元"/>
                    </w:comboBox>
                  </w:sdtPr>
                  <w:sdtEndPr>
                    <w:rPr>
                      <w:rFonts w:hint="default" w:ascii="Times New Roman" w:hAnsi="Times New Roman" w:cs="Times New Roman"/>
                    </w:rPr>
                  </w:sdtEndPr>
                  <w:sdtContent>
                    <w:r>
                      <w:rPr>
                        <w:rFonts w:hint="default" w:ascii="Times New Roman" w:hAnsi="Times New Roman" w:cs="Times New Roman"/>
                      </w:rPr>
                      <w:t>万元</w:t>
                    </w:r>
                  </w:sdtContent>
                </w:sdt>
                <w:r>
                  <w:rPr>
                    <w:rFonts w:hint="default" w:ascii="Times New Roman" w:hAnsi="Times New Roman" w:cs="Times New Roman"/>
                  </w:rPr>
                  <w:t>）</w:t>
                </w:r>
              </w:p>
            </w:tc>
          </w:sdtContent>
        </w:sdt>
        <w:sdt>
          <w:sdtPr>
            <w:rPr>
              <w:rFonts w:hint="default" w:ascii="Times New Roman" w:hAnsi="Times New Roman" w:cs="Times New Roman"/>
              <w:szCs w:val="21"/>
            </w:rPr>
            <w:tag w:val="_PLD_efdfb631398b46bfa3656e39fd8c5fca"/>
            <w:id w:val="25827"/>
          </w:sdtPr>
          <w:sdtEndPr>
            <w:rPr>
              <w:rFonts w:hint="default" w:ascii="Times New Roman" w:hAnsi="Times New Roman" w:cs="Times New Roman"/>
              <w:szCs w:val="21"/>
            </w:rPr>
          </w:sdtEndPr>
          <w:sdtContent>
            <w:tc>
              <w:tcPr>
                <w:tcW w:w="429" w:type="pct"/>
                <w:vAlign w:val="center"/>
              </w:tcPr>
              <w:p>
                <w:pPr>
                  <w:widowControl w:val="0"/>
                  <w:jc w:val="center"/>
                  <w:rPr>
                    <w:rFonts w:hint="default" w:ascii="Times New Roman" w:hAnsi="Times New Roman" w:cs="Times New Roman"/>
                  </w:rPr>
                </w:pPr>
                <w:r>
                  <w:rPr>
                    <w:rFonts w:hint="default" w:ascii="Times New Roman" w:hAnsi="Times New Roman" w:cs="Times New Roman"/>
                    <w:szCs w:val="21"/>
                  </w:rPr>
                  <w:t>是否在公司关联方获取报酬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林钻煌</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董事长</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58</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36,680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36,680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45.31</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28"/>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龚慧泉</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总裁</w:t>
            </w:r>
          </w:p>
        </w:tc>
        <w:tc>
          <w:tcPr>
            <w:tcW w:w="314"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53</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2022-07-20</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34.29</w:t>
            </w:r>
          </w:p>
        </w:tc>
        <w:tc>
          <w:tcPr>
            <w:tcW w:w="429" w:type="pct"/>
            <w:vMerge w:val="restart"/>
            <w:vAlign w:val="center"/>
          </w:tcPr>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29"/>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Merge w:val="continue"/>
            <w:vAlign w:val="center"/>
          </w:tcPr>
          <w:p>
            <w:pPr>
              <w:widowControl w:val="0"/>
              <w:jc w:val="center"/>
              <w:rPr>
                <w:rFonts w:hint="default" w:ascii="Times New Roman" w:hAnsi="Times New Roman" w:cs="Times New Roman"/>
                <w:szCs w:val="21"/>
              </w:rPr>
            </w:pP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副董事长</w:t>
            </w:r>
          </w:p>
        </w:tc>
        <w:tc>
          <w:tcPr>
            <w:tcW w:w="314" w:type="pct"/>
            <w:vMerge w:val="continue"/>
            <w:vAlign w:val="center"/>
          </w:tcPr>
          <w:p>
            <w:pPr>
              <w:widowControl w:val="0"/>
              <w:jc w:val="center"/>
              <w:rPr>
                <w:rFonts w:hint="default" w:ascii="Times New Roman" w:hAnsi="Times New Roman" w:cs="Times New Roman"/>
                <w:szCs w:val="21"/>
              </w:rPr>
            </w:pPr>
          </w:p>
        </w:tc>
        <w:tc>
          <w:tcPr>
            <w:tcW w:w="204" w:type="pct"/>
            <w:vMerge w:val="continue"/>
            <w:vAlign w:val="center"/>
          </w:tcPr>
          <w:p>
            <w:pPr>
              <w:widowControl w:val="0"/>
              <w:jc w:val="center"/>
              <w:rPr>
                <w:rFonts w:hint="default" w:ascii="Times New Roman" w:hAnsi="Times New Roman" w:cs="Times New Roman"/>
                <w:szCs w:val="21"/>
              </w:rPr>
            </w:pP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2022-11-18</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Merge w:val="continue"/>
            <w:vAlign w:val="center"/>
          </w:tcPr>
          <w:p>
            <w:pPr>
              <w:widowControl w:val="0"/>
              <w:jc w:val="center"/>
              <w:rPr>
                <w:rFonts w:hint="default" w:ascii="Times New Roman" w:hAnsi="Times New Roman" w:cs="Times New Roman"/>
                <w:szCs w:val="21"/>
              </w:rPr>
            </w:pPr>
          </w:p>
        </w:tc>
        <w:tc>
          <w:tcPr>
            <w:tcW w:w="354" w:type="pct"/>
            <w:vMerge w:val="continue"/>
            <w:vAlign w:val="center"/>
          </w:tcPr>
          <w:p>
            <w:pPr>
              <w:widowControl w:val="0"/>
              <w:jc w:val="center"/>
              <w:rPr>
                <w:rFonts w:hint="default" w:ascii="Times New Roman" w:hAnsi="Times New Roman" w:cs="Times New Roman"/>
                <w:szCs w:val="21"/>
              </w:rPr>
            </w:pPr>
          </w:p>
        </w:tc>
        <w:tc>
          <w:tcPr>
            <w:tcW w:w="403" w:type="pct"/>
            <w:vMerge w:val="continue"/>
            <w:vAlign w:val="center"/>
          </w:tcPr>
          <w:p>
            <w:pPr>
              <w:widowControl w:val="0"/>
              <w:jc w:val="center"/>
              <w:rPr>
                <w:rFonts w:hint="default" w:ascii="Times New Roman" w:hAnsi="Times New Roman" w:cs="Times New Roman"/>
                <w:szCs w:val="21"/>
              </w:rPr>
            </w:pPr>
          </w:p>
        </w:tc>
        <w:tc>
          <w:tcPr>
            <w:tcW w:w="279" w:type="pct"/>
            <w:vMerge w:val="continue"/>
            <w:vAlign w:val="center"/>
          </w:tcPr>
          <w:p>
            <w:pPr>
              <w:widowControl w:val="0"/>
              <w:jc w:val="center"/>
              <w:rPr>
                <w:rFonts w:hint="default" w:ascii="Times New Roman" w:hAnsi="Times New Roman" w:cs="Times New Roman"/>
                <w:szCs w:val="21"/>
              </w:rPr>
            </w:pPr>
          </w:p>
        </w:tc>
        <w:tc>
          <w:tcPr>
            <w:tcW w:w="429" w:type="pct"/>
            <w:vMerge w:val="continue"/>
            <w:vAlign w:val="center"/>
          </w:tcPr>
          <w:p>
            <w:pPr>
              <w:widowControl w:val="0"/>
              <w:jc w:val="center"/>
              <w:rPr>
                <w:rFonts w:hint="default" w:ascii="Times New Roman" w:hAnsi="Times New Roman" w:cs="Times New Roman"/>
                <w:szCs w:val="21"/>
              </w:rPr>
            </w:pPr>
          </w:p>
        </w:tc>
        <w:tc>
          <w:tcPr>
            <w:tcW w:w="429" w:type="pct"/>
            <w:vMerge w:val="continue"/>
            <w:vAlign w:val="center"/>
          </w:tcPr>
          <w:p>
            <w:pPr>
              <w:widowControl w:val="0"/>
              <w:jc w:val="center"/>
              <w:rPr>
                <w:rFonts w:hint="default" w:ascii="Times New Roman" w:hAnsi="Times New Roman" w:cs="Times New Roman" w:eastAsiaTheme="minorEastAsia"/>
                <w:kern w:val="2"/>
                <w:szCs w:val="21"/>
                <w14:ligatures w14:val="standardContextu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王为民</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董事、副总裁、财务总监</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57</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35,000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35,000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38.49</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0"/>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孙雪东</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董事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48</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2022-06-24</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p>
        </w:tc>
        <w:tc>
          <w:tcPr>
            <w:tcW w:w="429"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1"/>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唐 鹏</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职工董事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47</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14.60</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2"/>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张重义</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独立董事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60</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4.26</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3"/>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余 兵</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独立董事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54</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4.26</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4"/>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魏 佳</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独立董事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44</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4.26</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5"/>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牟 创</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监事会主席</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53</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6"/>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莫瑞珖</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监事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53</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14,700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14,700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14.98</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7"/>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雷 讯</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职工监事</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57</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4,500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4,500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12.40</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8"/>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杨 玲</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副总裁</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女</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49</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37.35</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39"/>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韦元贤</w:t>
            </w:r>
          </w:p>
        </w:tc>
        <w:tc>
          <w:tcPr>
            <w:tcW w:w="51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董事会秘书</w:t>
            </w:r>
          </w:p>
        </w:tc>
        <w:tc>
          <w:tcPr>
            <w:tcW w:w="31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男</w:t>
            </w:r>
          </w:p>
        </w:tc>
        <w:tc>
          <w:tcPr>
            <w:tcW w:w="20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51</w:t>
            </w:r>
          </w:p>
        </w:tc>
        <w:tc>
          <w:tcPr>
            <w:tcW w:w="54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2021-07-16</w:t>
            </w:r>
          </w:p>
        </w:tc>
        <w:tc>
          <w:tcPr>
            <w:tcW w:w="585"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2024-07-15</w:t>
            </w:r>
          </w:p>
        </w:tc>
        <w:tc>
          <w:tcPr>
            <w:tcW w:w="45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35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40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0</w:t>
            </w:r>
          </w:p>
        </w:tc>
        <w:tc>
          <w:tcPr>
            <w:tcW w:w="27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42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23.41</w:t>
            </w:r>
          </w:p>
        </w:tc>
        <w:sdt>
          <w:sdtPr>
            <w:rPr>
              <w:rFonts w:hint="default" w:ascii="Times New Roman" w:hAnsi="Times New Roman" w:cs="Times New Roman" w:eastAsiaTheme="minorEastAsia"/>
              <w:kern w:val="2"/>
              <w:szCs w:val="21"/>
              <w14:ligatures w14:val="standardContextual"/>
            </w:rPr>
            <w:alias w:val="董事、监事、高级管理人员是否在公司关联方获取报酬"/>
            <w:tag w:val="_GBC_ca79c4e139754ecd84ca3e60eb23b31d"/>
            <w:id w:val="25840"/>
            <w:comboBox>
              <w:listItem w:displayText="是" w:value="是"/>
              <w:listItem w:displayText="否" w:value="否"/>
            </w:comboBox>
          </w:sdtPr>
          <w:sdtEndPr>
            <w:rPr>
              <w:rFonts w:hint="default" w:ascii="Times New Roman" w:hAnsi="Times New Roman" w:cs="Times New Roman" w:eastAsiaTheme="minorEastAsia"/>
              <w:kern w:val="2"/>
              <w:szCs w:val="21"/>
              <w14:ligatures w14:val="standardContextual"/>
            </w:rPr>
          </w:sdtEndPr>
          <w:sdtContent>
            <w:tc>
              <w:tcPr>
                <w:tcW w:w="429" w:type="pct"/>
                <w:vAlign w:val="center"/>
              </w:tcPr>
              <w:p>
                <w:pPr>
                  <w:widowControl w:val="0"/>
                  <w:jc w:val="center"/>
                  <w:rPr>
                    <w:rFonts w:hint="default" w:ascii="Times New Roman" w:hAnsi="Times New Roman" w:cs="Times New Roman" w:eastAsiaTheme="minorEastAsia"/>
                    <w:kern w:val="2"/>
                    <w:szCs w:val="21"/>
                    <w14:ligatures w14:val="standardContextual"/>
                  </w:rPr>
                </w:pPr>
                <w:r>
                  <w:rPr>
                    <w:rFonts w:hint="default" w:ascii="Times New Roman" w:hAnsi="Times New Roman" w:cs="Times New Roman" w:eastAsiaTheme="minorEastAsia"/>
                    <w:kern w:val="2"/>
                    <w:sz w:val="21"/>
                    <w:szCs w:val="21"/>
                    <w:lang w:val="en-US" w:eastAsia="zh-CN" w:bidi="ar-SA"/>
                    <w14:ligatures w14:val="standardContextual"/>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519"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c>
          <w:tcPr>
            <w:tcW w:w="314"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c>
          <w:tcPr>
            <w:tcW w:w="204"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c>
          <w:tcPr>
            <w:tcW w:w="545"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c>
          <w:tcPr>
            <w:tcW w:w="585"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c>
          <w:tcPr>
            <w:tcW w:w="453" w:type="pct"/>
            <w:tcBorders>
              <w:bottom w:val="single" w:color="auto" w:sz="4" w:space="0"/>
            </w:tcBorders>
            <w:vAlign w:val="center"/>
          </w:tcPr>
          <w:p>
            <w:pPr>
              <w:widowControl w:val="0"/>
              <w:jc w:val="center"/>
              <w:rPr>
                <w:rFonts w:hint="default" w:ascii="Times New Roman" w:hAnsi="Times New Roman" w:cs="Times New Roman"/>
                <w:szCs w:val="21"/>
                <w:lang w:val="en-US"/>
              </w:rPr>
            </w:pPr>
            <w:r>
              <w:rPr>
                <w:rFonts w:hint="default" w:ascii="Times New Roman" w:hAnsi="Times New Roman" w:cs="Times New Roman"/>
              </w:rPr>
              <w:t>9</w:t>
            </w:r>
            <w:r>
              <w:rPr>
                <w:rFonts w:hint="eastAsia" w:ascii="Times New Roman" w:hAnsi="Times New Roman" w:cs="Times New Roman"/>
                <w:lang w:val="en-US" w:eastAsia="zh-CN"/>
              </w:rPr>
              <w:t>0</w:t>
            </w:r>
            <w:r>
              <w:rPr>
                <w:rFonts w:hint="default" w:ascii="Times New Roman" w:hAnsi="Times New Roman" w:cs="Times New Roman"/>
              </w:rPr>
              <w:t>,8</w:t>
            </w:r>
            <w:r>
              <w:rPr>
                <w:rFonts w:hint="eastAsia" w:ascii="Times New Roman" w:hAnsi="Times New Roman" w:cs="Times New Roman"/>
                <w:lang w:val="en-US" w:eastAsia="zh-CN"/>
              </w:rPr>
              <w:t>80</w:t>
            </w:r>
          </w:p>
        </w:tc>
        <w:tc>
          <w:tcPr>
            <w:tcW w:w="354" w:type="pct"/>
            <w:tcBorders>
              <w:bottom w:val="single" w:color="auto" w:sz="4" w:space="0"/>
            </w:tcBorders>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rPr>
              <w:t>9</w:t>
            </w:r>
            <w:r>
              <w:rPr>
                <w:rFonts w:hint="eastAsia" w:ascii="Times New Roman" w:hAnsi="Times New Roman" w:cs="Times New Roman"/>
                <w:lang w:val="en-US" w:eastAsia="zh-CN"/>
              </w:rPr>
              <w:t>0</w:t>
            </w:r>
            <w:r>
              <w:rPr>
                <w:rFonts w:hint="default" w:ascii="Times New Roman" w:hAnsi="Times New Roman" w:cs="Times New Roman"/>
              </w:rPr>
              <w:t>,8</w:t>
            </w:r>
            <w:r>
              <w:rPr>
                <w:rFonts w:hint="eastAsia" w:ascii="Times New Roman" w:hAnsi="Times New Roman" w:cs="Times New Roman"/>
                <w:lang w:val="en-US" w:eastAsia="zh-CN"/>
              </w:rPr>
              <w:t>80</w:t>
            </w:r>
          </w:p>
        </w:tc>
        <w:tc>
          <w:tcPr>
            <w:tcW w:w="403"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w:t>
            </w:r>
          </w:p>
        </w:tc>
        <w:tc>
          <w:tcPr>
            <w:tcW w:w="279"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c>
          <w:tcPr>
            <w:tcW w:w="429"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233.61</w:t>
            </w:r>
          </w:p>
        </w:tc>
        <w:tc>
          <w:tcPr>
            <w:tcW w:w="429"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w:t>
            </w:r>
          </w:p>
        </w:tc>
      </w:tr>
    </w:tbl>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tag w:val="_PLD_1525b90cb0c248978acb54a7f361f6a2"/>
            <w:id w:val="25841"/>
          </w:sdtPr>
          <w:sdtContent>
            <w:tc>
              <w:tcPr>
                <w:tcW w:w="1384" w:type="dxa"/>
                <w:vAlign w:val="center"/>
              </w:tcPr>
              <w:p>
                <w:pPr>
                  <w:widowControl w:val="0"/>
                  <w:jc w:val="center"/>
                  <w:rPr>
                    <w:szCs w:val="21"/>
                  </w:rPr>
                </w:pPr>
                <w:bookmarkStart w:id="72" w:name="_Hlk155082088"/>
                <w:r>
                  <w:rPr>
                    <w:rFonts w:hint="eastAsia"/>
                    <w:szCs w:val="21"/>
                  </w:rPr>
                  <w:t>姓名</w:t>
                </w:r>
              </w:p>
            </w:tc>
          </w:sdtContent>
        </w:sdt>
        <w:sdt>
          <w:sdtPr>
            <w:tag w:val="_PLD_61b466aae87d4dac813a38c2c8e6a492"/>
            <w:id w:val="25842"/>
          </w:sdtPr>
          <w:sdtEndPr>
            <w:rPr>
              <w:highlight w:val="yellow"/>
            </w:rPr>
          </w:sdtEndPr>
          <w:sdtContent>
            <w:tc>
              <w:tcPr>
                <w:tcW w:w="12705" w:type="dxa"/>
                <w:vAlign w:val="center"/>
              </w:tcPr>
              <w:p>
                <w:pPr>
                  <w:widowControl w:val="0"/>
                  <w:jc w:val="center"/>
                  <w:rPr>
                    <w:szCs w:val="21"/>
                  </w:rPr>
                </w:pPr>
                <w:r>
                  <w:rPr>
                    <w:szCs w:val="21"/>
                  </w:rPr>
                  <w:t>主要工作经历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林钻煌</w:t>
            </w:r>
          </w:p>
        </w:tc>
        <w:tc>
          <w:tcPr>
            <w:tcW w:w="12705" w:type="dxa"/>
            <w:vAlign w:val="center"/>
          </w:tcPr>
          <w:p>
            <w:pPr>
              <w:widowControl w:val="0"/>
              <w:jc w:val="left"/>
              <w:rPr>
                <w:szCs w:val="21"/>
              </w:rPr>
            </w:pPr>
            <w:r>
              <w:t>博士，高级工程师。曾任公司董事、总裁</w:t>
            </w:r>
            <w:r>
              <w:rPr>
                <w:rFonts w:hint="eastAsia"/>
                <w:lang w:eastAsia="zh-CN"/>
              </w:rPr>
              <w:t>，</w:t>
            </w:r>
            <w:r>
              <w:t>广西两面针亿康药业股份有限公司董事长。现任公司党委书记、董事长，兼任安徽两面针·芳草日化有限公司董事长、两面针（江苏）实业有限公司董事长。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龚慧泉</w:t>
            </w:r>
          </w:p>
        </w:tc>
        <w:tc>
          <w:tcPr>
            <w:tcW w:w="12705" w:type="dxa"/>
            <w:vAlign w:val="center"/>
          </w:tcPr>
          <w:p>
            <w:pPr>
              <w:widowControl w:val="0"/>
              <w:jc w:val="left"/>
              <w:rPr>
                <w:szCs w:val="21"/>
              </w:rPr>
            </w:pPr>
            <w:r>
              <w:t>研究生，经济师。曾任广西柳州市产业投资发展集团有限公司</w:t>
            </w:r>
            <w:r>
              <w:rPr>
                <w:rFonts w:hint="eastAsia"/>
              </w:rPr>
              <w:t>党委委员、董事、副总经理</w:t>
            </w:r>
            <w:r>
              <w:t>，柳州化工股份有限公司监事会召集人</w:t>
            </w:r>
            <w:r>
              <w:rPr>
                <w:rFonts w:hint="eastAsia"/>
              </w:rPr>
              <w:t>，东风柳州汽车有限公司董事，柳州桂中海迅物流股份有限公司副董事长，柳州市政府创新创业投资引导基金管理有限公司副总经理，</w:t>
            </w:r>
            <w:r>
              <w:rPr>
                <w:rFonts w:ascii="Times New Roman" w:cs="Times New Roman"/>
              </w:rPr>
              <w:t>柳州市智甲金属科技有限公司</w:t>
            </w:r>
            <w:r>
              <w:rPr>
                <w:rFonts w:hint="eastAsia" w:ascii="Times New Roman" w:cs="Times New Roman"/>
              </w:rPr>
              <w:t>董事，</w:t>
            </w:r>
            <w:r>
              <w:rPr>
                <w:rFonts w:ascii="Times New Roman" w:cs="Times New Roman"/>
              </w:rPr>
              <w:t>柳州欧维姆机械股份有限公司</w:t>
            </w:r>
            <w:r>
              <w:rPr>
                <w:rFonts w:hint="eastAsia" w:ascii="Times New Roman" w:cs="Times New Roman"/>
              </w:rPr>
              <w:t>董事，</w:t>
            </w:r>
            <w:r>
              <w:rPr>
                <w:rFonts w:ascii="Times New Roman" w:cs="Times New Roman"/>
              </w:rPr>
              <w:t>柳州市元成金属制品有限责任公司</w:t>
            </w:r>
            <w:r>
              <w:rPr>
                <w:rFonts w:hint="eastAsia" w:ascii="Times New Roman" w:cs="Times New Roman"/>
              </w:rPr>
              <w:t>执行董事</w:t>
            </w:r>
            <w:r>
              <w:t>。现任公司</w:t>
            </w:r>
            <w:r>
              <w:rPr>
                <w:rFonts w:hint="eastAsia"/>
              </w:rPr>
              <w:t>党委副书记、副董事长</w:t>
            </w:r>
            <w:r>
              <w:t>、总裁</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王为民</w:t>
            </w:r>
          </w:p>
        </w:tc>
        <w:tc>
          <w:tcPr>
            <w:tcW w:w="12705" w:type="dxa"/>
            <w:vAlign w:val="center"/>
          </w:tcPr>
          <w:p>
            <w:pPr>
              <w:widowControl w:val="0"/>
              <w:jc w:val="left"/>
              <w:rPr>
                <w:rFonts w:ascii="宋体" w:hAnsi="宋体" w:eastAsia="宋体" w:cs="宋体"/>
                <w:sz w:val="21"/>
                <w:szCs w:val="21"/>
                <w:lang w:val="en-US" w:eastAsia="zh-CN" w:bidi="ar-SA"/>
              </w:rPr>
            </w:pPr>
            <w:r>
              <w:t>本科，会计师。曾任公司董事、副总裁、董事会秘书，柳州两面针房地产开发有限公司董事长、盐城捷康三氯蔗糖制造有限公司董事长。现任公司董事、副总裁、财务总监。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孙雪东</w:t>
            </w:r>
          </w:p>
        </w:tc>
        <w:tc>
          <w:tcPr>
            <w:tcW w:w="12705" w:type="dxa"/>
            <w:vAlign w:val="center"/>
          </w:tcPr>
          <w:p>
            <w:pPr>
              <w:widowControl w:val="0"/>
              <w:jc w:val="left"/>
              <w:rPr>
                <w:rFonts w:hint="eastAsia" w:eastAsia="宋体"/>
                <w:szCs w:val="21"/>
                <w:lang w:eastAsia="zh-CN"/>
              </w:rPr>
            </w:pPr>
            <w:r>
              <w:rPr>
                <w:rFonts w:hint="eastAsia"/>
                <w:szCs w:val="21"/>
              </w:rPr>
              <w:t>研究生，一级教师（中学）职称。现任本公司董事；广西柳州市产业投资发展集团有限公司党委委员、副总经理、总法律顾问（兼）；广西桂威投资股份有限公司董事；广西广投柳州铝业股份有限公司（原广西柳州银海铝业股份有限公司）董事；柳州市城市更新投资发展有限公司党支部书记；柳州市元宏投资发展有限公司执行董事（法定代表人）兼经理；柳州化工股份有限公司董事；柳州市慧荣实业发展有限公司董事长；柳州市沁原纸业发展有限公司董事长；柳州市工业控股有限公司董事长；柳州市纺织控股（集团）有限公司执行董事（法定代表人）；柳州欧维姆机械股份有限公司董事；柳州市智甲金属科技有限公司董事；柳州市资产经营有限公司董事长；柳州市产业引导基金投资管理有限公司董事长、总经理；柳州市一二五工程产业创新引导基金管理有限公司董事长、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唐 鹏</w:t>
            </w:r>
          </w:p>
        </w:tc>
        <w:tc>
          <w:tcPr>
            <w:tcW w:w="12705" w:type="dxa"/>
            <w:vAlign w:val="center"/>
          </w:tcPr>
          <w:p>
            <w:pPr>
              <w:widowControl w:val="0"/>
              <w:jc w:val="left"/>
              <w:rPr>
                <w:szCs w:val="21"/>
              </w:rPr>
            </w:pPr>
            <w:r>
              <w:t>大专，工程师。曾任公司督察审计部副部长、计划财务部副部长、日化部行政人事部经理、战略规划部副部长、洗化业务部部长</w:t>
            </w:r>
            <w:r>
              <w:rPr>
                <w:rFonts w:hint="eastAsia"/>
                <w:lang w:eastAsia="zh-CN"/>
              </w:rPr>
              <w:t>、</w:t>
            </w:r>
            <w:r>
              <w:t>柳州两面针纸业有限公司企管部副部长。现任公司职工董事、战略规划部部长。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4" w:type="dxa"/>
            <w:vAlign w:val="center"/>
          </w:tcPr>
          <w:p>
            <w:pPr>
              <w:widowControl w:val="0"/>
              <w:jc w:val="center"/>
              <w:rPr>
                <w:rFonts w:hint="eastAsia" w:eastAsia="宋体"/>
                <w:szCs w:val="21"/>
                <w:lang w:eastAsia="zh-CN"/>
              </w:rPr>
            </w:pPr>
            <w:r>
              <w:t>张重义</w:t>
            </w:r>
          </w:p>
        </w:tc>
        <w:tc>
          <w:tcPr>
            <w:tcW w:w="12705" w:type="dxa"/>
            <w:vAlign w:val="center"/>
          </w:tcPr>
          <w:p>
            <w:pPr>
              <w:widowControl w:val="0"/>
              <w:jc w:val="left"/>
              <w:rPr>
                <w:szCs w:val="21"/>
              </w:rPr>
            </w:pPr>
            <w:r>
              <w:t>博士，福建农林大学农学院教授，博士生导师，福建省“闽江学者”特聘教授。现任</w:t>
            </w:r>
            <w:r>
              <w:rPr>
                <w:rFonts w:hint="eastAsia"/>
                <w:lang w:val="en-US" w:eastAsia="zh-CN"/>
              </w:rPr>
              <w:t>本公司独立董事、中国生态学学会中药资源生态学专业委员会主任委员、中国自然资源学会天然药物资源专业委员会副主任委员和国家药品监督管理局中药</w:t>
            </w:r>
            <w:r>
              <w:rPr>
                <w:rFonts w:hint="default" w:ascii="Times New Roman" w:hAnsi="Times New Roman" w:cs="Times New Roman"/>
                <w:lang w:val="en-US" w:eastAsia="zh-CN"/>
              </w:rPr>
              <w:t>材GAP专</w:t>
            </w:r>
            <w:r>
              <w:rPr>
                <w:rFonts w:hint="eastAsia"/>
                <w:lang w:val="en-US" w:eastAsia="zh-CN"/>
              </w:rPr>
              <w:t>家组成员和药品评审中心外聘专家等。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余 兵</w:t>
            </w:r>
          </w:p>
        </w:tc>
        <w:tc>
          <w:tcPr>
            <w:tcW w:w="12705" w:type="dxa"/>
            <w:vAlign w:val="center"/>
          </w:tcPr>
          <w:p>
            <w:pPr>
              <w:widowControl w:val="0"/>
              <w:jc w:val="left"/>
              <w:rPr>
                <w:rFonts w:hint="eastAsia" w:eastAsia="宋体"/>
                <w:szCs w:val="21"/>
                <w:lang w:eastAsia="zh-CN"/>
              </w:rPr>
            </w:pPr>
            <w:r>
              <w:t>本科，注册会计师。曾任中磊会计师事务所广西分所高级经理</w:t>
            </w:r>
            <w:r>
              <w:rPr>
                <w:rFonts w:hint="eastAsia"/>
                <w:lang w:eastAsia="zh-CN"/>
              </w:rPr>
              <w:t>、</w:t>
            </w:r>
            <w:r>
              <w:t>大信会计师事务所广西分所高级经理</w:t>
            </w:r>
            <w:r>
              <w:rPr>
                <w:rFonts w:hint="eastAsia"/>
                <w:lang w:eastAsia="zh-CN"/>
              </w:rPr>
              <w:t>。</w:t>
            </w:r>
            <w:r>
              <w:t>现任本公司独立董事</w:t>
            </w:r>
            <w:r>
              <w:rPr>
                <w:rFonts w:hint="eastAsia"/>
                <w:lang w:eastAsia="zh-CN"/>
              </w:rPr>
              <w:t>、</w:t>
            </w:r>
            <w:r>
              <w:t>中兴华会计师事务所（特殊普通合伙）广西分所副所长。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魏 佳</w:t>
            </w:r>
          </w:p>
        </w:tc>
        <w:tc>
          <w:tcPr>
            <w:tcW w:w="12705" w:type="dxa"/>
            <w:vAlign w:val="center"/>
          </w:tcPr>
          <w:p>
            <w:pPr>
              <w:widowControl w:val="0"/>
              <w:jc w:val="left"/>
              <w:rPr>
                <w:szCs w:val="21"/>
              </w:rPr>
            </w:pPr>
            <w:r>
              <w:t>法学博士后，法学教授、执业律师。现任本公司独立董事</w:t>
            </w:r>
            <w:r>
              <w:rPr>
                <w:rFonts w:hint="eastAsia"/>
                <w:lang w:eastAsia="zh-CN"/>
              </w:rPr>
              <w:t>、</w:t>
            </w:r>
            <w:r>
              <w:t>广西财经学院教授</w:t>
            </w:r>
            <w:r>
              <w:rPr>
                <w:rFonts w:hint="eastAsia"/>
                <w:lang w:eastAsia="zh-CN"/>
              </w:rPr>
              <w:t>、</w:t>
            </w:r>
            <w:r>
              <w:t>广西桂盈律师事务所律师</w:t>
            </w:r>
            <w:r>
              <w:rPr>
                <w:rFonts w:hint="eastAsia"/>
                <w:lang w:eastAsia="zh-CN"/>
              </w:rPr>
              <w:t>、</w:t>
            </w:r>
            <w:r>
              <w:t>广西经济法学研究会副会长</w:t>
            </w:r>
            <w:r>
              <w:rPr>
                <w:rFonts w:hint="eastAsia"/>
                <w:lang w:eastAsia="zh-CN"/>
              </w:rPr>
              <w:t>、</w:t>
            </w:r>
            <w:r>
              <w:t>广西建筑法学研究会副会长。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牟 创</w:t>
            </w:r>
          </w:p>
        </w:tc>
        <w:tc>
          <w:tcPr>
            <w:tcW w:w="12705" w:type="dxa"/>
            <w:vAlign w:val="center"/>
          </w:tcPr>
          <w:p>
            <w:pPr>
              <w:widowControl w:val="0"/>
              <w:jc w:val="left"/>
              <w:rPr>
                <w:rFonts w:hint="eastAsia" w:eastAsia="宋体"/>
                <w:szCs w:val="21"/>
                <w:lang w:eastAsia="zh-CN"/>
              </w:rPr>
            </w:pPr>
            <w:r>
              <w:t>研究生，高级经济师。现任本公司监事会主席，广西柳州市产业投资发展集团有限公司党委委员、副总经理，广西新柳邕农产品批发市场有限公司副董事长，柳州化工股份有限公司监事会主席</w:t>
            </w:r>
            <w:r>
              <w:rPr>
                <w:rFonts w:hint="eastAsia"/>
                <w:lang w:eastAsia="zh-CN"/>
              </w:rPr>
              <w:t>，</w:t>
            </w:r>
            <w:r>
              <w:rPr>
                <w:rFonts w:hint="eastAsia"/>
              </w:rPr>
              <w:t>广西广投柳州铝业股份有限公司</w:t>
            </w:r>
            <w:r>
              <w:rPr>
                <w:rFonts w:hint="eastAsia"/>
                <w:lang w:eastAsia="zh-CN"/>
              </w:rPr>
              <w:t>（</w:t>
            </w:r>
            <w:r>
              <w:rPr>
                <w:rFonts w:hint="eastAsia"/>
                <w:lang w:val="en-US" w:eastAsia="zh-CN"/>
              </w:rPr>
              <w:t>原广西柳州银海铝业股份有限公司</w:t>
            </w:r>
            <w:r>
              <w:rPr>
                <w:rFonts w:hint="eastAsia"/>
                <w:lang w:eastAsia="zh-CN"/>
              </w:rPr>
              <w:t>）</w:t>
            </w:r>
            <w:r>
              <w:rPr>
                <w:rFonts w:hint="eastAsia"/>
                <w:lang w:val="en-US" w:eastAsia="zh-CN"/>
              </w:rPr>
              <w:t>董事</w:t>
            </w:r>
            <w:r>
              <w:t>，柳工（柳州）压缩机有限公司董事。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莫瑞珖</w:t>
            </w:r>
          </w:p>
        </w:tc>
        <w:tc>
          <w:tcPr>
            <w:tcW w:w="12705" w:type="dxa"/>
            <w:vAlign w:val="center"/>
          </w:tcPr>
          <w:p>
            <w:pPr>
              <w:widowControl w:val="0"/>
              <w:jc w:val="left"/>
              <w:rPr>
                <w:szCs w:val="21"/>
              </w:rPr>
            </w:pPr>
            <w:r>
              <w:t>研究生，工程师、经济师。曾任公司战略规划部项目主办、经理助理、副部长</w:t>
            </w:r>
            <w:r>
              <w:rPr>
                <w:rFonts w:hint="eastAsia"/>
                <w:lang w:eastAsia="zh-CN"/>
              </w:rPr>
              <w:t>，</w:t>
            </w:r>
            <w:r>
              <w:t>公司战略规划部部长。现任公司监事、市场部部长。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4" w:type="dxa"/>
            <w:vAlign w:val="center"/>
          </w:tcPr>
          <w:p>
            <w:pPr>
              <w:widowControl w:val="0"/>
              <w:jc w:val="center"/>
              <w:rPr>
                <w:szCs w:val="21"/>
              </w:rPr>
            </w:pPr>
            <w:r>
              <w:t>雷 讯</w:t>
            </w:r>
          </w:p>
        </w:tc>
        <w:tc>
          <w:tcPr>
            <w:tcW w:w="12705" w:type="dxa"/>
            <w:vAlign w:val="center"/>
          </w:tcPr>
          <w:p>
            <w:pPr>
              <w:widowControl w:val="0"/>
              <w:jc w:val="left"/>
              <w:rPr>
                <w:szCs w:val="21"/>
              </w:rPr>
            </w:pPr>
            <w:r>
              <w:t>本科，助理工程师。曾任公司总裁助理，战略规划部总监助理、经理，工会副主席，安徽两面针·芳草日化有限公司总经理。现任公司职工监事、综合管理部部长。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rPr>
                <w:szCs w:val="21"/>
              </w:rPr>
            </w:pPr>
            <w:r>
              <w:t>杨 玲</w:t>
            </w:r>
          </w:p>
        </w:tc>
        <w:tc>
          <w:tcPr>
            <w:tcW w:w="12705" w:type="dxa"/>
            <w:vAlign w:val="center"/>
          </w:tcPr>
          <w:p>
            <w:pPr>
              <w:widowControl w:val="0"/>
              <w:jc w:val="left"/>
              <w:rPr>
                <w:szCs w:val="21"/>
              </w:rPr>
            </w:pPr>
            <w:r>
              <w:t>本科，助理记者、高级企业文化师。曾任柳州日报社记者、编辑，</w:t>
            </w:r>
            <w:r>
              <w:rPr>
                <w:rFonts w:hint="eastAsia"/>
                <w:lang w:val="en-US" w:eastAsia="zh-CN"/>
              </w:rPr>
              <w:t>本</w:t>
            </w:r>
            <w:r>
              <w:t>公司办公室副主任、董事会办公室主任、党委委员、纪检监察室主任、党委工作部部长、纪委副书记、企业文化建设办公室主任、人力资源部部长</w:t>
            </w:r>
            <w:r>
              <w:rPr>
                <w:rFonts w:hint="eastAsia"/>
                <w:lang w:eastAsia="zh-CN"/>
              </w:rPr>
              <w:t>，</w:t>
            </w:r>
            <w:r>
              <w:t>柳州两面针房地产开发有限公司副总经理</w:t>
            </w:r>
            <w:r>
              <w:rPr>
                <w:rFonts w:hint="eastAsia"/>
                <w:lang w:eastAsia="zh-CN"/>
              </w:rPr>
              <w:t>，</w:t>
            </w:r>
            <w:r>
              <w:t>柳州农工商有限责任公司党委副书记、纪委书记。现任公司副总裁，兼任柳州两面针进出口贸易有限公司执行董事。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jc w:val="center"/>
            </w:pPr>
            <w:r>
              <w:t>韦元贤</w:t>
            </w:r>
          </w:p>
        </w:tc>
        <w:tc>
          <w:tcPr>
            <w:tcW w:w="12705" w:type="dxa"/>
            <w:vAlign w:val="center"/>
          </w:tcPr>
          <w:p>
            <w:pPr>
              <w:widowControl w:val="0"/>
              <w:jc w:val="left"/>
              <w:rPr>
                <w:szCs w:val="21"/>
              </w:rPr>
            </w:pPr>
            <w:r>
              <w:t>本科，工程师、审计师，持有国家法律职业资格证书、上海证券交易所董事会秘书资格证书。曾任公司技术中心技术员，销售业务员，法务主管，督察审计部副部长、部长，盐城捷康三氯蔗糖制造有限公司董事，公司董事会办公室主任，公司证券事务代表。现任公司董事会秘书。</w:t>
            </w:r>
          </w:p>
        </w:tc>
      </w:tr>
    </w:tbl>
    <w:p/>
    <w:p>
      <w:pPr>
        <w:rPr>
          <w:szCs w:val="21"/>
        </w:rPr>
      </w:pPr>
    </w:p>
    <w:bookmarkEnd w:id="72"/>
    <w:p>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25843"/>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rPr>
          <w:szCs w:val="21"/>
        </w:rPr>
      </w:pPr>
    </w:p>
    <w:bookmarkEnd w:id="71"/>
    <w:p>
      <w:pPr>
        <w:rPr>
          <w:szCs w:val="21"/>
        </w:rPr>
      </w:pPr>
    </w:p>
    <w:p>
      <w:pPr>
        <w:rPr>
          <w:szCs w:val="21"/>
        </w:rPr>
        <w:sectPr>
          <w:pgSz w:w="16838" w:h="11906" w:orient="landscape"/>
          <w:pgMar w:top="1797" w:right="1525" w:bottom="1276" w:left="1440" w:header="855" w:footer="992" w:gutter="0"/>
          <w:cols w:space="425" w:num="1"/>
          <w:docGrid w:linePitch="312" w:charSpace="0"/>
        </w:sectPr>
      </w:pPr>
    </w:p>
    <w:p>
      <w:pPr>
        <w:pStyle w:val="4"/>
        <w:numPr>
          <w:ilvl w:val="0"/>
          <w:numId w:val="22"/>
        </w:numPr>
        <w:ind w:left="0" w:firstLine="0"/>
      </w:pPr>
      <w:r>
        <w:rPr>
          <w:rFonts w:hint="eastAsia"/>
        </w:rPr>
        <w:t>现任及报告期内离任董事、监事和高级管理人员的任职情况</w:t>
      </w:r>
    </w:p>
    <w:p>
      <w:pPr>
        <w:pStyle w:val="63"/>
        <w:numPr>
          <w:ilvl w:val="0"/>
          <w:numId w:val="23"/>
        </w:numPr>
        <w:ind w:firstLineChars="0"/>
        <w:rPr>
          <w:b/>
          <w:bCs/>
        </w:rPr>
      </w:pPr>
      <w:r>
        <w:rPr>
          <w:b/>
          <w:bCs/>
        </w:rPr>
        <w:t>在股东单位任职情况</w:t>
      </w:r>
    </w:p>
    <w:sdt>
      <w:sdtPr>
        <w:rPr>
          <w:szCs w:val="21"/>
        </w:rPr>
        <w:alias w:val="是否适用：在股东单位任职情况[双击切换]"/>
        <w:tag w:val="_GBC_c450b54d9ea443cf85cc614c8528526b"/>
        <w:id w:val="25844"/>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2312"/>
        <w:gridCol w:w="1820"/>
        <w:gridCol w:w="1562"/>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rPr>
              <w:rFonts w:hint="default" w:ascii="Times New Roman" w:hAnsi="Times New Roman" w:cs="Times New Roman"/>
            </w:rPr>
            <w:tag w:val="_PLD_11f45a37b8cb4cfd8d25787f0979b6e9"/>
            <w:id w:val="25845"/>
          </w:sdtPr>
          <w:sdtEndPr>
            <w:rPr>
              <w:rFonts w:hint="default" w:ascii="Times New Roman" w:hAnsi="Times New Roman" w:cs="Times New Roman"/>
            </w:rPr>
          </w:sdtEndPr>
          <w:sdtContent>
            <w:tc>
              <w:tcPr>
                <w:tcW w:w="180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任职人员姓名</w:t>
                </w:r>
              </w:p>
            </w:tc>
          </w:sdtContent>
        </w:sdt>
        <w:sdt>
          <w:sdtPr>
            <w:rPr>
              <w:rFonts w:hint="default" w:ascii="Times New Roman" w:hAnsi="Times New Roman" w:cs="Times New Roman"/>
            </w:rPr>
            <w:tag w:val="_PLD_174ff645994f420ea5626aa7d6f5ddb5"/>
            <w:id w:val="25846"/>
          </w:sdtPr>
          <w:sdtEndPr>
            <w:rPr>
              <w:rFonts w:hint="default" w:ascii="Times New Roman" w:hAnsi="Times New Roman" w:cs="Times New Roman"/>
            </w:rPr>
          </w:sdtEndPr>
          <w:sdtContent>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股东单位名称</w:t>
                </w:r>
              </w:p>
            </w:tc>
          </w:sdtContent>
        </w:sdt>
        <w:sdt>
          <w:sdtPr>
            <w:rPr>
              <w:rFonts w:hint="default" w:ascii="Times New Roman" w:hAnsi="Times New Roman" w:cs="Times New Roman"/>
            </w:rPr>
            <w:tag w:val="_PLD_c5b9ccac06314dc19400d1f75f51ed76"/>
            <w:id w:val="25847"/>
          </w:sdtPr>
          <w:sdtEndPr>
            <w:rPr>
              <w:rFonts w:hint="default" w:ascii="Times New Roman" w:hAnsi="Times New Roman" w:cs="Times New Roman"/>
            </w:rPr>
          </w:sdtEndPr>
          <w:sdtContent>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在股东单位担任的职务</w:t>
                </w:r>
              </w:p>
            </w:tc>
          </w:sdtContent>
        </w:sdt>
        <w:sdt>
          <w:sdtPr>
            <w:rPr>
              <w:rFonts w:hint="default" w:ascii="Times New Roman" w:hAnsi="Times New Roman" w:cs="Times New Roman"/>
            </w:rPr>
            <w:tag w:val="_PLD_6d359bac7e194427adef03e3d072f875"/>
            <w:id w:val="25848"/>
          </w:sdtPr>
          <w:sdtEndPr>
            <w:rPr>
              <w:rFonts w:hint="default" w:ascii="Times New Roman" w:hAnsi="Times New Roman" w:cs="Times New Roman"/>
            </w:rPr>
          </w:sdtEndPr>
          <w:sdtContent>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任期起始日期</w:t>
                </w:r>
              </w:p>
            </w:tc>
          </w:sdtContent>
        </w:sdt>
        <w:sdt>
          <w:sdtPr>
            <w:rPr>
              <w:rFonts w:hint="default" w:ascii="Times New Roman" w:hAnsi="Times New Roman" w:cs="Times New Roman"/>
            </w:rPr>
            <w:tag w:val="_PLD_ba28085d64d240089bfcbff8c64cf230"/>
            <w:id w:val="25849"/>
          </w:sdtPr>
          <w:sdtEndPr>
            <w:rPr>
              <w:rFonts w:hint="default" w:ascii="Times New Roman" w:hAnsi="Times New Roman" w:cs="Times New Roman"/>
            </w:rPr>
          </w:sdtEndPr>
          <w:sdtContent>
            <w:tc>
              <w:tcPr>
                <w:tcW w:w="1555"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任期终止日期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800"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孙雪东</w:t>
            </w:r>
          </w:p>
        </w:tc>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副总经理</w:t>
            </w:r>
          </w:p>
        </w:tc>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2019.05</w:t>
            </w:r>
          </w:p>
        </w:tc>
        <w:tc>
          <w:tcPr>
            <w:tcW w:w="1555" w:type="dxa"/>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总法律顾问</w:t>
            </w:r>
          </w:p>
        </w:tc>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2019.08</w:t>
            </w:r>
          </w:p>
        </w:tc>
        <w:tc>
          <w:tcPr>
            <w:tcW w:w="1555"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180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党委委员</w:t>
            </w:r>
          </w:p>
        </w:tc>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2020.06</w:t>
            </w:r>
          </w:p>
        </w:tc>
        <w:tc>
          <w:tcPr>
            <w:tcW w:w="1555"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180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孙雪东</w:t>
            </w:r>
          </w:p>
        </w:tc>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柳州市元宏投资发展有限公司</w:t>
            </w:r>
          </w:p>
        </w:tc>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执行董事（法定代表人）兼经理</w:t>
            </w:r>
          </w:p>
        </w:tc>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2021.09</w:t>
            </w:r>
          </w:p>
        </w:tc>
        <w:tc>
          <w:tcPr>
            <w:tcW w:w="1555"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1800"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牟创</w:t>
            </w:r>
          </w:p>
        </w:tc>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副总经理</w:t>
            </w:r>
          </w:p>
        </w:tc>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2016.12</w:t>
            </w:r>
          </w:p>
        </w:tc>
        <w:tc>
          <w:tcPr>
            <w:tcW w:w="1555"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80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牟创</w:t>
            </w:r>
          </w:p>
        </w:tc>
        <w:tc>
          <w:tcPr>
            <w:tcW w:w="231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82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党委委员</w:t>
            </w:r>
          </w:p>
        </w:tc>
        <w:tc>
          <w:tcPr>
            <w:tcW w:w="1562"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2018.06</w:t>
            </w:r>
          </w:p>
        </w:tc>
        <w:tc>
          <w:tcPr>
            <w:tcW w:w="1555"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00"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在股东单位任职情况的说明</w:t>
            </w:r>
          </w:p>
        </w:tc>
        <w:tc>
          <w:tcPr>
            <w:tcW w:w="7249" w:type="dxa"/>
            <w:gridSpan w:val="4"/>
            <w:vAlign w:val="center"/>
          </w:tcPr>
          <w:p>
            <w:pPr>
              <w:widowControl w:val="0"/>
              <w:jc w:val="lef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无</w:t>
            </w:r>
          </w:p>
        </w:tc>
      </w:tr>
    </w:tbl>
    <w:p/>
    <w:p>
      <w:pPr>
        <w:rPr>
          <w:szCs w:val="21"/>
        </w:rPr>
      </w:pPr>
    </w:p>
    <w:p>
      <w:pPr>
        <w:pStyle w:val="63"/>
        <w:numPr>
          <w:ilvl w:val="0"/>
          <w:numId w:val="23"/>
        </w:numPr>
        <w:ind w:firstLineChars="0"/>
        <w:rPr>
          <w:b/>
          <w:bCs/>
        </w:rPr>
      </w:pPr>
      <w:r>
        <w:rPr>
          <w:b/>
          <w:bCs/>
        </w:rPr>
        <w:t>在其他单位任职情况</w:t>
      </w:r>
    </w:p>
    <w:sdt>
      <w:sdtPr>
        <w:rPr>
          <w:szCs w:val="21"/>
        </w:rPr>
        <w:alias w:val="是否适用：在其他单位任职情况[双击切换]"/>
        <w:tag w:val="_GBC_31c17de709bb42fdb7ba137e843fe054"/>
        <w:id w:val="25850"/>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2282"/>
        <w:gridCol w:w="1829"/>
        <w:gridCol w:w="1724"/>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hint="default" w:ascii="Times New Roman" w:hAnsi="Times New Roman" w:cs="Times New Roman"/>
              <w:sz w:val="21"/>
              <w:szCs w:val="21"/>
            </w:rPr>
            <w:tag w:val="_PLD_84cb4ce7fc4643b1be607267619a4b88"/>
            <w:id w:val="25851"/>
          </w:sdtPr>
          <w:sdtEndPr>
            <w:rPr>
              <w:rFonts w:hint="default" w:ascii="Times New Roman" w:hAnsi="Times New Roman" w:cs="Times New Roman"/>
              <w:sz w:val="21"/>
              <w:szCs w:val="21"/>
            </w:rPr>
          </w:sdtEndPr>
          <w:sdtContent>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任职人员姓名</w:t>
                </w:r>
              </w:p>
            </w:tc>
          </w:sdtContent>
        </w:sdt>
        <w:sdt>
          <w:sdtPr>
            <w:rPr>
              <w:rFonts w:hint="default" w:ascii="Times New Roman" w:hAnsi="Times New Roman" w:cs="Times New Roman"/>
              <w:sz w:val="21"/>
              <w:szCs w:val="21"/>
            </w:rPr>
            <w:tag w:val="_PLD_9c5aac001d5a4c2eb3cc0bf1e1f66afe"/>
            <w:id w:val="25852"/>
          </w:sdtPr>
          <w:sdtEndPr>
            <w:rPr>
              <w:rFonts w:hint="default" w:ascii="Times New Roman" w:hAnsi="Times New Roman" w:cs="Times New Roman"/>
              <w:sz w:val="21"/>
              <w:szCs w:val="21"/>
            </w:rPr>
          </w:sdtEndPr>
          <w:sdtContent>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其他单位名称</w:t>
                </w:r>
              </w:p>
            </w:tc>
          </w:sdtContent>
        </w:sdt>
        <w:sdt>
          <w:sdtPr>
            <w:rPr>
              <w:rFonts w:hint="default" w:ascii="Times New Roman" w:hAnsi="Times New Roman" w:cs="Times New Roman"/>
              <w:sz w:val="21"/>
              <w:szCs w:val="21"/>
            </w:rPr>
            <w:tag w:val="_PLD_a3a2822cc76542afbd1a58b94268af1d"/>
            <w:id w:val="25853"/>
          </w:sdtPr>
          <w:sdtEndPr>
            <w:rPr>
              <w:rFonts w:hint="default" w:ascii="Times New Roman" w:hAnsi="Times New Roman" w:cs="Times New Roman"/>
              <w:sz w:val="21"/>
              <w:szCs w:val="21"/>
            </w:rPr>
          </w:sdtEndPr>
          <w:sdtContent>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在其他单位担任的职务</w:t>
                </w:r>
              </w:p>
            </w:tc>
          </w:sdtContent>
        </w:sdt>
        <w:sdt>
          <w:sdtPr>
            <w:rPr>
              <w:rFonts w:hint="default" w:ascii="Times New Roman" w:hAnsi="Times New Roman" w:cs="Times New Roman"/>
              <w:sz w:val="21"/>
              <w:szCs w:val="21"/>
            </w:rPr>
            <w:tag w:val="_PLD_1afbd86b2e47420ca2c5a75f01567f2a"/>
            <w:id w:val="25854"/>
          </w:sdtPr>
          <w:sdtEndPr>
            <w:rPr>
              <w:rFonts w:hint="default" w:ascii="Times New Roman" w:hAnsi="Times New Roman" w:cs="Times New Roman"/>
              <w:sz w:val="21"/>
              <w:szCs w:val="21"/>
            </w:rPr>
          </w:sdtEndPr>
          <w:sdtContent>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任期起始日期</w:t>
                </w:r>
              </w:p>
            </w:tc>
          </w:sdtContent>
        </w:sdt>
        <w:sdt>
          <w:sdtPr>
            <w:rPr>
              <w:rFonts w:hint="default" w:ascii="Times New Roman" w:hAnsi="Times New Roman" w:cs="Times New Roman"/>
              <w:sz w:val="21"/>
              <w:szCs w:val="21"/>
            </w:rPr>
            <w:tag w:val="_PLD_677dde6ffbf24692a6c508831a24eef8"/>
            <w:id w:val="25855"/>
          </w:sdtPr>
          <w:sdtEndPr>
            <w:rPr>
              <w:rFonts w:hint="default" w:ascii="Times New Roman" w:hAnsi="Times New Roman" w:cs="Times New Roman"/>
              <w:sz w:val="21"/>
              <w:szCs w:val="21"/>
            </w:rPr>
          </w:sdtEndPr>
          <w:sdtContent>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任期终止日期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2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广西桂威投资股份有限公司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2019.10</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广西广投柳州铝业股份有限公司（原广西柳州银海铝业股份有限公司）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2019.11</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柳州市城市更新投资发展有限公司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党支部书记</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2020.11</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柳州化工股份有限公司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2021.11</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柳州市慧荣实业发展有限公司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董事长</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2021.12</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柳州市沁原纸业发展有限公司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董事长</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2021.12</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柳州市工业控股有限公司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董事长</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2022.08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柳州市纺织控股（集团）有限公司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执行董事（法定代表人）</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2022.08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柳州欧维姆机械股份有限公司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2022.08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柳州市智甲金属科技有限公司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2022.08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柳州市资产经营有限公司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董事长</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2022.08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柳州市产业引导基金投资管理有限公司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董事长、总经理</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2023.01</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孙雪东</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柳州市一二五工程产业创新引导基金管理有限公司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董事长、总经理</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2023.01</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张重义</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福建农林大学农学院</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教授</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2012</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5</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余兵</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中兴华会计师事务所（特殊普通合伙）</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广西分所副所长</w:t>
            </w:r>
          </w:p>
        </w:tc>
        <w:tc>
          <w:tcPr>
            <w:tcW w:w="1724" w:type="dxa"/>
            <w:vAlign w:val="center"/>
          </w:tcPr>
          <w:p>
            <w:pPr>
              <w:widowControl w:val="0"/>
              <w:jc w:val="center"/>
              <w:rPr>
                <w:rFonts w:hint="default" w:ascii="Times New Roman" w:hAnsi="Times New Roman" w:cs="Times New Roman"/>
                <w:sz w:val="21"/>
                <w:szCs w:val="21"/>
                <w:lang w:val="en-US"/>
              </w:rPr>
            </w:pPr>
            <w:r>
              <w:rPr>
                <w:rFonts w:hint="default" w:ascii="Times New Roman" w:hAnsi="Times New Roman" w:cs="Times New Roman"/>
                <w:sz w:val="21"/>
                <w:szCs w:val="21"/>
              </w:rPr>
              <w:t>2017</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04</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魏佳</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广西财经学院</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教授</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2019</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4</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魏佳</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广西桂盈律师事务所</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律师</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2019</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5</w:t>
            </w:r>
          </w:p>
        </w:tc>
        <w:tc>
          <w:tcPr>
            <w:tcW w:w="1492" w:type="dxa"/>
            <w:vAlign w:val="center"/>
          </w:tcPr>
          <w:p>
            <w:pPr>
              <w:widowControl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牟创</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广西广投柳州铝业股份有限公司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2017.08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牟创</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柳工（柳州）压缩机有限公司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董事</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2019.11</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牟创</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广西新柳邕农产品批发市场有限公司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副董事长</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2020.04</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牟创</w:t>
            </w:r>
          </w:p>
        </w:tc>
        <w:tc>
          <w:tcPr>
            <w:tcW w:w="228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柳州化工股份有限公司</w:t>
            </w:r>
          </w:p>
        </w:tc>
        <w:tc>
          <w:tcPr>
            <w:tcW w:w="1829"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监事会主席</w:t>
            </w:r>
          </w:p>
        </w:tc>
        <w:tc>
          <w:tcPr>
            <w:tcW w:w="1724"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2022.08</w:t>
            </w:r>
          </w:p>
        </w:tc>
        <w:tc>
          <w:tcPr>
            <w:tcW w:w="149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722" w:type="dxa"/>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在其他单位任职情况的说明</w:t>
            </w:r>
          </w:p>
        </w:tc>
        <w:tc>
          <w:tcPr>
            <w:tcW w:w="7327" w:type="dxa"/>
            <w:gridSpan w:val="4"/>
            <w:vAlign w:val="center"/>
          </w:tcPr>
          <w:p>
            <w:pPr>
              <w:widowControl w:val="0"/>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w:t>
            </w:r>
          </w:p>
        </w:tc>
      </w:tr>
    </w:tbl>
    <w:p/>
    <w:p>
      <w:pPr>
        <w:rPr>
          <w:szCs w:val="21"/>
        </w:rPr>
      </w:pPr>
    </w:p>
    <w:p>
      <w:pPr>
        <w:pStyle w:val="4"/>
        <w:numPr>
          <w:ilvl w:val="0"/>
          <w:numId w:val="22"/>
        </w:numPr>
        <w:ind w:left="0" w:firstLine="0"/>
      </w:pPr>
      <w:r>
        <w:t>董事、监事、高级管理人员报酬情况</w:t>
      </w:r>
    </w:p>
    <w:sdt>
      <w:sdtPr>
        <w:alias w:val="是否适用：董事、监事、高级管理人员报酬情况[双击切换]"/>
        <w:tag w:val="_GBC_670a12b9c1e34498888f2aafd9509848"/>
        <w:id w:val="2585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6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9e63d19b4bb64b9f8ebbe91d33a629c4"/>
            <w:id w:val="25857"/>
          </w:sdtPr>
          <w:sdtContent>
            <w:tc>
              <w:tcPr>
                <w:tcW w:w="2847" w:type="dxa"/>
                <w:vAlign w:val="center"/>
              </w:tcPr>
              <w:p>
                <w:pPr>
                  <w:widowControl w:val="0"/>
                  <w:jc w:val="both"/>
                  <w:rPr>
                    <w:szCs w:val="21"/>
                  </w:rPr>
                </w:pPr>
                <w:r>
                  <w:rPr>
                    <w:szCs w:val="21"/>
                  </w:rPr>
                  <w:t>董事、监事、高级管理人员报酬的决策程序</w:t>
                </w:r>
              </w:p>
            </w:tc>
          </w:sdtContent>
        </w:sdt>
        <w:sdt>
          <w:sdtPr>
            <w:rPr>
              <w:rFonts w:hint="eastAsia" w:ascii="Times New Roman" w:hAnsi="Times New Roman"/>
              <w:szCs w:val="21"/>
            </w:rPr>
            <w:alias w:val="董事、监事、高级管理人员报酬的决策程序"/>
            <w:tag w:val="_GBC_bf64cad6b5d7435388a8e69e2c05dea2"/>
            <w:id w:val="25858"/>
          </w:sdtPr>
          <w:sdtEndPr>
            <w:rPr>
              <w:rFonts w:hint="eastAsia" w:ascii="Times New Roman" w:hAnsi="Times New Roman"/>
              <w:szCs w:val="21"/>
            </w:rPr>
          </w:sdtEndPr>
          <w:sdtContent>
            <w:tc>
              <w:tcPr>
                <w:tcW w:w="6202" w:type="dxa"/>
              </w:tcPr>
              <w:p>
                <w:pPr>
                  <w:widowControl w:val="0"/>
                  <w:jc w:val="both"/>
                  <w:rPr>
                    <w:szCs w:val="21"/>
                  </w:rPr>
                </w:pPr>
                <w:r>
                  <w:rPr>
                    <w:rFonts w:hint="eastAsia" w:ascii="Times New Roman" w:hAnsi="Times New Roman"/>
                    <w:szCs w:val="21"/>
                  </w:rPr>
                  <w:t>公司部分董事、监事及高级管理人员的薪酬由柳州市国有资产监督管理委员会根据《柳州市国资委履行出资人职责企业负责人薪酬管理暂行办法》和《柳州市国资委监管企业负责人经营业绩考核暂行办法》进行考核，不属于国资委考核的公司内部董事、监事和高级管理人员，公司制定有考核办法，并据此考核发放薪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847" w:type="dxa"/>
          </w:tcPr>
          <w:p>
            <w:pPr>
              <w:widowControl w:val="0"/>
              <w:jc w:val="both"/>
            </w:pPr>
            <w:r>
              <w:rPr>
                <w:rFonts w:hint="eastAsia"/>
              </w:rPr>
              <w:t>董事在董事会讨论本人薪酬事项时是否回避</w:t>
            </w:r>
          </w:p>
        </w:tc>
        <w:sdt>
          <w:sdtPr>
            <w:rPr>
              <w:rFonts w:ascii="Times New Roman" w:hAnsi="Times New Roman"/>
              <w:szCs w:val="21"/>
            </w:rPr>
            <w:alias w:val="董事在董事会讨论本人薪酬事项时是否回避"/>
            <w:tag w:val="_GBC_5e64defbd18444939e9dface4daa0619"/>
            <w:id w:val="25859"/>
            <w:comboBox>
              <w:listItem w:displayText="是" w:value="是"/>
              <w:listItem w:displayText="否" w:value="否"/>
            </w:comboBox>
          </w:sdtPr>
          <w:sdtEndPr>
            <w:rPr>
              <w:rFonts w:ascii="Times New Roman" w:hAnsi="Times New Roman"/>
              <w:szCs w:val="21"/>
            </w:rPr>
          </w:sdtEndPr>
          <w:sdtContent>
            <w:tc>
              <w:tcPr>
                <w:tcW w:w="6202" w:type="dxa"/>
                <w:vAlign w:val="center"/>
              </w:tcPr>
              <w:p>
                <w:pPr>
                  <w:widowControl w:val="0"/>
                  <w:jc w:val="left"/>
                  <w:rPr>
                    <w:szCs w:val="21"/>
                  </w:rPr>
                </w:pPr>
                <w:r>
                  <w:rPr>
                    <w:rFonts w:ascii="Times New Roman" w:hAnsi="Times New Roman" w:eastAsia="宋体" w:cs="宋体"/>
                    <w:sz w:val="21"/>
                    <w:szCs w:val="21"/>
                    <w:lang w:val="en-US" w:eastAsia="zh-CN" w:bidi="ar-SA"/>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847" w:type="dxa"/>
            <w:vAlign w:val="center"/>
          </w:tcPr>
          <w:p>
            <w:pPr>
              <w:widowControl w:val="0"/>
              <w:jc w:val="both"/>
              <w:rPr>
                <w:szCs w:val="21"/>
              </w:rPr>
            </w:pPr>
            <w:r>
              <w:rPr>
                <w:szCs w:val="21"/>
              </w:rPr>
              <w:t>董事、监事、高级管理人员报酬确定依据</w:t>
            </w:r>
          </w:p>
        </w:tc>
        <w:tc>
          <w:tcPr>
            <w:tcW w:w="6202" w:type="dxa"/>
          </w:tcPr>
          <w:p>
            <w:pPr>
              <w:widowControl w:val="0"/>
              <w:jc w:val="both"/>
              <w:rPr>
                <w:szCs w:val="21"/>
              </w:rPr>
            </w:pPr>
            <w:r>
              <w:rPr>
                <w:rFonts w:hint="eastAsia"/>
                <w:szCs w:val="21"/>
              </w:rPr>
              <w:t>公司对独立董事采用年度津贴的办法确定报酬，对董事、监事和高级管理人员采用（基本工资+绩效工资）的年薪制来确定报酬，绩效工资则结合公司实际完成的生产经营业绩和公司的经营目标综合确定。</w:t>
            </w:r>
          </w:p>
          <w:p>
            <w:pPr>
              <w:widowControl w:val="0"/>
              <w:jc w:val="both"/>
              <w:rPr>
                <w:szCs w:val="21"/>
              </w:rPr>
            </w:pPr>
            <w:r>
              <w:rPr>
                <w:rFonts w:hint="eastAsia"/>
                <w:szCs w:val="21"/>
              </w:rPr>
              <w:t>对于柳州市管干部的董事、监事、高级管理人员，公司是根据国资委的考核结果核发薪酬；对于非市管干部的董事、高管，则根据公</w:t>
            </w:r>
            <w:r>
              <w:rPr>
                <w:szCs w:val="21"/>
              </w:rPr>
              <w:t xml:space="preserve"> 司制定的考核办法，核发薪酬。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847" w:type="dxa"/>
          </w:tcPr>
          <w:p>
            <w:pPr>
              <w:widowControl w:val="0"/>
              <w:jc w:val="both"/>
              <w:rPr>
                <w:szCs w:val="21"/>
              </w:rPr>
            </w:pPr>
            <w:r>
              <w:rPr>
                <w:szCs w:val="21"/>
              </w:rPr>
              <w:t>董事、监事和高级管理人员报酬的</w:t>
            </w:r>
            <w:r>
              <w:rPr>
                <w:rFonts w:hint="eastAsia"/>
                <w:szCs w:val="21"/>
              </w:rPr>
              <w:t>实际支付</w:t>
            </w:r>
            <w:r>
              <w:rPr>
                <w:szCs w:val="21"/>
              </w:rPr>
              <w:t>情况</w:t>
            </w:r>
          </w:p>
        </w:tc>
        <w:tc>
          <w:tcPr>
            <w:tcW w:w="6202" w:type="dxa"/>
          </w:tcPr>
          <w:p>
            <w:pPr>
              <w:widowControl w:val="0"/>
              <w:jc w:val="both"/>
              <w:rPr>
                <w:szCs w:val="21"/>
              </w:rPr>
            </w:pPr>
            <w:r>
              <w:rPr>
                <w:rFonts w:hint="eastAsia"/>
                <w:szCs w:val="21"/>
              </w:rPr>
              <w:t>见第本节“董事、监事和高级管理人员的情况”之“（一）现任及报告期内离任董事、监事和高级管理人员持股变动及报酬情况”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847" w:type="dxa"/>
          </w:tcPr>
          <w:p>
            <w:pPr>
              <w:widowControl w:val="0"/>
              <w:jc w:val="both"/>
              <w:rPr>
                <w:szCs w:val="21"/>
              </w:rPr>
            </w:pPr>
            <w:r>
              <w:rPr>
                <w:szCs w:val="21"/>
              </w:rPr>
              <w:t>报告期末全体董事、监事和高级管理人员实际获得的报酬合计</w:t>
            </w:r>
          </w:p>
        </w:tc>
        <w:tc>
          <w:tcPr>
            <w:tcW w:w="6202" w:type="dxa"/>
            <w:vAlign w:val="center"/>
          </w:tcPr>
          <w:p>
            <w:pPr>
              <w:widowControl w:val="0"/>
              <w:jc w:val="left"/>
              <w:rPr>
                <w:rFonts w:hint="eastAsia" w:eastAsia="宋体"/>
                <w:szCs w:val="21"/>
                <w:lang w:val="en-US" w:eastAsia="zh-CN"/>
              </w:rPr>
            </w:pPr>
            <w:r>
              <w:rPr>
                <w:rFonts w:hint="default" w:ascii="Times New Roman" w:hAnsi="Times New Roman" w:eastAsia="宋体" w:cs="Times New Roman"/>
                <w:sz w:val="21"/>
                <w:szCs w:val="21"/>
              </w:rPr>
              <w:t>233.</w:t>
            </w:r>
            <w:r>
              <w:rPr>
                <w:rFonts w:hint="eastAsia" w:ascii="Times New Roman" w:hAnsi="Times New Roman" w:cs="Times New Roman"/>
                <w:sz w:val="21"/>
                <w:szCs w:val="21"/>
                <w:lang w:val="en-US" w:eastAsia="zh-CN"/>
              </w:rPr>
              <w:t>61</w:t>
            </w:r>
            <w:r>
              <w:rPr>
                <w:rFonts w:hint="default" w:ascii="Times New Roman" w:hAnsi="Times New Roman" w:eastAsia="宋体" w:cs="Times New Roman"/>
                <w:sz w:val="21"/>
                <w:szCs w:val="21"/>
                <w:lang w:val="en-US" w:eastAsia="zh-CN"/>
              </w:rPr>
              <w:t>万元</w:t>
            </w:r>
          </w:p>
        </w:tc>
      </w:tr>
    </w:tbl>
    <w:p/>
    <w:p>
      <w:pPr>
        <w:pStyle w:val="4"/>
        <w:numPr>
          <w:ilvl w:val="0"/>
          <w:numId w:val="22"/>
        </w:numPr>
        <w:ind w:left="0" w:firstLine="0"/>
      </w:pPr>
      <w:r>
        <w:t>公司董事、监事、高级管理人员变动情况</w:t>
      </w:r>
    </w:p>
    <w:sdt>
      <w:sdtPr>
        <w:alias w:val="是否适用：公司董事、监事、高级管理人员变动情况[双击切换]"/>
        <w:tag w:val="_GBC_a00df019796e4666a1adff20d55baa46"/>
        <w:id w:val="2586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4"/>
        <w:numPr>
          <w:ilvl w:val="0"/>
          <w:numId w:val="22"/>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5861"/>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4"/>
        <w:numPr>
          <w:ilvl w:val="0"/>
          <w:numId w:val="22"/>
        </w:numPr>
        <w:ind w:left="0" w:firstLine="0"/>
      </w:pPr>
      <w:bookmarkStart w:id="73" w:name="_Hlk89182759"/>
      <w:r>
        <w:rPr>
          <w:rFonts w:hint="eastAsia"/>
        </w:rPr>
        <w:t>其他</w:t>
      </w:r>
    </w:p>
    <w:sdt>
      <w:sdtPr>
        <w:rPr>
          <w:rFonts w:hint="eastAsia"/>
          <w:bCs/>
          <w:szCs w:val="21"/>
        </w:rPr>
        <w:alias w:val="是否适用：其他董事、监事、高级管理人员情况说明[双击切换]"/>
        <w:tag w:val="_GBC_6698e1cba7354d29b0fcdbb38e7287d6"/>
        <w:id w:val="25862"/>
        <w:placeholder>
          <w:docPart w:val="GBC22222222222222222222222222222"/>
        </w:placeholder>
      </w:sdtPr>
      <w:sdtEndPr>
        <w:rPr>
          <w:rFonts w:hint="eastAsia"/>
          <w:bCs/>
          <w:szCs w:val="21"/>
        </w:rPr>
      </w:sdtEndPr>
      <w:sdtContent>
        <w:p>
          <w:pPr>
            <w:rPr>
              <w:rFonts w:hint="eastAsia"/>
              <w:bCs/>
              <w:szCs w:val="21"/>
            </w:rPr>
          </w:pPr>
          <w:r>
            <w:rPr>
              <w:bCs/>
              <w:szCs w:val="21"/>
            </w:rPr>
            <w:fldChar w:fldCharType="begin"/>
          </w:r>
          <w:r>
            <w:rPr>
              <w:rFonts w:hint="eastAsia"/>
              <w:bCs/>
              <w:szCs w:val="21"/>
              <w:lang w:eastAsia="zh-CN"/>
            </w:rPr>
            <w:instrText xml:space="preserve"> 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outlineLvl w:val="9"/>
        <w:rPr>
          <w:rFonts w:hint="eastAsia"/>
          <w:bCs/>
          <w:szCs w:val="21"/>
        </w:rPr>
      </w:pPr>
    </w:p>
    <w:bookmarkEnd w:id="73"/>
    <w:p>
      <w:pPr>
        <w:pStyle w:val="3"/>
        <w:numPr>
          <w:ilvl w:val="0"/>
          <w:numId w:val="21"/>
        </w:numPr>
        <w:ind w:left="450" w:hanging="450"/>
      </w:pPr>
      <w:bookmarkStart w:id="74" w:name="_Hlk89182953"/>
      <w:r>
        <w:t>报告期内召开的董事会有关情况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758"/>
        <w:gridCol w:w="4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sdt>
          <w:sdtPr>
            <w:rPr>
              <w:rFonts w:hint="default" w:ascii="Times New Roman" w:hAnsi="Times New Roman" w:cs="Times New Roman"/>
              <w:sz w:val="21"/>
              <w:szCs w:val="21"/>
            </w:rPr>
            <w:tag w:val="_PLD_419815d8d7794e1c9b7ce587c2f61ac6"/>
            <w:id w:val="25863"/>
          </w:sdtPr>
          <w:sdtEndPr>
            <w:rPr>
              <w:rFonts w:hint="default" w:ascii="Times New Roman" w:hAnsi="Times New Roman" w:cs="Times New Roman"/>
              <w:sz w:val="21"/>
              <w:szCs w:val="21"/>
            </w:rPr>
          </w:sdtEndPr>
          <w:sdtContent>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会议届次</w:t>
                </w:r>
              </w:p>
            </w:tc>
          </w:sdtContent>
        </w:sdt>
        <w:sdt>
          <w:sdtPr>
            <w:rPr>
              <w:rFonts w:hint="default" w:ascii="Times New Roman" w:hAnsi="Times New Roman" w:cs="Times New Roman"/>
              <w:sz w:val="21"/>
              <w:szCs w:val="21"/>
            </w:rPr>
            <w:tag w:val="_PLD_ab185594a631433a8b0a8263eb8e554f"/>
            <w:id w:val="25864"/>
          </w:sdtPr>
          <w:sdtEndPr>
            <w:rPr>
              <w:rFonts w:hint="default" w:ascii="Times New Roman" w:hAnsi="Times New Roman" w:cs="Times New Roman"/>
              <w:sz w:val="21"/>
              <w:szCs w:val="21"/>
            </w:rPr>
          </w:sdtEndPr>
          <w:sdtContent>
            <w:tc>
              <w:tcPr>
                <w:tcW w:w="152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召开日期</w:t>
                </w:r>
              </w:p>
            </w:tc>
          </w:sdtContent>
        </w:sdt>
        <w:sdt>
          <w:sdtPr>
            <w:rPr>
              <w:rFonts w:hint="default" w:ascii="Times New Roman" w:hAnsi="Times New Roman" w:cs="Times New Roman"/>
              <w:sz w:val="21"/>
              <w:szCs w:val="21"/>
            </w:rPr>
            <w:tag w:val="_PLD_12539db1b22e4f4592d7456feb9f22a6"/>
            <w:id w:val="25865"/>
          </w:sdtPr>
          <w:sdtEndPr>
            <w:rPr>
              <w:rFonts w:hint="default" w:ascii="Times New Roman" w:hAnsi="Times New Roman" w:cs="Times New Roman"/>
              <w:sz w:val="21"/>
              <w:szCs w:val="21"/>
            </w:rPr>
          </w:sdtEndPr>
          <w:sdtContent>
            <w:tc>
              <w:tcPr>
                <w:tcW w:w="2442"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会议决议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第八届董事会第十二次会议</w:t>
            </w:r>
          </w:p>
        </w:tc>
        <w:tc>
          <w:tcPr>
            <w:tcW w:w="275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2023年2月9日</w:t>
            </w:r>
          </w:p>
        </w:tc>
        <w:tc>
          <w:tcPr>
            <w:tcW w:w="2442"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 w:val="21"/>
                <w:szCs w:val="21"/>
              </w:rPr>
            </w:pPr>
            <w:r>
              <w:rPr>
                <w:rFonts w:hint="default" w:ascii="Times New Roman" w:hAnsi="Times New Roman" w:cs="Times New Roman"/>
                <w:sz w:val="21"/>
                <w:szCs w:val="21"/>
              </w:rPr>
              <w:t>《关于参与转融通证券出借业务的议案》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第八届董事会第十三次会议</w:t>
            </w:r>
          </w:p>
        </w:tc>
        <w:tc>
          <w:tcPr>
            <w:tcW w:w="275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2023年3月29日</w:t>
            </w:r>
          </w:p>
        </w:tc>
        <w:tc>
          <w:tcPr>
            <w:tcW w:w="2442"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numPr>
                <w:ilvl w:val="0"/>
                <w:numId w:val="24"/>
              </w:numPr>
              <w:jc w:val="left"/>
              <w:rPr>
                <w:rFonts w:hint="default" w:ascii="Times New Roman" w:hAnsi="Times New Roman" w:cs="Times New Roman"/>
                <w:sz w:val="21"/>
                <w:szCs w:val="21"/>
              </w:rPr>
            </w:pPr>
            <w:r>
              <w:rPr>
                <w:rFonts w:hint="default" w:ascii="Times New Roman" w:hAnsi="Times New Roman" w:cs="Times New Roman"/>
                <w:sz w:val="21"/>
                <w:szCs w:val="21"/>
              </w:rPr>
              <w:t>《2022年度董事会工作报告》</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《2022年度独立董事述职报告》</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《2022年度董事会审计委员会履职报告》</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《2022年度财务决算报告》</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《2022年年度报告（全文及摘要）》</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《2022年度社会责任报告》</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《2022年度利润分配预案》</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《2022年度内部控制评价报告》</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《关于授权管理层贷款的议案》</w:t>
            </w:r>
            <w:r>
              <w:rPr>
                <w:rFonts w:hint="default" w:ascii="Times New Roman" w:hAnsi="Times New Roman" w:cs="Times New Roman"/>
                <w:sz w:val="21"/>
                <w:szCs w:val="21"/>
                <w:lang w:eastAsia="zh-CN"/>
              </w:rPr>
              <w:t>；</w:t>
            </w:r>
          </w:p>
          <w:p>
            <w:pPr>
              <w:widowControl w:val="0"/>
              <w:numPr>
                <w:ilvl w:val="0"/>
                <w:numId w:val="24"/>
              </w:numPr>
              <w:ind w:left="0" w:leftChars="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《关于为广西两面针亿康药业股份有限公司提供银行贷款担保的议案》</w:t>
            </w:r>
            <w:r>
              <w:rPr>
                <w:rFonts w:hint="default"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第八届董事会第十四次会议</w:t>
            </w:r>
          </w:p>
        </w:tc>
        <w:tc>
          <w:tcPr>
            <w:tcW w:w="275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2023年4月26日</w:t>
            </w:r>
          </w:p>
        </w:tc>
        <w:tc>
          <w:tcPr>
            <w:tcW w:w="2442"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 w:val="21"/>
                <w:szCs w:val="21"/>
              </w:rPr>
            </w:pPr>
            <w:r>
              <w:rPr>
                <w:rFonts w:hint="default" w:ascii="Times New Roman" w:hAnsi="Times New Roman" w:cs="Times New Roman"/>
                <w:sz w:val="21"/>
                <w:szCs w:val="21"/>
              </w:rPr>
              <w:t>《2023年度第一季度报告》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第八届董事会第十五次会议</w:t>
            </w:r>
          </w:p>
        </w:tc>
        <w:tc>
          <w:tcPr>
            <w:tcW w:w="275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2023年6月7日</w:t>
            </w:r>
          </w:p>
        </w:tc>
        <w:tc>
          <w:tcPr>
            <w:tcW w:w="2442"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 w:val="21"/>
                <w:szCs w:val="21"/>
              </w:rPr>
            </w:pPr>
            <w:r>
              <w:rPr>
                <w:rFonts w:hint="default" w:ascii="Times New Roman" w:hAnsi="Times New Roman" w:cs="Times New Roman"/>
                <w:sz w:val="21"/>
                <w:szCs w:val="21"/>
              </w:rPr>
              <w:t>《关于提请召开公司2022年年度股东大会的议案》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第八届董事会第十六次会议</w:t>
            </w:r>
          </w:p>
        </w:tc>
        <w:tc>
          <w:tcPr>
            <w:tcW w:w="275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2023年8月23日</w:t>
            </w:r>
          </w:p>
        </w:tc>
        <w:tc>
          <w:tcPr>
            <w:tcW w:w="2442"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jc w:val="left"/>
              <w:rPr>
                <w:rFonts w:hint="default" w:ascii="Times New Roman" w:hAnsi="Times New Roman" w:cs="Times New Roman"/>
                <w:sz w:val="21"/>
                <w:szCs w:val="21"/>
              </w:rPr>
            </w:pPr>
            <w:r>
              <w:rPr>
                <w:rFonts w:hint="default" w:ascii="Times New Roman" w:hAnsi="Times New Roman" w:cs="Times New Roman"/>
                <w:sz w:val="21"/>
                <w:szCs w:val="21"/>
              </w:rPr>
              <w:t>《2023年半年度报告（全文及摘要）》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1033" w:type="pct"/>
            <w:vAlign w:val="center"/>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第八届董事会第十七次会议</w:t>
            </w:r>
          </w:p>
        </w:tc>
        <w:tc>
          <w:tcPr>
            <w:tcW w:w="2758"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2023年10月26日</w:t>
            </w:r>
          </w:p>
        </w:tc>
        <w:tc>
          <w:tcPr>
            <w:tcW w:w="2442"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审议通过以下议案：</w:t>
            </w:r>
          </w:p>
          <w:p>
            <w:pPr>
              <w:widowControl w:val="0"/>
              <w:numPr>
                <w:ilvl w:val="0"/>
                <w:numId w:val="25"/>
              </w:numPr>
              <w:jc w:val="left"/>
              <w:rPr>
                <w:rFonts w:hint="default" w:ascii="Times New Roman" w:hAnsi="Times New Roman" w:cs="Times New Roman"/>
                <w:sz w:val="21"/>
                <w:szCs w:val="21"/>
              </w:rPr>
            </w:pPr>
            <w:r>
              <w:rPr>
                <w:rFonts w:hint="default" w:ascii="Times New Roman" w:hAnsi="Times New Roman" w:cs="Times New Roman"/>
                <w:sz w:val="21"/>
                <w:szCs w:val="21"/>
              </w:rPr>
              <w:t>《2023年第三季度报告》</w:t>
            </w:r>
            <w:r>
              <w:rPr>
                <w:rFonts w:hint="default" w:ascii="Times New Roman" w:hAnsi="Times New Roman" w:cs="Times New Roman"/>
                <w:sz w:val="21"/>
                <w:szCs w:val="21"/>
                <w:lang w:eastAsia="zh-CN"/>
              </w:rPr>
              <w:t>；</w:t>
            </w:r>
          </w:p>
          <w:p>
            <w:pPr>
              <w:widowControl w:val="0"/>
              <w:numPr>
                <w:ilvl w:val="0"/>
                <w:numId w:val="25"/>
              </w:numPr>
              <w:jc w:val="left"/>
              <w:rPr>
                <w:rFonts w:hint="default" w:ascii="Times New Roman" w:hAnsi="Times New Roman" w:cs="Times New Roman"/>
                <w:sz w:val="21"/>
                <w:szCs w:val="21"/>
              </w:rPr>
            </w:pPr>
            <w:r>
              <w:rPr>
                <w:rFonts w:hint="default" w:ascii="Times New Roman" w:hAnsi="Times New Roman" w:cs="Times New Roman"/>
                <w:sz w:val="21"/>
                <w:szCs w:val="21"/>
              </w:rPr>
              <w:t>《关于聘请中喜会计师事务所（特殊普通合伙）为公司2023年度财务报表及内部控制审计机构的议案》</w:t>
            </w:r>
            <w:r>
              <w:rPr>
                <w:rFonts w:hint="default" w:ascii="Times New Roman" w:hAnsi="Times New Roman" w:cs="Times New Roman"/>
                <w:sz w:val="21"/>
                <w:szCs w:val="21"/>
                <w:lang w:eastAsia="zh-CN"/>
              </w:rPr>
              <w:t>；</w:t>
            </w:r>
          </w:p>
          <w:p>
            <w:pPr>
              <w:widowControl w:val="0"/>
              <w:numPr>
                <w:ilvl w:val="0"/>
                <w:numId w:val="25"/>
              </w:numPr>
              <w:jc w:val="left"/>
              <w:rPr>
                <w:rFonts w:hint="default" w:ascii="Times New Roman" w:hAnsi="Times New Roman" w:cs="Times New Roman"/>
                <w:sz w:val="21"/>
                <w:szCs w:val="21"/>
              </w:rPr>
            </w:pPr>
            <w:r>
              <w:rPr>
                <w:rFonts w:hint="default" w:ascii="Times New Roman" w:hAnsi="Times New Roman" w:cs="Times New Roman"/>
                <w:sz w:val="21"/>
                <w:szCs w:val="21"/>
              </w:rPr>
              <w:t>《关于提请召开公司2023年第一次临时股东大会的议案》</w:t>
            </w:r>
            <w:r>
              <w:rPr>
                <w:rFonts w:hint="default" w:ascii="Times New Roman" w:hAnsi="Times New Roman" w:cs="Times New Roman"/>
                <w:sz w:val="21"/>
                <w:szCs w:val="21"/>
                <w:lang w:eastAsia="zh-CN"/>
              </w:rPr>
              <w:t>。</w:t>
            </w:r>
          </w:p>
        </w:tc>
      </w:tr>
    </w:tbl>
    <w:p/>
    <w:bookmarkEnd w:id="74"/>
    <w:p>
      <w:pPr>
        <w:pStyle w:val="3"/>
        <w:numPr>
          <w:ilvl w:val="0"/>
          <w:numId w:val="21"/>
        </w:numPr>
      </w:pPr>
      <w:r>
        <w:t>董事履行职责情况</w:t>
      </w:r>
    </w:p>
    <w:p>
      <w:pPr>
        <w:pStyle w:val="4"/>
        <w:numPr>
          <w:ilvl w:val="0"/>
          <w:numId w:val="26"/>
        </w:numPr>
      </w:pPr>
      <w:r>
        <w:t>董事参加董事会和股东大会的情况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844"/>
        <w:gridCol w:w="1099"/>
        <w:gridCol w:w="853"/>
        <w:gridCol w:w="967"/>
        <w:gridCol w:w="905"/>
        <w:gridCol w:w="844"/>
        <w:gridCol w:w="1297"/>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rPr>
              <w:rFonts w:hint="default" w:ascii="Times New Roman" w:hAnsi="Times New Roman" w:cs="Times New Roman"/>
            </w:rPr>
            <w:tag w:val="_PLD_fdf987702b2e46a4aaa1e3f20787a76c"/>
            <w:id w:val="25866"/>
          </w:sdtPr>
          <w:sdtEndPr>
            <w:rPr>
              <w:rFonts w:hint="default" w:ascii="Times New Roman" w:hAnsi="Times New Roman" w:cs="Times New Roman"/>
            </w:rPr>
          </w:sdtEndPr>
          <w:sdtContent>
            <w:tc>
              <w:tcPr>
                <w:tcW w:w="540"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董事</w:t>
                </w:r>
              </w:p>
              <w:p>
                <w:pPr>
                  <w:widowControl w:val="0"/>
                  <w:jc w:val="center"/>
                  <w:rPr>
                    <w:rFonts w:hint="default" w:ascii="Times New Roman" w:hAnsi="Times New Roman" w:cs="Times New Roman"/>
                    <w:szCs w:val="21"/>
                  </w:rPr>
                </w:pPr>
                <w:r>
                  <w:rPr>
                    <w:rFonts w:hint="default" w:ascii="Times New Roman" w:hAnsi="Times New Roman" w:cs="Times New Roman"/>
                    <w:szCs w:val="21"/>
                  </w:rPr>
                  <w:t>姓名</w:t>
                </w:r>
              </w:p>
            </w:tc>
          </w:sdtContent>
        </w:sdt>
        <w:sdt>
          <w:sdtPr>
            <w:rPr>
              <w:rFonts w:hint="default" w:ascii="Times New Roman" w:hAnsi="Times New Roman" w:cs="Times New Roman"/>
            </w:rPr>
            <w:tag w:val="_PLD_8c944f740a3a4784938038ab19e3a6ed"/>
            <w:id w:val="25867"/>
          </w:sdtPr>
          <w:sdtEndPr>
            <w:rPr>
              <w:rFonts w:hint="default" w:ascii="Times New Roman" w:hAnsi="Times New Roman" w:cs="Times New Roman"/>
            </w:rPr>
          </w:sdtEndPr>
          <w:sdtContent>
            <w:tc>
              <w:tcPr>
                <w:tcW w:w="466" w:type="pct"/>
                <w:vMerge w:val="restar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是否独立董事</w:t>
                </w:r>
              </w:p>
            </w:tc>
          </w:sdtContent>
        </w:sdt>
        <w:sdt>
          <w:sdtPr>
            <w:rPr>
              <w:rFonts w:hint="default" w:ascii="Times New Roman" w:hAnsi="Times New Roman" w:cs="Times New Roman"/>
            </w:rPr>
            <w:tag w:val="_PLD_41002b55426142459adadb76d790d586"/>
            <w:id w:val="25868"/>
          </w:sdtPr>
          <w:sdtEndPr>
            <w:rPr>
              <w:rFonts w:hint="default" w:ascii="Times New Roman" w:hAnsi="Times New Roman" w:cs="Times New Roman"/>
            </w:rPr>
          </w:sdtEndPr>
          <w:sdtContent>
            <w:tc>
              <w:tcPr>
                <w:tcW w:w="3294" w:type="pct"/>
                <w:gridSpan w:val="6"/>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参加董事会情况</w:t>
                </w:r>
              </w:p>
            </w:tc>
          </w:sdtContent>
        </w:sdt>
        <w:sdt>
          <w:sdtPr>
            <w:rPr>
              <w:rFonts w:hint="default" w:ascii="Times New Roman" w:hAnsi="Times New Roman" w:cs="Times New Roman"/>
            </w:rPr>
            <w:tag w:val="_PLD_a86ab0ba65874193bf46821cd6a13f4f"/>
            <w:id w:val="25869"/>
          </w:sdtPr>
          <w:sdtEndPr>
            <w:rPr>
              <w:rFonts w:hint="default" w:ascii="Times New Roman" w:hAnsi="Times New Roman" w:cs="Times New Roman"/>
            </w:rPr>
          </w:sdtEndPr>
          <w:sdtContent>
            <w:tc>
              <w:tcPr>
                <w:tcW w:w="69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参加股东大会情况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0" w:type="pct"/>
            <w:vMerge w:val="continue"/>
            <w:vAlign w:val="center"/>
          </w:tcPr>
          <w:p>
            <w:pPr>
              <w:widowControl w:val="0"/>
              <w:jc w:val="center"/>
              <w:rPr>
                <w:rFonts w:hint="default" w:ascii="Times New Roman" w:hAnsi="Times New Roman" w:cs="Times New Roman"/>
                <w:szCs w:val="21"/>
              </w:rPr>
            </w:pPr>
          </w:p>
        </w:tc>
        <w:tc>
          <w:tcPr>
            <w:tcW w:w="466" w:type="pct"/>
            <w:vMerge w:val="continue"/>
            <w:vAlign w:val="center"/>
          </w:tcPr>
          <w:p>
            <w:pPr>
              <w:widowControl w:val="0"/>
              <w:jc w:val="center"/>
              <w:rPr>
                <w:rFonts w:hint="default" w:ascii="Times New Roman" w:hAnsi="Times New Roman" w:cs="Times New Roman"/>
                <w:szCs w:val="21"/>
              </w:rPr>
            </w:pPr>
          </w:p>
        </w:tc>
        <w:sdt>
          <w:sdtPr>
            <w:rPr>
              <w:rFonts w:hint="default" w:ascii="Times New Roman" w:hAnsi="Times New Roman" w:cs="Times New Roman"/>
            </w:rPr>
            <w:tag w:val="_PLD_1be3bc3a3d894e22b017b70a7c691233"/>
            <w:id w:val="25870"/>
          </w:sdtPr>
          <w:sdtEndPr>
            <w:rPr>
              <w:rFonts w:hint="default" w:ascii="Times New Roman" w:hAnsi="Times New Roman" w:cs="Times New Roman"/>
            </w:rPr>
          </w:sdtEndPr>
          <w:sdtContent>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本年应参加董事会次数</w:t>
                </w:r>
              </w:p>
            </w:tc>
          </w:sdtContent>
        </w:sdt>
        <w:sdt>
          <w:sdtPr>
            <w:rPr>
              <w:rFonts w:hint="default" w:ascii="Times New Roman" w:hAnsi="Times New Roman" w:cs="Times New Roman"/>
            </w:rPr>
            <w:tag w:val="_PLD_3e45fc9802f241cb8e17735983417e9b"/>
            <w:id w:val="25871"/>
          </w:sdtPr>
          <w:sdtEndPr>
            <w:rPr>
              <w:rFonts w:hint="default" w:ascii="Times New Roman" w:hAnsi="Times New Roman" w:cs="Times New Roman"/>
            </w:rPr>
          </w:sdtEndPr>
          <w:sdtContent>
            <w:tc>
              <w:tcPr>
                <w:tcW w:w="471"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亲自出席次数</w:t>
                </w:r>
              </w:p>
            </w:tc>
          </w:sdtContent>
        </w:sdt>
        <w:sdt>
          <w:sdtPr>
            <w:rPr>
              <w:rFonts w:hint="default" w:ascii="Times New Roman" w:hAnsi="Times New Roman" w:cs="Times New Roman"/>
            </w:rPr>
            <w:tag w:val="_PLD_5b2f1e699fe34def868fe8b765d768ba"/>
            <w:id w:val="25872"/>
          </w:sdtPr>
          <w:sdtEndPr>
            <w:rPr>
              <w:rFonts w:hint="default" w:ascii="Times New Roman" w:hAnsi="Times New Roman" w:cs="Times New Roman"/>
            </w:rPr>
          </w:sdtEndPr>
          <w:sdtContent>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以通讯方式参加次数</w:t>
                </w:r>
              </w:p>
            </w:tc>
          </w:sdtContent>
        </w:sdt>
        <w:sdt>
          <w:sdtPr>
            <w:rPr>
              <w:rFonts w:hint="default" w:ascii="Times New Roman" w:hAnsi="Times New Roman" w:cs="Times New Roman"/>
            </w:rPr>
            <w:tag w:val="_PLD_981a0cb863d94703a5482c1ca67d4cb5"/>
            <w:id w:val="25873"/>
          </w:sdtPr>
          <w:sdtEndPr>
            <w:rPr>
              <w:rFonts w:hint="default" w:ascii="Times New Roman" w:hAnsi="Times New Roman" w:cs="Times New Roman"/>
            </w:rPr>
          </w:sdtEndPr>
          <w:sdtContent>
            <w:tc>
              <w:tcPr>
                <w:tcW w:w="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委托出席次数</w:t>
                </w:r>
              </w:p>
            </w:tc>
          </w:sdtContent>
        </w:sdt>
        <w:sdt>
          <w:sdtPr>
            <w:rPr>
              <w:rFonts w:hint="default" w:ascii="Times New Roman" w:hAnsi="Times New Roman" w:cs="Times New Roman"/>
            </w:rPr>
            <w:tag w:val="_PLD_e955143b8973461bb11aa6e64e6bb542"/>
            <w:id w:val="25874"/>
          </w:sdtPr>
          <w:sdtEndPr>
            <w:rPr>
              <w:rFonts w:hint="default" w:ascii="Times New Roman" w:hAnsi="Times New Roman" w:cs="Times New Roman"/>
            </w:rPr>
          </w:sdtEndPr>
          <w:sdtContent>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缺席</w:t>
                </w:r>
              </w:p>
              <w:p>
                <w:pPr>
                  <w:widowControl w:val="0"/>
                  <w:jc w:val="center"/>
                  <w:rPr>
                    <w:rFonts w:hint="default" w:ascii="Times New Roman" w:hAnsi="Times New Roman" w:cs="Times New Roman"/>
                    <w:szCs w:val="21"/>
                  </w:rPr>
                </w:pPr>
                <w:r>
                  <w:rPr>
                    <w:rFonts w:hint="default" w:ascii="Times New Roman" w:hAnsi="Times New Roman" w:cs="Times New Roman"/>
                    <w:szCs w:val="21"/>
                  </w:rPr>
                  <w:t>次数</w:t>
                </w:r>
              </w:p>
            </w:tc>
          </w:sdtContent>
        </w:sdt>
        <w:sdt>
          <w:sdtPr>
            <w:rPr>
              <w:rFonts w:hint="default" w:ascii="Times New Roman" w:hAnsi="Times New Roman" w:cs="Times New Roman"/>
            </w:rPr>
            <w:tag w:val="_PLD_c94de7a455d94af5b8ffe4cc736c4b46"/>
            <w:id w:val="25875"/>
          </w:sdtPr>
          <w:sdtEndPr>
            <w:rPr>
              <w:rFonts w:hint="default" w:ascii="Times New Roman" w:hAnsi="Times New Roman" w:cs="Times New Roman"/>
            </w:rPr>
          </w:sdtEndPr>
          <w:sdtContent>
            <w:tc>
              <w:tcPr>
                <w:tcW w:w="713"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是否连续两次未亲自参加会议</w:t>
                </w:r>
              </w:p>
            </w:tc>
          </w:sdtContent>
        </w:sdt>
        <w:sdt>
          <w:sdtPr>
            <w:rPr>
              <w:rFonts w:hint="default" w:ascii="Times New Roman" w:hAnsi="Times New Roman" w:cs="Times New Roman"/>
            </w:rPr>
            <w:tag w:val="_PLD_7f17c2a5ff9540709fafff9460b0756d"/>
            <w:id w:val="25876"/>
          </w:sdtPr>
          <w:sdtEndPr>
            <w:rPr>
              <w:rFonts w:hint="default" w:ascii="Times New Roman" w:hAnsi="Times New Roman" w:cs="Times New Roman"/>
            </w:rPr>
          </w:sdtEndPr>
          <w:sdtContent>
            <w:tc>
              <w:tcPr>
                <w:tcW w:w="697" w:type="pct"/>
                <w:vAlign w:val="center"/>
              </w:tcPr>
              <w:p>
                <w:pPr>
                  <w:widowControl w:val="0"/>
                  <w:jc w:val="center"/>
                  <w:rPr>
                    <w:rFonts w:hint="default" w:ascii="Times New Roman" w:hAnsi="Times New Roman" w:cs="Times New Roman"/>
                    <w:b/>
                    <w:szCs w:val="21"/>
                  </w:rPr>
                </w:pPr>
                <w:r>
                  <w:rPr>
                    <w:rFonts w:hint="default" w:ascii="Times New Roman" w:hAnsi="Times New Roman" w:cs="Times New Roman"/>
                    <w:szCs w:val="21"/>
                  </w:rPr>
                  <w:t>出席股东大会的次数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林钻煌</w:t>
            </w:r>
          </w:p>
        </w:tc>
        <w:sdt>
          <w:sdtPr>
            <w:rPr>
              <w:rFonts w:hint="default" w:ascii="Times New Roman" w:hAnsi="Times New Roman" w:cs="Times New Roman"/>
              <w:szCs w:val="21"/>
            </w:rPr>
            <w:alias w:val="董事参加董事会的出席情况明细-是否独立董事"/>
            <w:tag w:val="_GBC_8f65cf2d483747a58ee92c8a36ee6375"/>
            <w:id w:val="25877"/>
            <w:comboBox>
              <w:listItem w:displayText="是" w:value="true"/>
              <w:listItem w:displayText="否" w:value="false"/>
            </w:comboBox>
          </w:sdtPr>
          <w:sdtEndPr>
            <w:rPr>
              <w:rFonts w:hint="default" w:ascii="Times New Roman" w:hAnsi="Times New Roman" w:cs="Times New Roman"/>
              <w:szCs w:val="21"/>
            </w:rPr>
          </w:sdtEndPr>
          <w:sdtContent>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tc>
          </w:sdtContent>
        </w:sdt>
        <w:tc>
          <w:tcPr>
            <w:tcW w:w="60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w:t>
            </w:r>
          </w:p>
        </w:tc>
        <w:tc>
          <w:tcPr>
            <w:tcW w:w="853" w:type="dxa"/>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w:t>
            </w:r>
          </w:p>
        </w:tc>
        <w:tc>
          <w:tcPr>
            <w:tcW w:w="534"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sdt>
          <w:sdtPr>
            <w:rPr>
              <w:rFonts w:hint="default" w:ascii="Times New Roman" w:hAnsi="Times New Roman" w:cs="Times New Roman"/>
              <w:szCs w:val="21"/>
            </w:rPr>
            <w:alias w:val="董事参加董事会的出席情况明细-是否连续两次未亲自参加会议"/>
            <w:tag w:val="_GBC_4748dc7c4f9b495f9d97d5c22a5e08e6"/>
            <w:id w:val="25878"/>
            <w:comboBox>
              <w:listItem w:displayText="是" w:value="true"/>
              <w:listItem w:displayText="否" w:value="false"/>
            </w:comboBox>
          </w:sdtPr>
          <w:sdtEndPr>
            <w:rPr>
              <w:rFonts w:hint="default" w:ascii="Times New Roman" w:hAnsi="Times New Roman" w:cs="Times New Roman"/>
              <w:szCs w:val="21"/>
            </w:rPr>
          </w:sdtEndPr>
          <w:sdtContent>
            <w:tc>
              <w:tcPr>
                <w:tcW w:w="713" w:type="pct"/>
                <w:vAlign w:val="center"/>
              </w:tcPr>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tc>
          </w:sdtContent>
        </w:sdt>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龚慧泉</w:t>
            </w:r>
          </w:p>
        </w:tc>
        <w:tc>
          <w:tcPr>
            <w:tcW w:w="46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否</w:t>
            </w:r>
          </w:p>
        </w:tc>
        <w:tc>
          <w:tcPr>
            <w:tcW w:w="607" w:type="pct"/>
            <w:vAlign w:val="center"/>
          </w:tcPr>
          <w:p>
            <w:pPr>
              <w:widowControl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534"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79"/>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王为民</w:t>
            </w:r>
          </w:p>
        </w:tc>
        <w:tc>
          <w:tcPr>
            <w:tcW w:w="46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80"/>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孙雪东</w:t>
            </w:r>
          </w:p>
        </w:tc>
        <w:tc>
          <w:tcPr>
            <w:tcW w:w="46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81"/>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唐 鹏</w:t>
            </w:r>
          </w:p>
        </w:tc>
        <w:tc>
          <w:tcPr>
            <w:tcW w:w="46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否</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82"/>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张重义</w:t>
            </w:r>
          </w:p>
        </w:tc>
        <w:tc>
          <w:tcPr>
            <w:tcW w:w="46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是</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83"/>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余 兵</w:t>
            </w:r>
          </w:p>
        </w:tc>
        <w:tc>
          <w:tcPr>
            <w:tcW w:w="466"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是</w:t>
            </w:r>
          </w:p>
        </w:tc>
        <w:tc>
          <w:tcPr>
            <w:tcW w:w="607"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84"/>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魏 佳</w:t>
            </w:r>
          </w:p>
        </w:tc>
        <w:sdt>
          <w:sdtPr>
            <w:rPr>
              <w:rFonts w:hint="default" w:ascii="Times New Roman" w:hAnsi="Times New Roman" w:cs="Times New Roman"/>
              <w:szCs w:val="21"/>
            </w:rPr>
            <w:alias w:val="董事参加董事会的出席情况明细-是否独立董事"/>
            <w:tag w:val="_GBC_8f65cf2d483747a58ee92c8a36ee6375"/>
            <w:id w:val="25885"/>
            <w:comboBox>
              <w:listItem w:displayText="是" w:value="true"/>
              <w:listItem w:displayText="否" w:value="false"/>
            </w:comboBox>
          </w:sdtPr>
          <w:sdtEndPr>
            <w:rPr>
              <w:rFonts w:hint="default" w:ascii="Times New Roman" w:hAnsi="Times New Roman" w:cs="Times New Roman"/>
              <w:szCs w:val="21"/>
            </w:rPr>
          </w:sdtEndPr>
          <w:sdtContent>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是</w:t>
                </w:r>
              </w:p>
            </w:tc>
          </w:sdtContent>
        </w:sdt>
        <w:tc>
          <w:tcPr>
            <w:tcW w:w="607" w:type="pct"/>
            <w:vAlign w:val="center"/>
          </w:tcPr>
          <w:p>
            <w:pPr>
              <w:widowControl w:val="0"/>
              <w:jc w:val="center"/>
              <w:rPr>
                <w:rFonts w:hint="default" w:ascii="Times New Roman" w:hAnsi="Times New Roman" w:cs="Times New Roman"/>
                <w:szCs w:val="21"/>
                <w:lang w:val="en-US"/>
              </w:rPr>
            </w:pPr>
            <w:r>
              <w:rPr>
                <w:rFonts w:hint="default" w:ascii="Times New Roman" w:hAnsi="Times New Roman" w:cs="Times New Roman"/>
                <w:szCs w:val="21"/>
                <w:lang w:eastAsia="zh-CN"/>
              </w:rPr>
              <w:t>6</w:t>
            </w:r>
          </w:p>
        </w:tc>
        <w:tc>
          <w:tcPr>
            <w:tcW w:w="853"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eastAsia="zh-CN"/>
              </w:rPr>
              <w:t>6</w:t>
            </w:r>
          </w:p>
        </w:tc>
        <w:tc>
          <w:tcPr>
            <w:tcW w:w="534"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5</w:t>
            </w:r>
          </w:p>
        </w:tc>
        <w:tc>
          <w:tcPr>
            <w:tcW w:w="500"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c>
          <w:tcPr>
            <w:tcW w:w="466"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c>
          <w:tcPr>
            <w:tcW w:w="713" w:type="pct"/>
            <w:vAlign w:val="center"/>
          </w:tcPr>
          <w:sdt>
            <w:sdtPr>
              <w:rPr>
                <w:rFonts w:hint="default" w:ascii="Times New Roman" w:hAnsi="Times New Roman" w:cs="Times New Roman"/>
                <w:szCs w:val="21"/>
              </w:rPr>
              <w:alias w:val="董事参加董事会的出席情况明细-是否连续两次未亲自参加会议"/>
              <w:tag w:val="_GBC_4748dc7c4f9b495f9d97d5c22a5e08e6"/>
              <w:id w:val="25886"/>
              <w:comboBox>
                <w:listItem w:displayText="是" w:value="true"/>
                <w:listItem w:displayText="否" w:value="false"/>
              </w:comboBox>
            </w:sdtPr>
            <w:sdtEndPr>
              <w:rPr>
                <w:rFonts w:hint="default" w:ascii="Times New Roman" w:hAnsi="Times New Roman" w:cs="Times New Roman"/>
                <w:szCs w:val="21"/>
              </w:rPr>
            </w:sdtEndPr>
            <w:sdtContent>
              <w:p>
                <w:pPr>
                  <w:widowControl w:val="0"/>
                  <w:jc w:val="center"/>
                  <w:rPr>
                    <w:rFonts w:hint="default" w:ascii="Times New Roman" w:hAnsi="Times New Roman" w:cs="Times New Roman"/>
                    <w:szCs w:val="21"/>
                  </w:rPr>
                </w:pPr>
                <w:r>
                  <w:rPr>
                    <w:rFonts w:hint="default" w:ascii="Times New Roman" w:hAnsi="Times New Roman" w:eastAsia="宋体" w:cs="Times New Roman"/>
                    <w:sz w:val="21"/>
                    <w:szCs w:val="21"/>
                    <w:lang w:val="en-US" w:eastAsia="zh-CN" w:bidi="ar-SA"/>
                  </w:rPr>
                  <w:t>否</w:t>
                </w:r>
              </w:p>
            </w:sdtContent>
          </w:sdt>
        </w:tc>
        <w:tc>
          <w:tcPr>
            <w:tcW w:w="697"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bl>
    <w:p/>
    <w:p>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2588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Cs w:val="21"/>
            </w:rPr>
            <w:tag w:val="_PLD_0fc68bf164f04edda97a907df4cc747d"/>
            <w:id w:val="25888"/>
          </w:sdtPr>
          <w:sdtEndPr>
            <w:rPr>
              <w:rFonts w:hint="default" w:ascii="Times New Roman" w:hAnsi="Times New Roman" w:cs="Times New Roman"/>
              <w:szCs w:val="24"/>
            </w:rPr>
          </w:sdtEndPr>
          <w:sdtContent>
            <w:tc>
              <w:tcPr>
                <w:tcW w:w="4524" w:type="dxa"/>
              </w:tcPr>
              <w:p>
                <w:pPr>
                  <w:widowControl w:val="0"/>
                  <w:jc w:val="both"/>
                  <w:rPr>
                    <w:rFonts w:hint="default" w:ascii="Times New Roman" w:hAnsi="Times New Roman" w:cs="Times New Roman"/>
                    <w:szCs w:val="21"/>
                  </w:rPr>
                </w:pPr>
                <w:r>
                  <w:rPr>
                    <w:rFonts w:hint="default" w:ascii="Times New Roman" w:hAnsi="Times New Roman" w:cs="Times New Roman"/>
                    <w:szCs w:val="21"/>
                  </w:rPr>
                  <w:t>年内召开董事会会议次数</w:t>
                </w:r>
              </w:p>
            </w:tc>
          </w:sdtContent>
        </w:sdt>
        <w:sdt>
          <w:sdtPr>
            <w:rPr>
              <w:rFonts w:hint="default" w:ascii="Times New Roman" w:hAnsi="Times New Roman" w:cs="Times New Roman"/>
              <w:szCs w:val="21"/>
            </w:rPr>
            <w:alias w:val="报告期内召开董事会会议次数"/>
            <w:tag w:val="_GBC_cabd294ab90e40d0afb59e61df002667"/>
            <w:id w:val="25889"/>
          </w:sdtPr>
          <w:sdtEndPr>
            <w:rPr>
              <w:rFonts w:hint="default" w:ascii="Times New Roman" w:hAnsi="Times New Roman" w:cs="Times New Roman"/>
              <w:szCs w:val="21"/>
            </w:rPr>
          </w:sdtEndPr>
          <w:sdtContent>
            <w:tc>
              <w:tcPr>
                <w:tcW w:w="4525" w:type="dxa"/>
              </w:tcPr>
              <w:p>
                <w:pPr>
                  <w:widowControl w:val="0"/>
                  <w:jc w:val="both"/>
                  <w:rPr>
                    <w:rFonts w:hint="default" w:ascii="Times New Roman" w:hAnsi="Times New Roman" w:cs="Times New Roman"/>
                    <w:szCs w:val="21"/>
                  </w:rPr>
                </w:pPr>
                <w:r>
                  <w:rPr>
                    <w:rFonts w:hint="default" w:ascii="Times New Roman" w:hAnsi="Times New Roman" w:cs="Times New Roman"/>
                    <w:szCs w:val="21"/>
                    <w:lang w:val="en-US" w:eastAsia="zh-CN"/>
                  </w:rPr>
                  <w:t>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rFonts w:hint="default" w:ascii="Times New Roman" w:hAnsi="Times New Roman" w:cs="Times New Roman"/>
                <w:szCs w:val="21"/>
              </w:rPr>
            </w:pPr>
            <w:r>
              <w:rPr>
                <w:rFonts w:hint="default" w:ascii="Times New Roman" w:hAnsi="Times New Roman" w:cs="Times New Roman"/>
                <w:szCs w:val="21"/>
              </w:rPr>
              <w:t>其中：现场会议次数</w:t>
            </w:r>
          </w:p>
        </w:tc>
        <w:tc>
          <w:tcPr>
            <w:tcW w:w="4525" w:type="dxa"/>
          </w:tcPr>
          <w:p>
            <w:pPr>
              <w:widowControl w:val="0"/>
              <w:jc w:val="both"/>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rFonts w:hint="default" w:ascii="Times New Roman" w:hAnsi="Times New Roman" w:cs="Times New Roman"/>
                <w:szCs w:val="21"/>
              </w:rPr>
            </w:pPr>
            <w:r>
              <w:rPr>
                <w:rFonts w:hint="default" w:ascii="Times New Roman" w:hAnsi="Times New Roman" w:cs="Times New Roman"/>
                <w:szCs w:val="21"/>
              </w:rPr>
              <w:t>通讯方式召开会议次数</w:t>
            </w:r>
          </w:p>
        </w:tc>
        <w:tc>
          <w:tcPr>
            <w:tcW w:w="4525" w:type="dxa"/>
          </w:tcPr>
          <w:p>
            <w:pPr>
              <w:widowControl w:val="0"/>
              <w:jc w:val="both"/>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rFonts w:hint="default" w:ascii="Times New Roman" w:hAnsi="Times New Roman" w:cs="Times New Roman"/>
                <w:szCs w:val="21"/>
              </w:rPr>
            </w:pPr>
            <w:r>
              <w:rPr>
                <w:rFonts w:hint="default" w:ascii="Times New Roman" w:hAnsi="Times New Roman" w:cs="Times New Roman"/>
                <w:szCs w:val="21"/>
              </w:rPr>
              <w:t>现场结合通讯方式召开会议次数</w:t>
            </w:r>
          </w:p>
        </w:tc>
        <w:tc>
          <w:tcPr>
            <w:tcW w:w="4525" w:type="dxa"/>
          </w:tcPr>
          <w:p>
            <w:pPr>
              <w:widowControl w:val="0"/>
              <w:jc w:val="both"/>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r>
    </w:tbl>
    <w:p/>
    <w:p>
      <w:pPr>
        <w:pStyle w:val="4"/>
        <w:numPr>
          <w:ilvl w:val="0"/>
          <w:numId w:val="26"/>
        </w:numPr>
        <w:rPr>
          <w:szCs w:val="21"/>
        </w:rPr>
      </w:pPr>
      <w:r>
        <w:rPr>
          <w:szCs w:val="21"/>
        </w:rPr>
        <w:t>董事对公司有关事项提出异议的情况</w:t>
      </w:r>
    </w:p>
    <w:sdt>
      <w:sdtPr>
        <w:alias w:val="是否适用：独立董事对公司有关事项提出异议的情况[双击切换]"/>
        <w:tag w:val="_GBC_1369df39a53747ff843be7f892cb0cbd"/>
        <w:id w:val="25890"/>
        <w:placeholder>
          <w:docPart w:val="GBC22222222222222222222222222222"/>
        </w:placeholder>
      </w:sdtPr>
      <w:sdtEndPr>
        <w:rPr>
          <w:b/>
          <w:bCs/>
        </w:rPr>
      </w:sdtEnd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4"/>
        <w:numPr>
          <w:ilvl w:val="0"/>
          <w:numId w:val="26"/>
        </w:numPr>
        <w:rPr>
          <w:szCs w:val="21"/>
        </w:rPr>
      </w:pPr>
      <w:r>
        <w:rPr>
          <w:szCs w:val="21"/>
        </w:rPr>
        <w:t>其他</w:t>
      </w:r>
    </w:p>
    <w:sdt>
      <w:sdtPr>
        <w:rPr>
          <w:rFonts w:hint="eastAsia"/>
          <w:szCs w:val="21"/>
        </w:rPr>
        <w:alias w:val="是否适用：其他董事履行职责情况说明[双击切换]"/>
        <w:tag w:val="_GBC_ba1a70dda14046559f72c5b524ca1125"/>
        <w:id w:val="25891"/>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21"/>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25892"/>
        <w:lock w:val="conten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4"/>
        <w:numPr>
          <w:ilvl w:val="0"/>
          <w:numId w:val="27"/>
        </w:numPr>
      </w:pPr>
      <w:r>
        <w:rPr>
          <w:rFonts w:hint="eastAsia"/>
        </w:rPr>
        <w:t>董事会下设专门委员会成员情况</w:t>
      </w:r>
    </w:p>
    <w:tbl>
      <w:tblPr>
        <w:tblStyle w:val="37"/>
        <w:tblW w:w="9051" w:type="dxa"/>
        <w:jc w:val="center"/>
        <w:tblLayout w:type="autofit"/>
        <w:tblCellMar>
          <w:top w:w="0" w:type="dxa"/>
          <w:left w:w="108" w:type="dxa"/>
          <w:bottom w:w="0" w:type="dxa"/>
          <w:right w:w="108" w:type="dxa"/>
        </w:tblCellMar>
      </w:tblPr>
      <w:tblGrid>
        <w:gridCol w:w="2586"/>
        <w:gridCol w:w="6465"/>
      </w:tblGrid>
      <w:tr>
        <w:tblPrEx>
          <w:tblCellMar>
            <w:top w:w="0" w:type="dxa"/>
            <w:left w:w="108" w:type="dxa"/>
            <w:bottom w:w="0" w:type="dxa"/>
            <w:right w:w="108" w:type="dxa"/>
          </w:tblCellMar>
        </w:tblPrEx>
        <w:trPr>
          <w:trHeight w:val="270" w:hRule="atLeast"/>
          <w:jc w:val="center"/>
        </w:trPr>
        <w:sdt>
          <w:sdtPr>
            <w:rPr>
              <w:rFonts w:hint="eastAsia"/>
              <w:color w:val="000000"/>
              <w:sz w:val="21"/>
              <w:szCs w:val="21"/>
            </w:rPr>
            <w:tag w:val="_PLD_d469fc77cfdc44b0b043e0b1ab52e604"/>
            <w:id w:val="25893"/>
          </w:sdtPr>
          <w:sdtEndPr>
            <w:rPr>
              <w:rFonts w:hint="eastAsia"/>
              <w:color w:val="000000"/>
              <w:sz w:val="21"/>
              <w:szCs w:val="21"/>
            </w:rPr>
          </w:sdtEnd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color w:val="000000"/>
                    <w:sz w:val="21"/>
                    <w:szCs w:val="21"/>
                  </w:rPr>
                </w:pPr>
                <w:r>
                  <w:rPr>
                    <w:rFonts w:hint="eastAsia"/>
                    <w:color w:val="000000"/>
                    <w:sz w:val="21"/>
                    <w:szCs w:val="21"/>
                  </w:rPr>
                  <w:t>专门委员会类别</w:t>
                </w:r>
              </w:p>
            </w:tc>
          </w:sdtContent>
        </w:sdt>
        <w:sdt>
          <w:sdtPr>
            <w:rPr>
              <w:rFonts w:hint="eastAsia"/>
              <w:color w:val="000000"/>
              <w:sz w:val="21"/>
              <w:szCs w:val="21"/>
            </w:rPr>
            <w:tag w:val="_PLD_32d037161ea94d0eb907c4e766b75044"/>
            <w:id w:val="25894"/>
          </w:sdtPr>
          <w:sdtEndPr>
            <w:rPr>
              <w:rFonts w:hint="eastAsia"/>
              <w:color w:val="000000"/>
              <w:sz w:val="21"/>
              <w:szCs w:val="21"/>
            </w:rPr>
          </w:sdtEndPr>
          <w:sdtContent>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21"/>
                    <w:szCs w:val="21"/>
                  </w:rPr>
                </w:pPr>
                <w:r>
                  <w:rPr>
                    <w:rFonts w:hint="eastAsia"/>
                    <w:color w:val="000000"/>
                    <w:sz w:val="21"/>
                    <w:szCs w:val="21"/>
                  </w:rPr>
                  <w:t>成员姓名</w:t>
                </w:r>
              </w:p>
            </w:tc>
          </w:sdtContent>
        </w:sdt>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rPr>
                <w:color w:val="000000"/>
                <w:sz w:val="21"/>
                <w:szCs w:val="21"/>
              </w:rPr>
            </w:pPr>
            <w:r>
              <w:rPr>
                <w:rFonts w:hint="eastAsia"/>
                <w:color w:val="000000"/>
                <w:sz w:val="21"/>
                <w:szCs w:val="21"/>
              </w:rPr>
              <w:t>审计委员会</w:t>
            </w:r>
          </w:p>
        </w:tc>
        <w:tc>
          <w:tcPr>
            <w:tcW w:w="6465" w:type="dxa"/>
            <w:tcBorders>
              <w:top w:val="nil"/>
              <w:left w:val="nil"/>
              <w:bottom w:val="single" w:color="auto" w:sz="4" w:space="0"/>
              <w:right w:val="single" w:color="auto" w:sz="4" w:space="0"/>
            </w:tcBorders>
            <w:shd w:val="clear" w:color="auto" w:fill="auto"/>
            <w:noWrap/>
            <w:vAlign w:val="center"/>
          </w:tcPr>
          <w:p>
            <w:pPr>
              <w:rPr>
                <w:rFonts w:hint="default" w:eastAsia="宋体"/>
                <w:sz w:val="21"/>
                <w:szCs w:val="21"/>
                <w:lang w:val="en-US" w:eastAsia="zh-CN"/>
              </w:rPr>
            </w:pPr>
            <w:r>
              <w:rPr>
                <w:rFonts w:hint="eastAsia"/>
                <w:sz w:val="21"/>
                <w:szCs w:val="21"/>
                <w:lang w:val="en-US" w:eastAsia="zh-CN"/>
              </w:rPr>
              <w:t>余兵、王为民、魏佳</w:t>
            </w:r>
          </w:p>
        </w:tc>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rPr>
                <w:color w:val="000000"/>
                <w:sz w:val="21"/>
                <w:szCs w:val="21"/>
              </w:rPr>
            </w:pPr>
            <w:r>
              <w:rPr>
                <w:rFonts w:hint="eastAsia"/>
                <w:color w:val="000000"/>
                <w:sz w:val="21"/>
                <w:szCs w:val="21"/>
              </w:rPr>
              <w:t>提名委员会</w:t>
            </w:r>
          </w:p>
        </w:tc>
        <w:tc>
          <w:tcPr>
            <w:tcW w:w="6465" w:type="dxa"/>
            <w:tcBorders>
              <w:top w:val="nil"/>
              <w:left w:val="nil"/>
              <w:bottom w:val="single" w:color="auto" w:sz="4" w:space="0"/>
              <w:right w:val="single" w:color="auto" w:sz="4" w:space="0"/>
            </w:tcBorders>
            <w:shd w:val="clear" w:color="auto" w:fill="auto"/>
            <w:noWrap/>
            <w:vAlign w:val="center"/>
          </w:tcPr>
          <w:p>
            <w:pPr>
              <w:rPr>
                <w:rFonts w:hint="default" w:eastAsia="宋体"/>
                <w:sz w:val="21"/>
                <w:szCs w:val="21"/>
                <w:lang w:val="en-US" w:eastAsia="zh-CN"/>
              </w:rPr>
            </w:pPr>
            <w:r>
              <w:rPr>
                <w:rFonts w:hint="eastAsia"/>
                <w:sz w:val="21"/>
                <w:szCs w:val="21"/>
                <w:lang w:val="en-US" w:eastAsia="zh-CN"/>
              </w:rPr>
              <w:t>张重义、林钻煌、魏佳</w:t>
            </w:r>
          </w:p>
        </w:tc>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rPr>
                <w:color w:val="000000"/>
                <w:sz w:val="21"/>
                <w:szCs w:val="21"/>
              </w:rPr>
            </w:pPr>
            <w:r>
              <w:rPr>
                <w:rFonts w:hint="eastAsia"/>
                <w:color w:val="000000"/>
                <w:sz w:val="21"/>
                <w:szCs w:val="21"/>
              </w:rPr>
              <w:t>薪酬与考核委员会</w:t>
            </w:r>
          </w:p>
        </w:tc>
        <w:tc>
          <w:tcPr>
            <w:tcW w:w="6465" w:type="dxa"/>
            <w:tcBorders>
              <w:top w:val="nil"/>
              <w:left w:val="nil"/>
              <w:bottom w:val="single" w:color="auto" w:sz="4" w:space="0"/>
              <w:right w:val="single" w:color="auto" w:sz="4" w:space="0"/>
            </w:tcBorders>
            <w:shd w:val="clear" w:color="auto" w:fill="auto"/>
            <w:noWrap/>
            <w:vAlign w:val="center"/>
          </w:tcPr>
          <w:p>
            <w:pPr>
              <w:rPr>
                <w:rFonts w:hint="default" w:eastAsia="宋体"/>
                <w:sz w:val="21"/>
                <w:szCs w:val="21"/>
                <w:lang w:val="en-US" w:eastAsia="zh-CN"/>
              </w:rPr>
            </w:pPr>
            <w:r>
              <w:rPr>
                <w:rFonts w:hint="eastAsia"/>
                <w:sz w:val="21"/>
                <w:szCs w:val="21"/>
                <w:lang w:val="en-US" w:eastAsia="zh-CN"/>
              </w:rPr>
              <w:t>魏佳、龚慧泉、张重义</w:t>
            </w:r>
          </w:p>
        </w:tc>
      </w:tr>
      <w:tr>
        <w:tblPrEx>
          <w:tblCellMar>
            <w:top w:w="0" w:type="dxa"/>
            <w:left w:w="108" w:type="dxa"/>
            <w:bottom w:w="0" w:type="dxa"/>
            <w:right w:w="108" w:type="dxa"/>
          </w:tblCellMar>
        </w:tblPrEx>
        <w:trPr>
          <w:trHeight w:val="270" w:hRule="atLeast"/>
          <w:jc w:val="center"/>
        </w:trPr>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1"/>
                <w:szCs w:val="21"/>
              </w:rPr>
            </w:pPr>
            <w:r>
              <w:rPr>
                <w:rFonts w:hint="eastAsia"/>
                <w:color w:val="000000"/>
                <w:sz w:val="21"/>
                <w:szCs w:val="21"/>
              </w:rPr>
              <w:t>战略委员会</w:t>
            </w:r>
          </w:p>
        </w:tc>
        <w:tc>
          <w:tcPr>
            <w:tcW w:w="6465" w:type="dxa"/>
            <w:tcBorders>
              <w:top w:val="single" w:color="auto" w:sz="4" w:space="0"/>
              <w:left w:val="nil"/>
              <w:bottom w:val="single" w:color="auto" w:sz="4" w:space="0"/>
              <w:right w:val="single" w:color="auto" w:sz="4" w:space="0"/>
            </w:tcBorders>
            <w:shd w:val="clear" w:color="auto" w:fill="auto"/>
            <w:noWrap/>
            <w:vAlign w:val="center"/>
          </w:tcPr>
          <w:p>
            <w:pPr>
              <w:rPr>
                <w:rFonts w:hint="default" w:eastAsia="宋体"/>
                <w:sz w:val="21"/>
                <w:szCs w:val="21"/>
                <w:lang w:val="en-US" w:eastAsia="zh-CN"/>
              </w:rPr>
            </w:pPr>
            <w:r>
              <w:rPr>
                <w:sz w:val="21"/>
                <w:szCs w:val="21"/>
              </w:rPr>
              <w:t>林钻煌</w:t>
            </w:r>
            <w:r>
              <w:rPr>
                <w:rFonts w:hint="eastAsia"/>
                <w:sz w:val="21"/>
                <w:szCs w:val="21"/>
                <w:lang w:eastAsia="zh-CN"/>
              </w:rPr>
              <w:t>、</w:t>
            </w:r>
            <w:r>
              <w:rPr>
                <w:rFonts w:hint="eastAsia"/>
                <w:sz w:val="21"/>
                <w:szCs w:val="21"/>
                <w:lang w:val="en-US" w:eastAsia="zh-CN"/>
              </w:rPr>
              <w:t>王为民、龚慧泉、张重义</w:t>
            </w:r>
          </w:p>
        </w:tc>
      </w:tr>
    </w:tbl>
    <w:p/>
    <w:p>
      <w:pPr>
        <w:rPr>
          <w:szCs w:val="21"/>
        </w:rPr>
      </w:pPr>
    </w:p>
    <w:p>
      <w:pPr>
        <w:pStyle w:val="4"/>
        <w:numPr>
          <w:ilvl w:val="0"/>
          <w:numId w:val="27"/>
        </w:numPr>
        <w:rPr>
          <w:rFonts w:ascii="宋体" w:hAnsi="宋体" w:cs="宋体"/>
          <w:kern w:val="0"/>
          <w:szCs w:val="24"/>
        </w:rPr>
      </w:pPr>
      <w:r>
        <w:rPr>
          <w:rFonts w:hint="eastAsia" w:ascii="宋体" w:hAnsi="宋体" w:cs="宋体"/>
          <w:kern w:val="0"/>
          <w:szCs w:val="24"/>
        </w:rPr>
        <w:t>报告期内</w:t>
      </w:r>
      <w:sdt>
        <w:sdtPr>
          <w:rPr>
            <w:rFonts w:hint="eastAsia" w:ascii="宋体" w:hAnsi="宋体" w:cs="宋体"/>
            <w:kern w:val="0"/>
            <w:szCs w:val="24"/>
          </w:rPr>
          <w:alias w:val="召开会议的专门委员会类别"/>
          <w:tag w:val="_GBC_adf76ecbe3584f07b573642215a867bd"/>
          <w:id w:val="25895"/>
          <w:placeholder>
            <w:docPart w:val="GBC22222222222222222222222222222"/>
          </w:placeholder>
        </w:sdtPr>
        <w:sdtEndPr>
          <w:rPr>
            <w:rFonts w:hint="eastAsia" w:ascii="宋体" w:hAnsi="宋体" w:cs="宋体"/>
            <w:kern w:val="0"/>
            <w:szCs w:val="24"/>
          </w:rPr>
        </w:sdtEndPr>
        <w:sdtContent>
          <w:r>
            <w:rPr>
              <w:rFonts w:hint="eastAsia" w:ascii="宋体" w:hAnsi="宋体" w:cs="宋体"/>
              <w:kern w:val="0"/>
              <w:szCs w:val="24"/>
              <w:lang w:val="en-US" w:eastAsia="zh-CN"/>
            </w:rPr>
            <w:t>审计委员会</w:t>
          </w:r>
        </w:sdtContent>
      </w:sdt>
      <w:r>
        <w:rPr>
          <w:rFonts w:hint="eastAsia" w:ascii="宋体" w:hAnsi="宋体" w:cs="宋体"/>
          <w:kern w:val="0"/>
          <w:szCs w:val="24"/>
        </w:rPr>
        <w:t>委员会召开</w:t>
      </w:r>
      <w:sdt>
        <w:sdtPr>
          <w:rPr>
            <w:rFonts w:hint="eastAsia" w:ascii="宋体" w:hAnsi="宋体" w:cs="宋体"/>
            <w:kern w:val="0"/>
            <w:szCs w:val="24"/>
          </w:rPr>
          <w:alias w:val="报告期内召开专门委员会会议次数"/>
          <w:tag w:val="_GBC_7bf2cd7c3a6a4685ac9c89ee396352a0"/>
          <w:id w:val="25896"/>
          <w:placeholder>
            <w:docPart w:val="GBC22222222222222222222222222222"/>
          </w:placeholder>
        </w:sdtPr>
        <w:sdtEndPr>
          <w:rPr>
            <w:rFonts w:hint="eastAsia" w:ascii="宋体" w:hAnsi="宋体" w:cs="宋体"/>
            <w:kern w:val="0"/>
            <w:szCs w:val="24"/>
          </w:rPr>
        </w:sdtEndPr>
        <w:sdtContent>
          <w:r>
            <w:rPr>
              <w:rFonts w:hint="eastAsia" w:ascii="宋体" w:hAnsi="宋体" w:cs="宋体"/>
              <w:kern w:val="0"/>
              <w:szCs w:val="24"/>
              <w:lang w:val="en-US" w:eastAsia="zh-CN"/>
            </w:rPr>
            <w:t>4</w:t>
          </w:r>
        </w:sdtContent>
      </w:sdt>
      <w:r>
        <w:rPr>
          <w:rFonts w:hint="eastAsia" w:ascii="宋体" w:hAnsi="宋体" w:cs="宋体"/>
          <w:kern w:val="0"/>
          <w:szCs w:val="24"/>
        </w:rPr>
        <w:t>次会议</w:t>
      </w:r>
    </w:p>
    <w:tbl>
      <w:tblPr>
        <w:tblStyle w:val="3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2687"/>
        <w:gridCol w:w="3218"/>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default" w:ascii="Times New Roman" w:hAnsi="Times New Roman" w:cs="Times New Roman"/>
              <w:szCs w:val="21"/>
            </w:rPr>
            <w:tag w:val="_PLD_81aefc289fbf48b1865138608d8bd14f"/>
            <w:id w:val="25897"/>
          </w:sdtPr>
          <w:sdtEndPr>
            <w:rPr>
              <w:rFonts w:hint="default" w:ascii="Times New Roman" w:hAnsi="Times New Roman" w:cs="Times New Roman"/>
              <w:szCs w:val="21"/>
            </w:rPr>
          </w:sdtEndPr>
          <w:sdtContent>
            <w:tc>
              <w:tcPr>
                <w:tcW w:w="1096"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召开日期</w:t>
                </w:r>
              </w:p>
            </w:tc>
          </w:sdtContent>
        </w:sdt>
        <w:sdt>
          <w:sdtPr>
            <w:rPr>
              <w:rFonts w:hint="default" w:ascii="Times New Roman" w:hAnsi="Times New Roman" w:cs="Times New Roman"/>
              <w:szCs w:val="21"/>
            </w:rPr>
            <w:tag w:val="_PLD_9d24b601ec70414eb969daf6b393edc8"/>
            <w:id w:val="25898"/>
          </w:sdtPr>
          <w:sdtEndPr>
            <w:rPr>
              <w:rFonts w:hint="default" w:ascii="Times New Roman" w:hAnsi="Times New Roman" w:cs="Times New Roman"/>
              <w:szCs w:val="21"/>
            </w:rPr>
          </w:sdtEndPr>
          <w:sdtContent>
            <w:tc>
              <w:tcPr>
                <w:tcW w:w="1486"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会议内容</w:t>
                </w:r>
              </w:p>
            </w:tc>
          </w:sdtContent>
        </w:sdt>
        <w:sdt>
          <w:sdtPr>
            <w:rPr>
              <w:rFonts w:hint="default" w:ascii="Times New Roman" w:hAnsi="Times New Roman" w:cs="Times New Roman"/>
              <w:szCs w:val="21"/>
            </w:rPr>
            <w:tag w:val="_PLD_6ea19dadc3684e98a6d98faaf035a9d9"/>
            <w:id w:val="25899"/>
          </w:sdtPr>
          <w:sdtEndPr>
            <w:rPr>
              <w:rFonts w:hint="default" w:ascii="Times New Roman" w:hAnsi="Times New Roman" w:cs="Times New Roman"/>
              <w:szCs w:val="21"/>
            </w:rPr>
          </w:sdtEndPr>
          <w:sdtContent>
            <w:tc>
              <w:tcPr>
                <w:tcW w:w="1780"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重要意见和建议</w:t>
                </w:r>
              </w:p>
            </w:tc>
          </w:sdtContent>
        </w:sdt>
        <w:sdt>
          <w:sdtPr>
            <w:rPr>
              <w:rFonts w:hint="default" w:ascii="Times New Roman" w:hAnsi="Times New Roman" w:cs="Times New Roman"/>
              <w:szCs w:val="21"/>
            </w:rPr>
            <w:tag w:val="_PLD_ef03d3ffb00740008011022cb6a96805"/>
            <w:id w:val="25900"/>
          </w:sdtPr>
          <w:sdtEndPr>
            <w:rPr>
              <w:rFonts w:hint="default" w:ascii="Times New Roman" w:hAnsi="Times New Roman" w:cs="Times New Roman"/>
              <w:szCs w:val="21"/>
            </w:rPr>
          </w:sdtEndPr>
          <w:sdtContent>
            <w:tc>
              <w:tcPr>
                <w:tcW w:w="635"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其他履行职责情况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2023年1月29日</w:t>
            </w:r>
          </w:p>
        </w:tc>
        <w:tc>
          <w:tcPr>
            <w:tcW w:w="1486" w:type="pct"/>
            <w:shd w:val="clear" w:color="auto" w:fill="auto"/>
            <w:vAlign w:val="center"/>
          </w:tcPr>
          <w:p>
            <w:pPr>
              <w:widowControl w:val="0"/>
              <w:jc w:val="left"/>
              <w:rPr>
                <w:rFonts w:hint="default" w:ascii="Times New Roman" w:hAnsi="Times New Roman" w:cs="Times New Roman"/>
                <w:szCs w:val="21"/>
              </w:rPr>
            </w:pPr>
            <w:r>
              <w:rPr>
                <w:rStyle w:val="84"/>
                <w:rFonts w:hint="eastAsia" w:ascii="Times New Roman" w:hAnsi="Times New Roman" w:cs="Times New Roman"/>
                <w:lang w:val="en-US" w:eastAsia="zh-CN"/>
              </w:rPr>
              <w:t>审计委员会2023年第一次会议：</w:t>
            </w:r>
            <w:r>
              <w:rPr>
                <w:rStyle w:val="84"/>
                <w:rFonts w:hint="default" w:ascii="Times New Roman" w:hAnsi="Times New Roman" w:cs="Times New Roman"/>
              </w:rPr>
              <w:t>讨论202</w:t>
            </w:r>
            <w:r>
              <w:rPr>
                <w:rStyle w:val="84"/>
                <w:rFonts w:hint="default" w:ascii="Times New Roman" w:hAnsi="Times New Roman" w:cs="Times New Roman"/>
                <w:lang w:val="en-US" w:eastAsia="zh-CN"/>
              </w:rPr>
              <w:t>2</w:t>
            </w:r>
            <w:r>
              <w:rPr>
                <w:rStyle w:val="84"/>
                <w:rFonts w:hint="default" w:ascii="Times New Roman" w:hAnsi="Times New Roman" w:cs="Times New Roman"/>
              </w:rPr>
              <w:t>年度业绩预告的有关事项及202</w:t>
            </w:r>
            <w:r>
              <w:rPr>
                <w:rStyle w:val="84"/>
                <w:rFonts w:hint="default" w:ascii="Times New Roman" w:hAnsi="Times New Roman" w:cs="Times New Roman"/>
                <w:lang w:val="en-US" w:eastAsia="zh-CN"/>
              </w:rPr>
              <w:t>2</w:t>
            </w:r>
            <w:r>
              <w:rPr>
                <w:rStyle w:val="84"/>
                <w:rFonts w:hint="default" w:ascii="Times New Roman" w:hAnsi="Times New Roman" w:cs="Times New Roman"/>
              </w:rPr>
              <w:t>年年报审计的有关情况。</w:t>
            </w:r>
          </w:p>
        </w:tc>
        <w:tc>
          <w:tcPr>
            <w:tcW w:w="1780" w:type="pct"/>
            <w:shd w:val="clear" w:color="auto" w:fill="auto"/>
            <w:vAlign w:val="center"/>
          </w:tcPr>
          <w:p>
            <w:pPr>
              <w:widowControl w:val="0"/>
              <w:jc w:val="left"/>
              <w:rPr>
                <w:rFonts w:hint="default" w:ascii="Times New Roman" w:hAnsi="Times New Roman" w:cs="Times New Roman"/>
                <w:szCs w:val="21"/>
              </w:rPr>
            </w:pPr>
            <w:r>
              <w:rPr>
                <w:rStyle w:val="84"/>
                <w:rFonts w:hint="default" w:ascii="Times New Roman" w:hAnsi="Times New Roman" w:cs="Times New Roman"/>
              </w:rPr>
              <w:t>确认了业绩预告的披露口径。督促各方及时解决工作遇到的问题。</w:t>
            </w:r>
          </w:p>
        </w:tc>
        <w:tc>
          <w:tcPr>
            <w:tcW w:w="635" w:type="pct"/>
            <w:shd w:val="clear" w:color="auto" w:fill="auto"/>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2023年3月29日</w:t>
            </w:r>
          </w:p>
        </w:tc>
        <w:tc>
          <w:tcPr>
            <w:tcW w:w="1486" w:type="pct"/>
            <w:shd w:val="clear" w:color="auto" w:fill="auto"/>
            <w:vAlign w:val="center"/>
          </w:tcPr>
          <w:p>
            <w:pPr>
              <w:widowControl w:val="0"/>
              <w:jc w:val="left"/>
              <w:rPr>
                <w:rFonts w:hint="default" w:ascii="Times New Roman" w:hAnsi="Times New Roman" w:cs="Times New Roman"/>
                <w:szCs w:val="21"/>
              </w:rPr>
            </w:pPr>
            <w:r>
              <w:rPr>
                <w:rStyle w:val="84"/>
                <w:rFonts w:hint="eastAsia" w:ascii="Times New Roman" w:hAnsi="Times New Roman" w:cs="Times New Roman"/>
                <w:lang w:val="en-US" w:eastAsia="zh-CN"/>
              </w:rPr>
              <w:t>审计委员会2023年度第二次会议：</w:t>
            </w:r>
            <w:r>
              <w:rPr>
                <w:rStyle w:val="84"/>
                <w:rFonts w:hint="default" w:ascii="Times New Roman" w:hAnsi="Times New Roman" w:cs="Times New Roman"/>
              </w:rPr>
              <w:t>审议《202</w:t>
            </w:r>
            <w:r>
              <w:rPr>
                <w:rStyle w:val="84"/>
                <w:rFonts w:hint="default" w:ascii="Times New Roman" w:hAnsi="Times New Roman" w:cs="Times New Roman"/>
                <w:lang w:val="en-US" w:eastAsia="zh-CN"/>
              </w:rPr>
              <w:t>2</w:t>
            </w:r>
            <w:r>
              <w:rPr>
                <w:rStyle w:val="84"/>
                <w:rFonts w:hint="default" w:ascii="Times New Roman" w:hAnsi="Times New Roman" w:cs="Times New Roman"/>
              </w:rPr>
              <w:t>年年度报告（全文及摘要）》；审阅《202</w:t>
            </w:r>
            <w:r>
              <w:rPr>
                <w:rStyle w:val="84"/>
                <w:rFonts w:hint="default" w:ascii="Times New Roman" w:hAnsi="Times New Roman" w:cs="Times New Roman"/>
                <w:lang w:val="en-US" w:eastAsia="zh-CN"/>
              </w:rPr>
              <w:t>2</w:t>
            </w:r>
            <w:r>
              <w:rPr>
                <w:rStyle w:val="84"/>
                <w:rFonts w:hint="default" w:ascii="Times New Roman" w:hAnsi="Times New Roman" w:cs="Times New Roman"/>
              </w:rPr>
              <w:t>年度审计报告》中“关键审计事项”；审阅《202</w:t>
            </w:r>
            <w:r>
              <w:rPr>
                <w:rStyle w:val="84"/>
                <w:rFonts w:hint="default" w:ascii="Times New Roman" w:hAnsi="Times New Roman" w:cs="Times New Roman"/>
                <w:lang w:val="en-US" w:eastAsia="zh-CN"/>
              </w:rPr>
              <w:t>2</w:t>
            </w:r>
            <w:r>
              <w:rPr>
                <w:rStyle w:val="84"/>
                <w:rFonts w:hint="default" w:ascii="Times New Roman" w:hAnsi="Times New Roman" w:cs="Times New Roman"/>
              </w:rPr>
              <w:t>年度内控评价报告》。</w:t>
            </w:r>
          </w:p>
        </w:tc>
        <w:tc>
          <w:tcPr>
            <w:tcW w:w="1780" w:type="pct"/>
            <w:shd w:val="clear" w:color="auto" w:fill="auto"/>
            <w:vAlign w:val="center"/>
          </w:tcPr>
          <w:p>
            <w:pPr>
              <w:widowControl w:val="0"/>
              <w:jc w:val="left"/>
              <w:rPr>
                <w:rFonts w:hint="default" w:ascii="Times New Roman" w:hAnsi="Times New Roman" w:cs="Times New Roman"/>
                <w:szCs w:val="21"/>
              </w:rPr>
            </w:pPr>
            <w:r>
              <w:rPr>
                <w:rStyle w:val="84"/>
                <w:rFonts w:hint="default" w:ascii="Times New Roman" w:hAnsi="Times New Roman" w:cs="Times New Roman"/>
              </w:rPr>
              <w:t>认为公司已严格按企业会计准则和有关财务制度编制报表，能真实反映公司经营情况，同意将《202</w:t>
            </w:r>
            <w:r>
              <w:rPr>
                <w:rStyle w:val="84"/>
                <w:rFonts w:hint="default" w:ascii="Times New Roman" w:hAnsi="Times New Roman" w:cs="Times New Roman"/>
                <w:lang w:val="en-US" w:eastAsia="zh-CN"/>
              </w:rPr>
              <w:t>2</w:t>
            </w:r>
            <w:r>
              <w:rPr>
                <w:rStyle w:val="84"/>
                <w:rFonts w:hint="default" w:ascii="Times New Roman" w:hAnsi="Times New Roman" w:cs="Times New Roman"/>
              </w:rPr>
              <w:t>年年度报告（全文及摘要）》提交董事会审议。</w:t>
            </w:r>
          </w:p>
        </w:tc>
        <w:tc>
          <w:tcPr>
            <w:tcW w:w="635" w:type="pct"/>
            <w:shd w:val="clear" w:color="auto" w:fill="auto"/>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2023年10月26日</w:t>
            </w:r>
          </w:p>
        </w:tc>
        <w:tc>
          <w:tcPr>
            <w:tcW w:w="1486" w:type="pct"/>
            <w:shd w:val="clear" w:color="auto" w:fill="auto"/>
            <w:vAlign w:val="center"/>
          </w:tcPr>
          <w:p>
            <w:pPr>
              <w:widowControl w:val="0"/>
              <w:jc w:val="left"/>
              <w:rPr>
                <w:rFonts w:hint="default" w:ascii="Times New Roman" w:hAnsi="Times New Roman" w:cs="Times New Roman"/>
                <w:szCs w:val="21"/>
              </w:rPr>
            </w:pPr>
            <w:r>
              <w:rPr>
                <w:rStyle w:val="84"/>
                <w:rFonts w:hint="eastAsia" w:ascii="Times New Roman" w:hAnsi="Times New Roman" w:cs="Times New Roman"/>
                <w:lang w:val="en-US" w:eastAsia="zh-CN"/>
              </w:rPr>
              <w:t>审计委员会2023年第三次会议：</w:t>
            </w:r>
            <w:r>
              <w:rPr>
                <w:rStyle w:val="84"/>
                <w:rFonts w:hint="default" w:ascii="Times New Roman" w:hAnsi="Times New Roman" w:cs="Times New Roman"/>
              </w:rPr>
              <w:t>审议《关于</w:t>
            </w:r>
            <w:r>
              <w:rPr>
                <w:rStyle w:val="84"/>
                <w:rFonts w:hint="eastAsia" w:ascii="Times New Roman" w:hAnsi="Times New Roman" w:cs="Times New Roman"/>
                <w:lang w:val="en-US" w:eastAsia="zh-CN"/>
              </w:rPr>
              <w:t>聘请中喜</w:t>
            </w:r>
            <w:r>
              <w:rPr>
                <w:rStyle w:val="84"/>
                <w:rFonts w:hint="default" w:ascii="Times New Roman" w:hAnsi="Times New Roman" w:cs="Times New Roman"/>
              </w:rPr>
              <w:t>会计师事务所（特殊普通合伙）为公司202</w:t>
            </w:r>
            <w:r>
              <w:rPr>
                <w:rStyle w:val="84"/>
                <w:rFonts w:hint="default" w:ascii="Times New Roman" w:hAnsi="Times New Roman" w:cs="Times New Roman"/>
                <w:lang w:val="en-US" w:eastAsia="zh-CN"/>
              </w:rPr>
              <w:t>3</w:t>
            </w:r>
            <w:r>
              <w:rPr>
                <w:rStyle w:val="84"/>
                <w:rFonts w:hint="default" w:ascii="Times New Roman" w:hAnsi="Times New Roman" w:cs="Times New Roman"/>
              </w:rPr>
              <w:t>年度财务报表及内部控制审计机构的议案》。</w:t>
            </w:r>
          </w:p>
        </w:tc>
        <w:tc>
          <w:tcPr>
            <w:tcW w:w="1780" w:type="pct"/>
            <w:shd w:val="clear" w:color="auto" w:fill="auto"/>
            <w:vAlign w:val="center"/>
          </w:tcPr>
          <w:p>
            <w:pPr>
              <w:widowControl w:val="0"/>
              <w:jc w:val="left"/>
              <w:rPr>
                <w:rFonts w:hint="default" w:ascii="Times New Roman" w:hAnsi="Times New Roman" w:cs="Times New Roman"/>
                <w:szCs w:val="21"/>
              </w:rPr>
            </w:pPr>
            <w:r>
              <w:rPr>
                <w:rStyle w:val="84"/>
                <w:rFonts w:hint="default" w:ascii="Times New Roman" w:hAnsi="Times New Roman" w:cs="Times New Roman"/>
                <w:lang w:val="en-US" w:eastAsia="zh-CN"/>
              </w:rPr>
              <w:t>认为中喜</w:t>
            </w:r>
            <w:r>
              <w:rPr>
                <w:rStyle w:val="84"/>
                <w:rFonts w:hint="default" w:ascii="Times New Roman" w:hAnsi="Times New Roman" w:cs="Times New Roman"/>
              </w:rPr>
              <w:t>会计师事务所具备为上市公司提供审计服务的经验和能力，同意</w:t>
            </w:r>
            <w:r>
              <w:rPr>
                <w:rStyle w:val="84"/>
                <w:rFonts w:hint="default" w:ascii="Times New Roman" w:hAnsi="Times New Roman" w:cs="Times New Roman"/>
                <w:lang w:val="en-US" w:eastAsia="zh-CN"/>
              </w:rPr>
              <w:t>聘请中喜</w:t>
            </w:r>
            <w:r>
              <w:rPr>
                <w:rStyle w:val="84"/>
                <w:rFonts w:hint="default" w:ascii="Times New Roman" w:hAnsi="Times New Roman" w:cs="Times New Roman"/>
              </w:rPr>
              <w:t>会计师事务所为公司202</w:t>
            </w:r>
            <w:r>
              <w:rPr>
                <w:rStyle w:val="84"/>
                <w:rFonts w:hint="default" w:ascii="Times New Roman" w:hAnsi="Times New Roman" w:cs="Times New Roman"/>
                <w:lang w:val="en-US" w:eastAsia="zh-CN"/>
              </w:rPr>
              <w:t>3</w:t>
            </w:r>
            <w:r>
              <w:rPr>
                <w:rStyle w:val="84"/>
                <w:rFonts w:hint="default" w:ascii="Times New Roman" w:hAnsi="Times New Roman" w:cs="Times New Roman"/>
              </w:rPr>
              <w:t>年度财务报表及内部控制审计机构并提交公司董事会审议。</w:t>
            </w:r>
          </w:p>
        </w:tc>
        <w:tc>
          <w:tcPr>
            <w:tcW w:w="635" w:type="pct"/>
            <w:shd w:val="clear" w:color="auto" w:fill="auto"/>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shd w:val="clear" w:color="auto" w:fill="auto"/>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2023年12月28日</w:t>
            </w:r>
          </w:p>
        </w:tc>
        <w:tc>
          <w:tcPr>
            <w:tcW w:w="1486" w:type="pct"/>
            <w:shd w:val="clear" w:color="auto" w:fill="auto"/>
            <w:vAlign w:val="center"/>
          </w:tcPr>
          <w:p>
            <w:pPr>
              <w:widowControl w:val="0"/>
              <w:jc w:val="left"/>
              <w:rPr>
                <w:rFonts w:hint="eastAsia" w:ascii="Times New Roman" w:hAnsi="Times New Roman" w:eastAsia="宋体" w:cs="Times New Roman"/>
                <w:szCs w:val="21"/>
                <w:lang w:eastAsia="zh-CN"/>
              </w:rPr>
            </w:pPr>
            <w:r>
              <w:rPr>
                <w:rStyle w:val="84"/>
                <w:rFonts w:hint="eastAsia" w:ascii="Times New Roman" w:hAnsi="Times New Roman" w:cs="Times New Roman"/>
                <w:lang w:val="en-US" w:eastAsia="zh-CN"/>
              </w:rPr>
              <w:t>审计委员会2023年第四次会议：</w:t>
            </w:r>
            <w:r>
              <w:rPr>
                <w:rStyle w:val="84"/>
                <w:rFonts w:hint="default" w:ascii="Times New Roman" w:hAnsi="Times New Roman" w:cs="Times New Roman"/>
              </w:rPr>
              <w:t>202</w:t>
            </w:r>
            <w:r>
              <w:rPr>
                <w:rStyle w:val="84"/>
                <w:rFonts w:hint="default" w:ascii="Times New Roman" w:hAnsi="Times New Roman" w:cs="Times New Roman"/>
                <w:lang w:val="en-US" w:eastAsia="zh-CN"/>
              </w:rPr>
              <w:t>3</w:t>
            </w:r>
            <w:r>
              <w:rPr>
                <w:rStyle w:val="84"/>
                <w:rFonts w:hint="default" w:ascii="Times New Roman" w:hAnsi="Times New Roman" w:cs="Times New Roman"/>
              </w:rPr>
              <w:t>年业绩预告相关事项讨论及年报和审计工作安排与沟通</w:t>
            </w:r>
            <w:r>
              <w:rPr>
                <w:rStyle w:val="84"/>
                <w:rFonts w:hint="eastAsia" w:ascii="Times New Roman" w:hAnsi="Times New Roman" w:cs="Times New Roman"/>
                <w:lang w:eastAsia="zh-CN"/>
              </w:rPr>
              <w:t>。</w:t>
            </w:r>
          </w:p>
        </w:tc>
        <w:tc>
          <w:tcPr>
            <w:tcW w:w="1780" w:type="pct"/>
            <w:shd w:val="clear" w:color="auto" w:fill="auto"/>
            <w:vAlign w:val="center"/>
          </w:tcPr>
          <w:p>
            <w:pPr>
              <w:widowControl w:val="0"/>
              <w:jc w:val="center"/>
              <w:rPr>
                <w:rFonts w:hint="default" w:ascii="Times New Roman" w:hAnsi="Times New Roman" w:cs="Times New Roman"/>
                <w:szCs w:val="21"/>
              </w:rPr>
            </w:pPr>
            <w:r>
              <w:rPr>
                <w:rStyle w:val="84"/>
                <w:rFonts w:hint="default" w:ascii="Times New Roman" w:hAnsi="Times New Roman" w:cs="Times New Roman"/>
              </w:rPr>
              <w:t>_</w:t>
            </w:r>
          </w:p>
        </w:tc>
        <w:tc>
          <w:tcPr>
            <w:tcW w:w="635" w:type="pct"/>
            <w:shd w:val="clear" w:color="auto" w:fill="auto"/>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bl>
    <w:p/>
    <w:p/>
    <w:p>
      <w:pPr>
        <w:pStyle w:val="4"/>
        <w:numPr>
          <w:ilvl w:val="0"/>
          <w:numId w:val="27"/>
        </w:numPr>
        <w:rPr>
          <w:rFonts w:ascii="宋体" w:hAnsi="宋体" w:cs="宋体"/>
          <w:kern w:val="0"/>
          <w:szCs w:val="24"/>
        </w:rPr>
      </w:pPr>
      <w:r>
        <w:rPr>
          <w:rFonts w:hint="eastAsia" w:ascii="宋体" w:hAnsi="宋体" w:cs="宋体"/>
          <w:kern w:val="0"/>
          <w:szCs w:val="24"/>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25901"/>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21"/>
        </w:numPr>
      </w:pPr>
      <w:r>
        <w:t>监事会发现公司存在风险的说明</w:t>
      </w:r>
    </w:p>
    <w:sdt>
      <w:sdtPr>
        <w:alias w:val="是否适用：监事会发现公司存在风险的说明[双击切换]"/>
        <w:tag w:val="_GBC_987bc6e795084351a58e9d0bca47f246"/>
        <w:id w:val="25902"/>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r>
        <w:rPr>
          <w:rFonts w:hint="eastAsia"/>
        </w:rPr>
        <w:t>监事会对报告期内的监督事项</w:t>
      </w:r>
      <w:sdt>
        <w:sdtPr>
          <w:rPr>
            <w:rFonts w:hint="eastAsia"/>
          </w:rPr>
          <w:tag w:val="_PLD_66086d7fdf9245bb81102da5ce6dd63d"/>
          <w:id w:val="25903"/>
          <w:placeholder>
            <w:docPart w:val="{fd34b5bd-6b6b-43a6-a0c9-5b644e33f0d0}"/>
          </w:placeholder>
        </w:sdtPr>
        <w:sdtEndPr>
          <w:rPr>
            <w:rFonts w:hint="eastAsia"/>
          </w:rPr>
        </w:sdtEndPr>
        <w:sdtContent>
          <w:r>
            <w:rPr>
              <w:rFonts w:hint="eastAsia"/>
            </w:rPr>
            <w:t>无异议</w:t>
          </w:r>
        </w:sdtContent>
      </w:sdt>
      <w:r>
        <w:rPr>
          <w:rFonts w:hint="eastAsia"/>
        </w:rPr>
        <w:t>。</w:t>
      </w:r>
    </w:p>
    <w:p/>
    <w:p>
      <w:pPr>
        <w:pStyle w:val="3"/>
        <w:numPr>
          <w:ilvl w:val="0"/>
          <w:numId w:val="21"/>
        </w:numPr>
        <w:rPr>
          <w:rFonts w:ascii="宋体" w:hAnsi="宋体" w:cs="宋体"/>
          <w:kern w:val="0"/>
          <w:szCs w:val="24"/>
        </w:rPr>
      </w:pPr>
      <w:r>
        <w:rPr>
          <w:rFonts w:hint="eastAsia" w:ascii="宋体" w:hAnsi="宋体" w:cs="宋体"/>
          <w:kern w:val="0"/>
          <w:szCs w:val="24"/>
        </w:rPr>
        <w:t>报告期末</w:t>
      </w:r>
      <w:r>
        <w:rPr>
          <w:rFonts w:ascii="宋体" w:hAnsi="宋体" w:cs="宋体"/>
          <w:kern w:val="0"/>
          <w:szCs w:val="24"/>
        </w:rPr>
        <w:t>母公司和主要子公司的员工情况</w:t>
      </w:r>
    </w:p>
    <w:p>
      <w:pPr>
        <w:pStyle w:val="4"/>
        <w:numPr>
          <w:ilvl w:val="0"/>
          <w:numId w:val="28"/>
        </w:numPr>
        <w:rPr>
          <w:szCs w:val="21"/>
        </w:rPr>
      </w:pPr>
      <w:bookmarkStart w:id="75" w:name="_Hlk89184114"/>
      <w:r>
        <w:rPr>
          <w:szCs w:val="21"/>
        </w:rPr>
        <w:t>员工情况</w:t>
      </w:r>
    </w:p>
    <w:tbl>
      <w:tblPr>
        <w:tblStyle w:val="38"/>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3"/>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jc w:val="right"/>
        </w:trPr>
        <w:sdt>
          <w:sdtPr>
            <w:rPr>
              <w:rFonts w:hint="default" w:ascii="Times New Roman" w:hAnsi="Times New Roman" w:cs="Times New Roman"/>
            </w:rPr>
            <w:tag w:val="_PLD_cff5d8823807446facbb16ac3f50949e"/>
            <w:id w:val="25904"/>
          </w:sdtPr>
          <w:sdtEndPr>
            <w:rPr>
              <w:rFonts w:hint="default" w:ascii="Times New Roman" w:hAnsi="Times New Roman" w:cs="Times New Roman"/>
            </w:rPr>
          </w:sdtEndPr>
          <w:sdtContent>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母公司在职员工的数量</w:t>
                </w:r>
              </w:p>
            </w:tc>
          </w:sdtContent>
        </w:sdt>
        <w:sdt>
          <w:sdtPr>
            <w:rPr>
              <w:rFonts w:hint="default" w:ascii="Times New Roman" w:hAnsi="Times New Roman" w:cs="Times New Roman"/>
              <w:szCs w:val="21"/>
            </w:rPr>
            <w:alias w:val="母公司在职员工的数量"/>
            <w:tag w:val="_GBC_abd1eca65c1c4a43937ae4fdd8599b5b"/>
            <w:id w:val="25905"/>
          </w:sdtPr>
          <w:sdtEndPr>
            <w:rPr>
              <w:rFonts w:hint="default" w:ascii="Times New Roman" w:hAnsi="Times New Roman" w:cs="Times New Roman"/>
              <w:szCs w:val="21"/>
            </w:rPr>
          </w:sdtEndPr>
          <w:sdtContent>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441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主要子公司在职员工的数量</w:t>
            </w:r>
          </w:p>
        </w:tc>
        <w:tc>
          <w:tcPr>
            <w:tcW w:w="2500"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在职员工的数量合计</w:t>
            </w:r>
          </w:p>
        </w:tc>
        <w:tc>
          <w:tcPr>
            <w:tcW w:w="2500"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母公司及主要子公司需承担费用的离退休职工人数</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right"/>
        </w:trPr>
        <w:sdt>
          <w:sdtPr>
            <w:rPr>
              <w:rFonts w:hint="default" w:ascii="Times New Roman" w:hAnsi="Times New Roman" w:cs="Times New Roman"/>
            </w:rPr>
            <w:tag w:val="_PLD_f37d0297c6bb44dea272632ad4d910e4"/>
            <w:id w:val="25906"/>
          </w:sdtPr>
          <w:sdtEndPr>
            <w:rPr>
              <w:rFonts w:hint="default" w:ascii="Times New Roman" w:hAnsi="Times New Roman" w:cs="Times New Roman"/>
            </w:rPr>
          </w:sdtEndPr>
          <w:sdtContent>
            <w:tc>
              <w:tcPr>
                <w:tcW w:w="5000"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专业构成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right"/>
        </w:trPr>
        <w:sdt>
          <w:sdtPr>
            <w:rPr>
              <w:rFonts w:hint="default" w:ascii="Times New Roman" w:hAnsi="Times New Roman" w:cs="Times New Roman"/>
            </w:rPr>
            <w:tag w:val="_PLD_90bef974c0c14508b11a7e84e6f364c5"/>
            <w:id w:val="25907"/>
          </w:sdtPr>
          <w:sdtEndPr>
            <w:rPr>
              <w:rFonts w:hint="default" w:ascii="Times New Roman" w:hAnsi="Times New Roman" w:cs="Times New Roman"/>
            </w:rPr>
          </w:sdtEndPr>
          <w:sdtContent>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专业构成类别</w:t>
                </w:r>
              </w:p>
            </w:tc>
          </w:sdtContent>
        </w:sdt>
        <w:sdt>
          <w:sdtPr>
            <w:rPr>
              <w:rFonts w:hint="default" w:ascii="Times New Roman" w:hAnsi="Times New Roman" w:cs="Times New Roman"/>
            </w:rPr>
            <w:tag w:val="_PLD_a5f175a6b2a94ee7a70936fbe5cbc8da"/>
            <w:id w:val="25908"/>
          </w:sdtPr>
          <w:sdtEndPr>
            <w:rPr>
              <w:rFonts w:hint="default" w:ascii="Times New Roman" w:hAnsi="Times New Roman" w:cs="Times New Roman"/>
            </w:rPr>
          </w:sdtEndPr>
          <w:sdtContent>
            <w:tc>
              <w:tcPr>
                <w:tcW w:w="2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专业构成人数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生产人员</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销售人员</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技术人员</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财务人员</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行政人员</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right"/>
        </w:trPr>
        <w:tc>
          <w:tcPr>
            <w:tcW w:w="2499" w:type="pct"/>
            <w:vAlign w:val="center"/>
          </w:tcPr>
          <w:p>
            <w:pPr>
              <w:widowControl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其他人员</w:t>
            </w:r>
          </w:p>
        </w:tc>
        <w:tc>
          <w:tcPr>
            <w:tcW w:w="2500" w:type="pct"/>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2500" w:type="pct"/>
            <w:vAlign w:val="center"/>
          </w:tcPr>
          <w:p>
            <w:pPr>
              <w:widowControl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right"/>
        </w:trPr>
        <w:sdt>
          <w:sdtPr>
            <w:rPr>
              <w:rFonts w:hint="default" w:ascii="Times New Roman" w:hAnsi="Times New Roman" w:cs="Times New Roman"/>
            </w:rPr>
            <w:tag w:val="_PLD_ea58f2d9c900463a8694fdc78940295e"/>
            <w:id w:val="25909"/>
          </w:sdtPr>
          <w:sdtEndPr>
            <w:rPr>
              <w:rFonts w:hint="default" w:ascii="Times New Roman" w:hAnsi="Times New Roman" w:cs="Times New Roman"/>
            </w:rPr>
          </w:sdtEndPr>
          <w:sdtContent>
            <w:tc>
              <w:tcPr>
                <w:tcW w:w="5000" w:type="pct"/>
                <w:gridSpan w:val="2"/>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教育程度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right"/>
        </w:trPr>
        <w:sdt>
          <w:sdtPr>
            <w:rPr>
              <w:rFonts w:hint="default" w:ascii="Times New Roman" w:hAnsi="Times New Roman" w:cs="Times New Roman"/>
            </w:rPr>
            <w:tag w:val="_PLD_92fefeded22c454881177d08c5c97d97"/>
            <w:id w:val="25910"/>
          </w:sdtPr>
          <w:sdtEndPr>
            <w:rPr>
              <w:rFonts w:hint="default" w:ascii="Times New Roman" w:hAnsi="Times New Roman" w:cs="Times New Roman"/>
            </w:rPr>
          </w:sdtEndPr>
          <w:sdtContent>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教育程度类别</w:t>
                </w:r>
              </w:p>
            </w:tc>
          </w:sdtContent>
        </w:sdt>
        <w:sdt>
          <w:sdtPr>
            <w:rPr>
              <w:rFonts w:hint="default" w:ascii="Times New Roman" w:hAnsi="Times New Roman" w:cs="Times New Roman"/>
            </w:rPr>
            <w:tag w:val="_PLD_2a8ff2c52daa4348bedf7a0e6951a5c6"/>
            <w:id w:val="25911"/>
          </w:sdtPr>
          <w:sdtEndPr>
            <w:rPr>
              <w:rFonts w:hint="default" w:ascii="Times New Roman" w:hAnsi="Times New Roman" w:cs="Times New Roman"/>
            </w:rPr>
          </w:sdtEndPr>
          <w:sdtContent>
            <w:tc>
              <w:tcPr>
                <w:tcW w:w="2500"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数量（人）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研究生以上学历</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大学本科</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专科</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高中、中专或技校</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right"/>
        </w:trPr>
        <w:tc>
          <w:tcPr>
            <w:tcW w:w="2499" w:type="pct"/>
            <w:vAlign w:val="center"/>
          </w:tcPr>
          <w:p>
            <w:pPr>
              <w:widowControl w:val="0"/>
              <w:jc w:val="center"/>
              <w:rPr>
                <w:rFonts w:hint="default" w:ascii="Times New Roman" w:hAnsi="Times New Roman" w:cs="Times New Roman"/>
                <w:szCs w:val="21"/>
              </w:rPr>
            </w:pPr>
            <w:r>
              <w:rPr>
                <w:rFonts w:hint="default" w:ascii="Times New Roman" w:hAnsi="Times New Roman" w:cs="Times New Roman"/>
              </w:rPr>
              <w:t>初中以下</w:t>
            </w:r>
          </w:p>
        </w:tc>
        <w:tc>
          <w:tcPr>
            <w:tcW w:w="2500"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right"/>
        </w:trPr>
        <w:tc>
          <w:tcPr>
            <w:tcW w:w="2499" w:type="pct"/>
            <w:tcBorders>
              <w:bottom w:val="single" w:color="auto" w:sz="4" w:space="0"/>
            </w:tcBorders>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2500" w:type="pct"/>
            <w:tcBorders>
              <w:bottom w:val="single" w:color="auto" w:sz="4" w:space="0"/>
            </w:tcBorders>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lang w:eastAsia="zh-CN"/>
              </w:rPr>
              <w:t>1,544</w:t>
            </w:r>
          </w:p>
        </w:tc>
      </w:tr>
    </w:tbl>
    <w:p/>
    <w:bookmarkEnd w:id="75"/>
    <w:p>
      <w:pPr>
        <w:pStyle w:val="4"/>
        <w:numPr>
          <w:ilvl w:val="0"/>
          <w:numId w:val="28"/>
        </w:numPr>
        <w:rPr>
          <w:szCs w:val="21"/>
        </w:rPr>
      </w:pPr>
      <w:r>
        <w:t>薪</w:t>
      </w:r>
      <w:r>
        <w:rPr>
          <w:szCs w:val="21"/>
        </w:rPr>
        <w:t>酬政策</w:t>
      </w:r>
    </w:p>
    <w:sdt>
      <w:sdtPr>
        <w:rPr>
          <w:rFonts w:hint="eastAsia"/>
          <w:szCs w:val="21"/>
        </w:rPr>
        <w:alias w:val="是否适用：薪酬政策[双击切换]"/>
        <w:tag w:val="_GBC_13404877597d44c38f554884f31b3123"/>
        <w:id w:val="2591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25913"/>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公司围绕“适应市场环境，体现人才价值，发挥激励作用”的原则，规范薪酬管理工作，通过“薪酬体系优化项目”，建立以职位价值评估为基础，宽带薪酬制为主，多种薪酬模式并存的薪酬管理体系，并建立员工绩效考核管理体系，进一步完善公司的激励体系。一是强调“价值导向”，即创造的价值（业绩）越大薪酬越高。二是“宽带薪酬制”更多的是关注员工技能和能力的提高，有利于岗位轮换与员工职业生涯发展，有利于调动员工的积极性、创造，也有利于公司干部人才队伍建设。</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p>
    <w:p>
      <w:pPr>
        <w:pStyle w:val="4"/>
        <w:numPr>
          <w:ilvl w:val="0"/>
          <w:numId w:val="28"/>
        </w:numPr>
        <w:rPr>
          <w:szCs w:val="21"/>
        </w:rPr>
      </w:pPr>
      <w:r>
        <w:rPr>
          <w:szCs w:val="21"/>
        </w:rPr>
        <w:t>培训计划</w:t>
      </w:r>
    </w:p>
    <w:sdt>
      <w:sdtPr>
        <w:rPr>
          <w:rFonts w:hint="eastAsia"/>
          <w:szCs w:val="21"/>
        </w:rPr>
        <w:alias w:val="是否适用：培训计划[双击切换]"/>
        <w:tag w:val="_GBC_123cfa2c006d4970ae10b316c2c1f95a"/>
        <w:id w:val="25914"/>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eastAsia="宋体" w:cs="宋体"/>
          <w:szCs w:val="21"/>
        </w:rPr>
        <w:alias w:val="员工培训计划"/>
        <w:tag w:val="_GBC_266f6e1d93824387ae96645a471738b7"/>
        <w:id w:val="25915"/>
        <w:placeholder>
          <w:docPart w:val="GBC22222222222222222222222222222"/>
        </w:placeholder>
      </w:sdtPr>
      <w:sdtEndPr>
        <w:rPr>
          <w:rFonts w:hint="eastAsia" w:ascii="宋体" w:hAnsi="宋体" w:eastAsia="宋体" w:cs="宋体"/>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公司每年初收集各单位各部门培训需求意向并制定年度培训计划，按比例投入培训费用、开发或引进相应培训课程，通过加强培训提高员工综合素质，促进员工工作效率和效益的提升。公司培训采取分级管理模式，培训课程分必须课和选修课，课程设计采取“纵向”和“横向”相结合的方式进行——针对不同层级员工设计不同的课程体系，根据同一层级和员工职业发展规划设计不同的课程体系，采取线上线下相结合的方式推进培训落实并务求取得实效。</w:t>
          </w:r>
        </w:p>
      </w:sdtContent>
    </w:sdt>
    <w:p>
      <w:pPr>
        <w:rPr>
          <w:szCs w:val="21"/>
        </w:rPr>
      </w:pPr>
    </w:p>
    <w:p>
      <w:pPr>
        <w:pStyle w:val="4"/>
        <w:numPr>
          <w:ilvl w:val="0"/>
          <w:numId w:val="28"/>
        </w:numPr>
        <w:rPr>
          <w:szCs w:val="21"/>
        </w:rPr>
      </w:pPr>
      <w:r>
        <w:rPr>
          <w:szCs w:val="21"/>
        </w:rPr>
        <w:t>劳务外包情况</w:t>
      </w:r>
    </w:p>
    <w:sdt>
      <w:sdtPr>
        <w:alias w:val="是否适用：劳务外包情况[双击切换]"/>
        <w:tag w:val="_GBC_0682caf48f0d4ff9b0e5259fc3a31660"/>
        <w:id w:val="2591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bcaa703df95b42078e2761f6dbe85d0f"/>
            <w:id w:val="25917"/>
          </w:sdtPr>
          <w:sdtContent>
            <w:tc>
              <w:tcPr>
                <w:tcW w:w="2500" w:type="pct"/>
              </w:tcPr>
              <w:p>
                <w:pPr>
                  <w:widowControl w:val="0"/>
                  <w:jc w:val="both"/>
                  <w:rPr>
                    <w:szCs w:val="21"/>
                  </w:rPr>
                </w:pPr>
                <w:r>
                  <w:rPr>
                    <w:szCs w:val="21"/>
                  </w:rPr>
                  <w:t>劳务外包的工时总数</w:t>
                </w:r>
              </w:p>
            </w:tc>
          </w:sdtContent>
        </w:sdt>
        <w:sdt>
          <w:sdtPr>
            <w:rPr>
              <w:rFonts w:hint="default" w:ascii="Times New Roman" w:hAnsi="Times New Roman" w:cs="Times New Roman"/>
              <w:sz w:val="21"/>
              <w:szCs w:val="21"/>
            </w:rPr>
            <w:alias w:val="劳务外包的工时总数"/>
            <w:tag w:val="_GBC_cb4cbb4ce5064090843735a01bf46add"/>
            <w:id w:val="25918"/>
          </w:sdtPr>
          <w:sdtEndPr>
            <w:rPr>
              <w:rFonts w:hint="default" w:ascii="Times New Roman" w:hAnsi="Times New Roman" w:cs="Times New Roman"/>
              <w:sz w:val="21"/>
              <w:szCs w:val="21"/>
            </w:rPr>
          </w:sdtEndPr>
          <w:sdtContent>
            <w:tc>
              <w:tcPr>
                <w:tcW w:w="2500"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509</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768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500" w:type="pct"/>
          </w:tcPr>
          <w:p>
            <w:pPr>
              <w:widowControl w:val="0"/>
              <w:jc w:val="both"/>
              <w:rPr>
                <w:szCs w:val="21"/>
              </w:rPr>
            </w:pPr>
            <w:r>
              <w:rPr>
                <w:szCs w:val="21"/>
              </w:rPr>
              <w:t>劳务外包支付的报酬总额</w:t>
            </w:r>
          </w:p>
        </w:tc>
        <w:tc>
          <w:tcPr>
            <w:tcW w:w="2500"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14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574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384.44</w:t>
            </w:r>
          </w:p>
        </w:tc>
      </w:tr>
    </w:tbl>
    <w:p/>
    <w:p>
      <w:pPr>
        <w:rPr>
          <w:szCs w:val="21"/>
        </w:rPr>
      </w:pPr>
    </w:p>
    <w:p>
      <w:pPr>
        <w:pStyle w:val="3"/>
        <w:numPr>
          <w:ilvl w:val="0"/>
          <w:numId w:val="21"/>
        </w:numPr>
        <w:ind w:left="450" w:hanging="450"/>
      </w:pPr>
      <w:r>
        <w:t>利润分配或资本公积金转增预案</w:t>
      </w:r>
    </w:p>
    <w:p>
      <w:pPr>
        <w:pStyle w:val="4"/>
        <w:numPr>
          <w:ilvl w:val="0"/>
          <w:numId w:val="2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5919"/>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25920"/>
        <w:placeholder>
          <w:docPart w:val="GBC22222222222222222222222222222"/>
        </w:placeholder>
      </w:sdtPr>
      <w:sdtEndPr>
        <w:rPr>
          <w:rFonts w:hint="default" w:ascii="Times New Roman" w:hAnsi="Times New Roman" w:cs="Times New Roma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报告期内，公司的现金分红政策未进行调整。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1.公司利润分配的决策程序和机制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1）公司每年的利润分配预案由董事会结合公司盈利情况、资金需求情况制订。在制定现金分红具体方案时，董事会应当认真研究和论证公司现金分红的时机、条件和最低比例、调整的条件及其决策程序要求等事宜，充分听取独立董事的意见。独立董事可以征集中小股东的意见，提出分红提案，并直接提交董事会审议。</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公司当年盈利但董事会未制定现金利润分配预案的，公司应当在年度报告中详细披露并说明未进行现金分红的原因及未用于现金分红的资金留存公司的用途。</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2）董事会审议通过的利润分配方案提交公司股东大会审议。股东大会对现金分红具体方案进行审议时，可通过多种渠道与股东特别是中小股东进行沟通和交流，充分听取中小股东的意见和诉求，并及时答复中小股东关心的问题。</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（3）公司股东大会对利润分配方案作出决议后，公司董事会须在股东大会召开后2个月内完成股利（或股份）的派发事项。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4）公司根据有关法律法规和规范性文件的规定或根据生产经营情况、投资规划及长期发展的需要或者因外部经营环境或自身经营状况发生较大变化，需要调整利润分配政策的，应以股东权益保护为出发点，由董事会拟定利润分配调整政策，并在股东大会提案中详细论证和说明原因。调整后的利润分配政策不得违反中国证监会和上海证券交易所的规定；利润分配政策调整的议案经监事会、董事会审议后再提交股东大会审议批准；对现金分红政策进行调整或者变更的，须以股东大会特别决议审议批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2.公司利润分配具体政策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（1）公司的利润分配应符合相关法律法规的规定，应遵循重视投资者的合理投资回报和有利于公司可持续发展的原则，同时保持利润分配政策的连续性和稳定性。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（2）公司可以采取现金、股票、现金与股票相结合或法律许可的其他方式分配股利，并优先考虑采用现金分红的利润分配方式。公司可根据盈利状况及资金需求状况进行中期现金分红。</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（3）公司现金分红应满足的条件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①股利分配不得超过累计可分配利润的范围；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②审计机构出具标准无保留意见的审计报告；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③公司未发生亏损，且经审计当年实现的每股可供分配利润不低于 0.05 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④现金分红分配方案的实施不损害公司持续经营能力；</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⑤公司无重大投资计划或重大现金支出等事项发生（募集资金项目除外）。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（4）公司现金分红的比例：在符合《公司法》和公司章程规定的现金分红条件的情况下，公司每年以现金方式分配的利润不少于公司当年实现的可分配利润的 10%。且最近三个会计年度内，公司以现金形式分配的利润不少于最近三年实现的年均可分配利润的 30%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（5）公司董事会应当综合考虑所处行业特点、发展阶段、自身经营模式、盈利水平以及是否有重大资金支出安排等因素，区分下列情形，并按照本章程规定的程序，提出差异化的现金分红政策：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①公司发展阶段属成熟期且无重大资金支出安排的，进行利润分配时，现金分红在本次利润分配中所占比例最低应达到80%；</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②公司发展阶段属成熟期且有重大资金支出安排的，进行利润分配时，现金分红在本次利润分配中所占比例最低应达到40%；</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③公司发展阶段属成长期且有重大资金支出安排的，进行利润分配时，现金分红在本次利润分配中所占比例最低应达到20%；公司发展阶段不易区分但有重大资金支出安排的，可以按照前项规定处理。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3.202</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年度利润分配预案</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rPr>
          </w:pPr>
          <w:r>
            <w:rPr>
              <w:rFonts w:hint="default" w:ascii="Times New Roman" w:hAnsi="Times New Roman" w:cs="Times New Roman"/>
            </w:rPr>
            <w:t>经中喜会计师事务所（特殊普通合伙）审计，2023 年度公司合并报表实现归属于上市公司股 东的净利润为22,806,658.88元，其中母公司实现净利润为772,159.01元，根据《公司法》和《公司章程》规定提取10%的法定盈余公积金77</w:t>
          </w:r>
          <w:r>
            <w:rPr>
              <w:rFonts w:hint="eastAsia" w:ascii="Times New Roman" w:hAnsi="Times New Roman" w:cs="Times New Roman"/>
              <w:lang w:val="en-US" w:eastAsia="zh-CN"/>
            </w:rPr>
            <w:t>,</w:t>
          </w:r>
          <w:r>
            <w:rPr>
              <w:rFonts w:hint="default" w:ascii="Times New Roman" w:hAnsi="Times New Roman" w:cs="Times New Roman"/>
            </w:rPr>
            <w:t>215.90元后，2023年末母公司未分配的利润为660,948,470.73元。公司拟以2023年12月31日公司总股本 550,000,000 股为基数，向全体股东每10股派发现金红利0.3元（含税），合计拟派发现金红利16,500,000 元（含税）。公司剩余未分配利润结转以后年度，本年度不送股，也不进行资本公积金转增股本。</w:t>
          </w:r>
        </w:p>
      </w:sdtContent>
    </w:sdt>
    <w:p>
      <w:pPr>
        <w:pStyle w:val="4"/>
        <w:numPr>
          <w:ilvl w:val="0"/>
          <w:numId w:val="29"/>
        </w:numPr>
        <w:ind w:left="450" w:hanging="450"/>
      </w:pPr>
      <w:bookmarkStart w:id="76" w:name="_Hlk89446160"/>
      <w:r>
        <w:t>现金分红政策的专项说明</w:t>
      </w:r>
    </w:p>
    <w:sdt>
      <w:sdtPr>
        <w:alias w:val="是否适用：现金分红政策的专项说明 [双击切换]"/>
        <w:tag w:val="_GBC_715d8b6c04924cf19dcd2347ae32471f"/>
        <w:id w:val="25921"/>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9"/>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be5b642d619e47719375899ad34c31f6"/>
            <w:id w:val="25922"/>
          </w:sdtPr>
          <w:sdtEndPr>
            <w:rPr>
              <w:rFonts w:hint="eastAsia"/>
            </w:rPr>
          </w:sdtEndPr>
          <w:sdtContent>
            <w:tc>
              <w:tcPr>
                <w:tcW w:w="4071" w:type="pct"/>
                <w:vAlign w:val="center"/>
              </w:tcPr>
              <w:p>
                <w:pPr>
                  <w:jc w:val="left"/>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25923"/>
          </w:sdtPr>
          <w:sdtContent>
            <w:tc>
              <w:tcPr>
                <w:tcW w:w="928" w:type="pct"/>
                <w:vAlign w:val="center"/>
              </w:tcPr>
              <w:p>
                <w:pPr>
                  <w:jc w:val="cente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pct"/>
            <w:vAlign w:val="center"/>
          </w:tcPr>
          <w:p>
            <w:pPr>
              <w:jc w:val="left"/>
            </w:pPr>
            <w:r>
              <w:rPr>
                <w:rFonts w:hint="eastAsia"/>
              </w:rPr>
              <w:t>分红标准和比例是否明确和清晰</w:t>
            </w:r>
          </w:p>
        </w:tc>
        <w:sdt>
          <w:sdtPr>
            <w:alias w:val="分红标准和比例是否明确和清晰[双击切换]"/>
            <w:tag w:val="_GBC_c8bbad0601c544fca3faeac3b11ee218"/>
            <w:id w:val="25924"/>
          </w:sdtPr>
          <w:sdtContent>
            <w:tc>
              <w:tcPr>
                <w:tcW w:w="928" w:type="pct"/>
                <w:vAlign w:val="center"/>
              </w:tcPr>
              <w:p>
                <w:pPr>
                  <w:jc w:val="cente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pct"/>
            <w:tcBorders>
              <w:top w:val="single" w:color="auto" w:sz="4" w:space="0"/>
              <w:left w:val="single" w:color="auto" w:sz="4" w:space="0"/>
              <w:bottom w:val="single" w:color="auto" w:sz="4" w:space="0"/>
              <w:right w:val="single" w:color="auto" w:sz="4" w:space="0"/>
            </w:tcBorders>
            <w:vAlign w:val="center"/>
          </w:tcPr>
          <w:p>
            <w:pPr>
              <w:jc w:val="left"/>
            </w:pPr>
            <w:r>
              <w:rPr>
                <w:rFonts w:hint="eastAsia"/>
              </w:rPr>
              <w:t>相关的决策程序和机制是否完备</w:t>
            </w:r>
          </w:p>
        </w:tc>
        <w:sdt>
          <w:sdtPr>
            <w:alias w:val="相关的决策程序和机制是否完备[双击切换]"/>
            <w:tag w:val="_GBC_b2d0d75abb6f4f14a51595902d0ad7b9"/>
            <w:id w:val="25925"/>
          </w:sdtPr>
          <w:sdtContent>
            <w:tc>
              <w:tcPr>
                <w:tcW w:w="928" w:type="pct"/>
                <w:tcBorders>
                  <w:top w:val="single" w:color="auto" w:sz="4" w:space="0"/>
                  <w:left w:val="single" w:color="auto" w:sz="4" w:space="0"/>
                  <w:bottom w:val="single" w:color="auto" w:sz="4" w:space="0"/>
                  <w:right w:val="single" w:color="auto" w:sz="4" w:space="0"/>
                </w:tcBorders>
                <w:vAlign w:val="center"/>
              </w:tcPr>
              <w:p>
                <w:pPr>
                  <w:jc w:val="cente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pct"/>
            <w:tcBorders>
              <w:top w:val="single" w:color="auto" w:sz="4" w:space="0"/>
              <w:left w:val="single" w:color="auto" w:sz="4" w:space="0"/>
              <w:bottom w:val="single" w:color="auto" w:sz="4" w:space="0"/>
              <w:right w:val="single" w:color="auto" w:sz="4" w:space="0"/>
            </w:tcBorders>
            <w:vAlign w:val="center"/>
          </w:tcPr>
          <w:p>
            <w:pPr>
              <w:jc w:val="left"/>
            </w:pPr>
            <w:r>
              <w:rPr>
                <w:rFonts w:hint="eastAsia"/>
              </w:rPr>
              <w:t>独立董事是否履职尽责并发挥了应有的作用</w:t>
            </w:r>
          </w:p>
        </w:tc>
        <w:sdt>
          <w:sdtPr>
            <w:alias w:val="独立董事是否履职尽责并发挥了应有的作用[双击切换]"/>
            <w:tag w:val="_GBC_0b8d249fbcc74af893077c4c7eee16ef"/>
            <w:id w:val="25926"/>
          </w:sdtPr>
          <w:sdtContent>
            <w:tc>
              <w:tcPr>
                <w:tcW w:w="928" w:type="pct"/>
                <w:tcBorders>
                  <w:top w:val="single" w:color="auto" w:sz="4" w:space="0"/>
                  <w:left w:val="single" w:color="auto" w:sz="4" w:space="0"/>
                  <w:bottom w:val="single" w:color="auto" w:sz="4" w:space="0"/>
                  <w:right w:val="single" w:color="auto" w:sz="4" w:space="0"/>
                </w:tcBorders>
                <w:vAlign w:val="center"/>
              </w:tcPr>
              <w:p>
                <w:pPr>
                  <w:jc w:val="cente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pct"/>
            <w:tcBorders>
              <w:top w:val="single" w:color="auto" w:sz="4" w:space="0"/>
              <w:left w:val="single" w:color="auto" w:sz="4" w:space="0"/>
              <w:bottom w:val="single" w:color="auto" w:sz="4" w:space="0"/>
              <w:right w:val="single" w:color="auto" w:sz="4" w:space="0"/>
            </w:tcBorders>
            <w:vAlign w:val="center"/>
          </w:tcPr>
          <w:p>
            <w:pPr>
              <w:jc w:val="left"/>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25927"/>
          </w:sdtPr>
          <w:sdtContent>
            <w:tc>
              <w:tcPr>
                <w:tcW w:w="928" w:type="pct"/>
                <w:tcBorders>
                  <w:top w:val="single" w:color="auto" w:sz="4" w:space="0"/>
                  <w:left w:val="single" w:color="auto" w:sz="4" w:space="0"/>
                  <w:bottom w:val="single" w:color="auto" w:sz="4" w:space="0"/>
                  <w:right w:val="single" w:color="auto" w:sz="4" w:space="0"/>
                </w:tcBorders>
                <w:vAlign w:val="center"/>
              </w:tcPr>
              <w:p>
                <w:pPr>
                  <w:jc w:val="center"/>
                </w:pPr>
                <w:r>
                  <w:fldChar w:fldCharType="begin"/>
                </w:r>
                <w:r>
                  <w:rPr>
                    <w:rFonts w:hint="eastAsia"/>
                    <w:lang w:eastAsia="zh-CN"/>
                  </w:rPr>
                  <w:instrText xml:space="preserve"> MACROBUTTON  SnrToggleCheckbox √是 </w:instrText>
                </w:r>
                <w:r>
                  <w:fldChar w:fldCharType="end"/>
                </w:r>
                <w:r>
                  <w:fldChar w:fldCharType="begin"/>
                </w:r>
                <w:r>
                  <w:rPr>
                    <w:rFonts w:hint="eastAsia"/>
                    <w:lang w:eastAsia="zh-CN"/>
                  </w:rPr>
                  <w:instrText xml:space="preserve"> MACROBUTTON  SnrToggleCheckbox □否 </w:instrText>
                </w:r>
                <w:r>
                  <w:fldChar w:fldCharType="end"/>
                </w:r>
              </w:p>
            </w:tc>
          </w:sdtContent>
        </w:sdt>
      </w:tr>
    </w:tbl>
    <w:p/>
    <w:bookmarkEnd w:id="76"/>
    <w:p>
      <w:pPr>
        <w:pStyle w:val="4"/>
        <w:numPr>
          <w:ilvl w:val="0"/>
          <w:numId w:val="29"/>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592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4"/>
        <w:numPr>
          <w:ilvl w:val="0"/>
          <w:numId w:val="29"/>
        </w:numPr>
        <w:ind w:left="450" w:hanging="450"/>
      </w:pPr>
      <w:r>
        <w:rPr>
          <w:rFonts w:hint="eastAsia"/>
        </w:rPr>
        <w:t>本报告期利润分配及资本公积金转增股本预案</w:t>
      </w:r>
    </w:p>
    <w:sdt>
      <w:sdtPr>
        <w:alias w:val="是否适用：利润分配及资本公积金转增股本情况[双击切换]"/>
        <w:tag w:val="_GBC_495a4ba42a0f42f09a8ad4b2fade6559"/>
        <w:id w:val="25929"/>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259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259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528"/>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80" w:hRule="atLeast"/>
        </w:trPr>
        <w:sdt>
          <w:sdtPr>
            <w:rPr>
              <w:rFonts w:hint="default" w:ascii="Times New Roman" w:hAnsi="Times New Roman" w:cs="Times New Roman"/>
            </w:rPr>
            <w:tag w:val="_PLD_28cd685f5155420cab6b327b3f81025e"/>
            <w:id w:val="25932"/>
          </w:sdtPr>
          <w:sdtEndPr>
            <w:rPr>
              <w:rFonts w:hint="default" w:ascii="Times New Roman" w:hAnsi="Times New Roman" w:cs="Times New Roman"/>
            </w:rPr>
          </w:sdtEndPr>
          <w:sdtContent>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每10股送红股数（股）</w:t>
                </w:r>
              </w:p>
            </w:tc>
          </w:sdtContent>
        </w:sdt>
        <w:tc>
          <w:tcPr>
            <w:tcW w:w="2500" w:type="pct"/>
            <w:vAlign w:val="center"/>
          </w:tcPr>
          <w:p>
            <w:pPr>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每10股派息数（元）（含税）</w:t>
            </w:r>
          </w:p>
        </w:tc>
        <w:tc>
          <w:tcPr>
            <w:tcW w:w="2500" w:type="pct"/>
            <w:vAlign w:val="center"/>
          </w:tcPr>
          <w:p>
            <w:pPr>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每10股转增数（股）</w:t>
            </w:r>
          </w:p>
        </w:tc>
        <w:tc>
          <w:tcPr>
            <w:tcW w:w="2500" w:type="pct"/>
            <w:vAlign w:val="center"/>
          </w:tcPr>
          <w:p>
            <w:pPr>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现金分红金额（含税）</w:t>
            </w:r>
          </w:p>
        </w:tc>
        <w:tc>
          <w:tcPr>
            <w:tcW w:w="2500" w:type="pct"/>
            <w:vAlign w:val="center"/>
          </w:tcPr>
          <w:p>
            <w:pPr>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16,500,000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rPr>
            </w:pPr>
            <w:r>
              <w:rPr>
                <w:rFonts w:hint="default" w:ascii="Times New Roman" w:hAnsi="Times New Roman" w:cs="Times New Roman"/>
              </w:rPr>
              <w:t>分红年度合并报表中归属于上市公司普通股股东的净利润</w:t>
            </w:r>
          </w:p>
        </w:tc>
        <w:tc>
          <w:tcPr>
            <w:tcW w:w="25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eastAsia" w:ascii="Times New Roman" w:hAnsi="Times New Roman" w:cs="Times New Roman"/>
                <w:lang w:val="en-US" w:eastAsia="zh-CN"/>
              </w:rPr>
              <w:t>22,806,658.88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rPr>
            </w:pPr>
            <w:r>
              <w:rPr>
                <w:rFonts w:hint="default" w:ascii="Times New Roman" w:hAnsi="Times New Roman" w:cs="Times New Roman"/>
              </w:rPr>
              <w:t>占合并报表中归属于上市公司普通股股东的净利润的比率（%）</w:t>
            </w:r>
          </w:p>
        </w:tc>
        <w:tc>
          <w:tcPr>
            <w:tcW w:w="25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lang w:val="en-US" w:eastAsia="zh-CN"/>
              </w:rPr>
            </w:pPr>
            <w:r>
              <w:rPr>
                <w:rFonts w:hint="eastAsia" w:ascii="Times New Roman" w:hAnsi="Times New Roman" w:cs="Times New Roman"/>
                <w:lang w:val="en-US" w:eastAsia="zh-CN"/>
              </w:rPr>
              <w:t>72.35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以现金方式回购股份计入现金分红的金额</w:t>
            </w:r>
          </w:p>
        </w:tc>
        <w:tc>
          <w:tcPr>
            <w:tcW w:w="2500" w:type="pct"/>
            <w:vAlign w:val="center"/>
          </w:tcPr>
          <w:p>
            <w:pPr>
              <w:jc w:val="right"/>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合计分红金额（含税）</w:t>
            </w:r>
          </w:p>
        </w:tc>
        <w:tc>
          <w:tcPr>
            <w:tcW w:w="2500" w:type="pct"/>
            <w:vAlign w:val="center"/>
          </w:tcPr>
          <w:p>
            <w:pPr>
              <w:jc w:val="right"/>
              <w:rPr>
                <w:rFonts w:hint="default" w:ascii="Times New Roman" w:hAnsi="Times New Roman" w:cs="Times New Roman"/>
              </w:rPr>
            </w:pPr>
            <w:r>
              <w:rPr>
                <w:rFonts w:hint="default" w:ascii="Times New Roman" w:hAnsi="Times New Roman" w:cs="Times New Roman"/>
              </w:rPr>
              <w:t>16,500,000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hint="default" w:ascii="Times New Roman" w:hAnsi="Times New Roman" w:cs="Times New Roman"/>
              </w:rPr>
            </w:pPr>
            <w:r>
              <w:rPr>
                <w:rFonts w:hint="default" w:ascii="Times New Roman" w:hAnsi="Times New Roman" w:cs="Times New Roman"/>
              </w:rPr>
              <w:t>合计分红金额占合并报表中归属于上市公司普通股股东的净利润的比率（%）</w:t>
            </w:r>
          </w:p>
        </w:tc>
        <w:tc>
          <w:tcPr>
            <w:tcW w:w="2500" w:type="pct"/>
            <w:vAlign w:val="center"/>
          </w:tcPr>
          <w:p>
            <w:pPr>
              <w:jc w:val="right"/>
              <w:rPr>
                <w:rFonts w:hint="default" w:ascii="Times New Roman" w:hAnsi="Times New Roman" w:cs="Times New Roman"/>
                <w:lang w:val="en-US"/>
              </w:rPr>
            </w:pPr>
            <w:r>
              <w:rPr>
                <w:rFonts w:hint="eastAsia" w:ascii="Times New Roman" w:hAnsi="Times New Roman" w:cs="Times New Roman"/>
                <w:lang w:val="en-US" w:eastAsia="zh-CN"/>
              </w:rPr>
              <w:t>72.35</w:t>
            </w:r>
          </w:p>
        </w:tc>
      </w:tr>
    </w:tbl>
    <w:p/>
    <w:p>
      <w:pPr>
        <w:pStyle w:val="3"/>
        <w:numPr>
          <w:ilvl w:val="0"/>
          <w:numId w:val="21"/>
        </w:numPr>
        <w:ind w:left="450" w:hanging="450"/>
      </w:pPr>
      <w:bookmarkStart w:id="77" w:name="_Toc342491956"/>
      <w:bookmarkStart w:id="78" w:name="_Toc342565948"/>
      <w:r>
        <w:rPr>
          <w:rFonts w:hint="eastAsia"/>
        </w:rPr>
        <w:t>公司股权激励计划、员工持股计划或其他员工激励措施的情况及其影响</w:t>
      </w:r>
      <w:bookmarkEnd w:id="77"/>
      <w:bookmarkEnd w:id="78"/>
    </w:p>
    <w:p>
      <w:pPr>
        <w:pStyle w:val="4"/>
        <w:numPr>
          <w:ilvl w:val="1"/>
          <w:numId w:val="30"/>
        </w:numPr>
        <w:rPr>
          <w:kern w:val="44"/>
          <w:szCs w:val="21"/>
        </w:rPr>
      </w:pPr>
      <w:bookmarkStart w:id="79" w:name="_Toc342565949"/>
      <w:bookmarkStart w:id="80" w:name="_Toc342491957"/>
      <w:r>
        <w:rPr>
          <w:rFonts w:hint="eastAsia"/>
          <w:kern w:val="44"/>
          <w:szCs w:val="21"/>
        </w:rPr>
        <w:t>相关激励事项已在临时公告披露且后续实施无进展或变化的</w:t>
      </w:r>
      <w:bookmarkEnd w:id="79"/>
      <w:bookmarkEnd w:id="80"/>
    </w:p>
    <w:sdt>
      <w:sdtPr>
        <w:alias w:val="是否适用：相关激励事项已在临时公告披露且后续实施无进展或变化的[双击切换]"/>
        <w:tag w:val="_GBC_0af9dca2858d42619c57d7878f3a7792"/>
        <w:id w:val="2593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4"/>
        <w:numPr>
          <w:ilvl w:val="1"/>
          <w:numId w:val="30"/>
        </w:numPr>
        <w:rPr>
          <w:kern w:val="44"/>
          <w:szCs w:val="21"/>
        </w:rPr>
      </w:pPr>
      <w:r>
        <w:rPr>
          <w:rFonts w:hint="eastAsia"/>
          <w:kern w:val="44"/>
          <w:szCs w:val="21"/>
        </w:rPr>
        <w:t>临时公告未披露或有后续进展的激励情况</w:t>
      </w:r>
    </w:p>
    <w:p>
      <w:r>
        <w:rPr>
          <w:rFonts w:hint="eastAsia"/>
        </w:rPr>
        <w:t>股权激励情况</w:t>
      </w:r>
    </w:p>
    <w:p>
      <w:sdt>
        <w:sdtPr>
          <w:alias w:val="是否适用：股权激励情况[双击切换]"/>
          <w:tag w:val="_GBC_002ad948ce1449c2a805bfbb132b2202"/>
          <w:id w:val="25934"/>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pPr>
    </w:p>
    <w:p>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25935"/>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25936"/>
        <w:placeholder>
          <w:docPart w:val="GBC22222222222222222222222222222"/>
        </w:placeholder>
      </w:sdtPr>
      <w:sdtEndPr>
        <w:rPr>
          <w:rFonts w:hint="eastAsia"/>
          <w:bCs/>
          <w:szCs w:val="21"/>
        </w:rPr>
      </w:sdtEndPr>
      <w:sdtContent>
        <w:p>
          <w:pPr>
            <w:outlineLvl w:val="9"/>
            <w:rPr>
              <w:bCs/>
              <w:szCs w:val="21"/>
            </w:rPr>
          </w:pPr>
          <w:r>
            <w:rPr>
              <w:bCs/>
              <w:szCs w:val="21"/>
            </w:rPr>
            <w:fldChar w:fldCharType="begin"/>
          </w:r>
          <w:r>
            <w:rPr>
              <w:rFonts w:hint="eastAsia"/>
              <w:bCs/>
              <w:szCs w:val="21"/>
              <w:lang w:eastAsia="zh-CN"/>
            </w:rPr>
            <w:instrText xml:space="preserve"> 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rPr>
          <w:bCs/>
          <w:szCs w:val="21"/>
        </w:rPr>
      </w:pPr>
    </w:p>
    <w:p>
      <w:pPr>
        <w:rPr>
          <w:bCs/>
          <w:szCs w:val="21"/>
        </w:rPr>
      </w:pPr>
      <w:r>
        <w:rPr>
          <w:rFonts w:hint="eastAsia"/>
          <w:bCs/>
          <w:szCs w:val="21"/>
        </w:rPr>
        <w:t>其他激励措施</w:t>
      </w:r>
    </w:p>
    <w:sdt>
      <w:sdtPr>
        <w:rPr>
          <w:szCs w:val="21"/>
        </w:rPr>
        <w:alias w:val="是否适用：其他激励措施[双击切换]"/>
        <w:tag w:val="_GBC_1273f753309d4658962c7982b10fa010"/>
        <w:id w:val="25937"/>
        <w:placeholder>
          <w:docPart w:val="GBC22222222222222222222222222222"/>
        </w:placeholder>
      </w:sdtPr>
      <w:sdtEndPr>
        <w:rPr>
          <w:szCs w:val="21"/>
        </w:rPr>
      </w:sdtEndPr>
      <w:sdtContent>
        <w:p>
          <w:pPr>
            <w:outlineLvl w:val="9"/>
            <w:rPr>
              <w:bCs/>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bCs/>
          <w:szCs w:val="21"/>
        </w:rPr>
      </w:pPr>
    </w:p>
    <w:p>
      <w:pPr>
        <w:pStyle w:val="4"/>
        <w:numPr>
          <w:ilvl w:val="1"/>
          <w:numId w:val="30"/>
        </w:numPr>
        <w:rPr>
          <w:szCs w:val="21"/>
        </w:rPr>
      </w:pPr>
      <w:bookmarkStart w:id="81" w:name="_Toc342057945"/>
      <w:bookmarkStart w:id="82" w:name="_Toc342566005"/>
      <w:r>
        <w:rPr>
          <w:rFonts w:hint="eastAsia"/>
          <w:szCs w:val="21"/>
        </w:rPr>
        <w:t>董事、高级管理人员报告期内被授予的</w:t>
      </w:r>
      <w:r>
        <w:rPr>
          <w:rFonts w:hint="eastAsia"/>
          <w:kern w:val="44"/>
          <w:szCs w:val="21"/>
        </w:rPr>
        <w:t>股权</w:t>
      </w:r>
      <w:r>
        <w:rPr>
          <w:rFonts w:hint="eastAsia"/>
          <w:szCs w:val="21"/>
        </w:rPr>
        <w:t>激励情况</w:t>
      </w:r>
      <w:bookmarkEnd w:id="81"/>
      <w:bookmarkEnd w:id="82"/>
    </w:p>
    <w:p>
      <w:pPr>
        <w:kinsoku w:val="0"/>
        <w:overflowPunct w:val="0"/>
        <w:autoSpaceDE w:val="0"/>
        <w:autoSpaceDN w:val="0"/>
        <w:adjustRightInd w:val="0"/>
        <w:snapToGrid w:val="0"/>
        <w:outlineLvl w:val="9"/>
        <w:rPr>
          <w:szCs w:val="21"/>
        </w:rPr>
      </w:pPr>
      <w:sdt>
        <w:sdtPr>
          <w:rPr>
            <w:rFonts w:hint="eastAsia"/>
            <w:szCs w:val="21"/>
          </w:rPr>
          <w:alias w:val="是否适用：董事、监事、高级管理人员报告期内被授予的股权激励情况[双击切换]"/>
          <w:tag w:val="_GBC_c2d0a53ac8044ce0b5022c6f5ccdc0a9"/>
          <w:id w:val="25938"/>
          <w:placeholder>
            <w:docPart w:val="GBC22222222222222222222222222222"/>
          </w:placeholder>
        </w:sdtPr>
        <w:sdtEndPr>
          <w:rPr>
            <w:rFonts w:hint="eastAsia"/>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outlineLvl w:val="9"/>
      </w:pPr>
      <w:bookmarkStart w:id="83" w:name="_Hlk56780992"/>
    </w:p>
    <w:bookmarkEnd w:id="83"/>
    <w:p>
      <w:pPr>
        <w:pStyle w:val="4"/>
        <w:numPr>
          <w:ilvl w:val="1"/>
          <w:numId w:val="3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5939"/>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21"/>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5940"/>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5941"/>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公司根据法律、法规的要求和自身所处行业及生产经营特点，建立了较为完善的内部控制体系并得到有效实施；在对有关制度的落实情况进行定期和不定期的检查中，未发现存在内部控制重大缺陷。公司的内部控制能够合理保证经营管理合法合规、资产安全、财务报告及相关信息真实完整，提高经营效率和效果，促进实现公司发展战略。</w:t>
          </w:r>
        </w:p>
      </w:sdtContent>
    </w:sdt>
    <w:p>
      <w:pPr>
        <w:rPr>
          <w:szCs w:val="21"/>
        </w:rPr>
      </w:pPr>
    </w:p>
    <w:p>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594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21"/>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25943"/>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25944"/>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公司依据《公司法》《公司章程》和《控股子公司管理办法》等有关法律、规定，对子公司进行管理控制，实行放管结合、充分授权、严格考核的管理办法。公司对子公司均为绝对控股，通过其股东会、董事会及监事会行使管理、协调、监督、考核等职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子公司在公司的指导下健全法人治理结构；经理层依据董事会授权，执行经公司审批的预算方案，组织生产、销售和经营管理工作；定期向公司汇报生产经营和财务状况，接受公司派出的审计机构对其进行年度审计等；公司对子公司进行经营业绩目标考核，以此确定经理层薪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报告期内，不存在子公司失去控制的现象。</w:t>
          </w:r>
        </w:p>
      </w:sdtContent>
    </w:sdt>
    <w:p>
      <w:pPr>
        <w:keepNext w:val="0"/>
        <w:keepLines w:val="0"/>
        <w:pageBreakBefore w:val="0"/>
        <w:widowControl/>
        <w:kinsoku/>
        <w:wordWrap/>
        <w:overflowPunct/>
        <w:topLinePunct w:val="0"/>
        <w:autoSpaceDE/>
        <w:autoSpaceDN/>
        <w:bidi w:val="0"/>
        <w:adjustRightInd/>
        <w:snapToGrid/>
        <w:ind w:firstLine="420" w:firstLineChars="200"/>
        <w:textAlignment w:val="auto"/>
        <w:rPr>
          <w:szCs w:val="21"/>
        </w:rPr>
      </w:pPr>
    </w:p>
    <w:p>
      <w:pPr>
        <w:pStyle w:val="3"/>
        <w:numPr>
          <w:ilvl w:val="0"/>
          <w:numId w:val="21"/>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25945"/>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25946"/>
        <w:placeholder>
          <w:docPart w:val="GBC22222222222222222222222222222"/>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公司聘请</w:t>
          </w:r>
          <w:r>
            <w:rPr>
              <w:rFonts w:hint="eastAsia" w:ascii="Times New Roman" w:hAnsi="Times New Roman" w:cs="Times New Roman"/>
              <w:szCs w:val="21"/>
              <w:lang w:val="en-US" w:eastAsia="zh-CN"/>
            </w:rPr>
            <w:t>中喜</w:t>
          </w:r>
          <w:r>
            <w:rPr>
              <w:rFonts w:hint="default" w:ascii="Times New Roman" w:hAnsi="Times New Roman" w:cs="Times New Roman"/>
              <w:szCs w:val="21"/>
            </w:rPr>
            <w:t>会计师事务所（特殊普通合伙）对公司202</w:t>
          </w:r>
          <w:r>
            <w:rPr>
              <w:rFonts w:hint="eastAsia" w:ascii="Times New Roman" w:hAnsi="Times New Roman" w:cs="Times New Roman"/>
              <w:szCs w:val="21"/>
              <w:lang w:val="en-US" w:eastAsia="zh-CN"/>
            </w:rPr>
            <w:t>3</w:t>
          </w:r>
          <w:r>
            <w:rPr>
              <w:rFonts w:hint="default" w:ascii="Times New Roman" w:hAnsi="Times New Roman" w:cs="Times New Roman"/>
              <w:szCs w:val="21"/>
            </w:rPr>
            <w:t>年财务报告内部控制情况进行审计，并出具了标准无保留意见的《202</w:t>
          </w:r>
          <w:r>
            <w:rPr>
              <w:rFonts w:hint="eastAsia" w:ascii="Times New Roman" w:hAnsi="Times New Roman" w:cs="Times New Roman"/>
              <w:szCs w:val="21"/>
              <w:lang w:val="en-US" w:eastAsia="zh-CN"/>
            </w:rPr>
            <w:t>3</w:t>
          </w:r>
          <w:r>
            <w:rPr>
              <w:rFonts w:hint="default" w:ascii="Times New Roman" w:hAnsi="Times New Roman" w:cs="Times New Roman"/>
              <w:szCs w:val="21"/>
            </w:rPr>
            <w:t>年度内部控制审计报告》，全文详见202</w:t>
          </w:r>
          <w:r>
            <w:rPr>
              <w:rFonts w:hint="eastAsia" w:ascii="Times New Roman" w:hAnsi="Times New Roman" w:cs="Times New Roman"/>
              <w:szCs w:val="21"/>
              <w:lang w:val="en-US" w:eastAsia="zh-CN"/>
            </w:rPr>
            <w:t>4</w:t>
          </w:r>
          <w:r>
            <w:rPr>
              <w:rFonts w:hint="default" w:ascii="Times New Roman" w:hAnsi="Times New Roman" w:cs="Times New Roman"/>
              <w:szCs w:val="21"/>
            </w:rPr>
            <w:t>年3月</w:t>
          </w:r>
          <w:r>
            <w:rPr>
              <w:rFonts w:hint="eastAsia" w:ascii="Times New Roman" w:hAnsi="Times New Roman" w:cs="Times New Roman"/>
              <w:szCs w:val="21"/>
              <w:lang w:val="en-US" w:eastAsia="zh-CN"/>
            </w:rPr>
            <w:t>29</w:t>
          </w:r>
          <w:r>
            <w:rPr>
              <w:rFonts w:hint="default" w:ascii="Times New Roman" w:hAnsi="Times New Roman" w:cs="Times New Roman"/>
              <w:szCs w:val="21"/>
            </w:rPr>
            <w:t>日在上交所网站（www.sse.com.cn）披露的《 202</w:t>
          </w:r>
          <w:r>
            <w:rPr>
              <w:rFonts w:hint="eastAsia" w:ascii="Times New Roman" w:hAnsi="Times New Roman" w:cs="Times New Roman"/>
              <w:szCs w:val="21"/>
              <w:lang w:val="en-US" w:eastAsia="zh-CN"/>
            </w:rPr>
            <w:t>3</w:t>
          </w:r>
          <w:r>
            <w:rPr>
              <w:rFonts w:hint="default" w:ascii="Times New Roman" w:hAnsi="Times New Roman" w:cs="Times New Roman"/>
              <w:szCs w:val="21"/>
            </w:rPr>
            <w:t xml:space="preserve"> 年度内部控制审计报告》。</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是否披露内部控制审计报告：</w:t>
      </w:r>
      <w:sdt>
        <w:sdtPr>
          <w:rPr>
            <w:rFonts w:hint="default" w:ascii="Times New Roman" w:hAnsi="Times New Roman" w:cs="Times New Roman"/>
            <w:szCs w:val="21"/>
          </w:rPr>
          <w:alias w:val="审计机构是否对公司内部控制出具核实评价意见"/>
          <w:tag w:val="_GBC_c9f332f7c06944ebbd339ca86944d1e2"/>
          <w:id w:val="25947"/>
          <w:placeholder>
            <w:docPart w:val="GBC22222222222222222222222222222"/>
          </w:placeholder>
          <w:comboBox>
            <w:listItem w:displayText="是" w:value="true"/>
            <w:listItem w:displayText="否" w:value="false"/>
          </w:comboBox>
        </w:sdtPr>
        <w:sdtEndPr>
          <w:rPr>
            <w:rFonts w:hint="default" w:ascii="Times New Roman" w:hAnsi="Times New Roman" w:cs="Times New Roman"/>
            <w:szCs w:val="21"/>
          </w:rPr>
        </w:sdtEndPr>
        <w:sdtContent>
          <w:r>
            <w:rPr>
              <w:rFonts w:hint="default" w:ascii="Times New Roman" w:hAnsi="Times New Roman" w:cs="Times New Roman"/>
              <w:szCs w:val="21"/>
              <w:lang w:val="en-US" w:eastAsia="zh-CN"/>
            </w:rPr>
            <w:t>是</w:t>
          </w:r>
        </w:sdtContent>
      </w:sdt>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lang w:val="zh-CN"/>
        </w:rPr>
      </w:pPr>
      <w:r>
        <w:rPr>
          <w:rFonts w:hint="default" w:ascii="Times New Roman" w:hAnsi="Times New Roman" w:cs="Times New Roman"/>
          <w:szCs w:val="21"/>
          <w:lang w:val="zh-CN"/>
        </w:rPr>
        <w:t>内部控制审计报告意见类型：</w:t>
      </w:r>
      <w:sdt>
        <w:sdtPr>
          <w:rPr>
            <w:rFonts w:hint="default" w:ascii="Times New Roman" w:hAnsi="Times New Roman" w:cs="Times New Roman"/>
            <w:szCs w:val="21"/>
            <w:lang w:val="zh-CN"/>
          </w:rPr>
          <w:alias w:val="内部控制审计意见类型"/>
          <w:tag w:val="_GBC_70262b41c723466c879c062e5326eee3"/>
          <w:id w:val="25948"/>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rPr>
            <w:rFonts w:hint="default" w:ascii="Times New Roman" w:hAnsi="Times New Roman" w:cs="Times New Roman"/>
            <w:szCs w:val="21"/>
            <w:lang w:val="zh-CN"/>
          </w:rPr>
        </w:sdtEndPr>
        <w:sdtContent>
          <w:r>
            <w:rPr>
              <w:rFonts w:hint="default" w:ascii="Times New Roman" w:hAnsi="Times New Roman" w:cs="Times New Roman"/>
              <w:szCs w:val="21"/>
              <w:lang w:val="zh-CN" w:eastAsia="zh-CN"/>
            </w:rPr>
            <w:t>标准的无保留意见</w:t>
          </w:r>
        </w:sdtContent>
      </w:sdt>
    </w:p>
    <w:p>
      <w:pPr>
        <w:rPr>
          <w:szCs w:val="21"/>
        </w:rPr>
      </w:pPr>
    </w:p>
    <w:p>
      <w:pPr>
        <w:pStyle w:val="3"/>
        <w:numPr>
          <w:ilvl w:val="0"/>
          <w:numId w:val="21"/>
        </w:numPr>
        <w:ind w:left="420" w:hanging="420"/>
        <w:rPr>
          <w:rFonts w:ascii="宋体" w:hAnsi="宋体" w:cs="宋体"/>
          <w:kern w:val="0"/>
          <w:szCs w:val="24"/>
        </w:rPr>
      </w:pPr>
      <w:bookmarkStart w:id="84" w:name="_Hlk40625163"/>
      <w:bookmarkStart w:id="85" w:name="_Hlk40625199"/>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25949"/>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ind w:firstLine="420" w:firstLineChars="200"/>
            <w:textAlignment w:val="auto"/>
            <w:rPr>
              <w:szCs w:val="21"/>
            </w:rPr>
          </w:pPr>
          <w:r>
            <w:rPr>
              <w:rFonts w:hint="eastAsia"/>
              <w:szCs w:val="21"/>
              <w:lang w:val="en-US" w:eastAsia="zh-CN"/>
            </w:rPr>
            <w:t>无</w:t>
          </w:r>
        </w:p>
      </w:sdtContent>
    </w:sdt>
    <w:p>
      <w:pPr>
        <w:rPr>
          <w:szCs w:val="21"/>
        </w:rPr>
      </w:pPr>
    </w:p>
    <w:bookmarkEnd w:id="84"/>
    <w:bookmarkEnd w:id="85"/>
    <w:p>
      <w:pPr>
        <w:pStyle w:val="3"/>
        <w:numPr>
          <w:ilvl w:val="0"/>
          <w:numId w:val="21"/>
        </w:numPr>
      </w:pPr>
      <w:r>
        <w:t>其他</w:t>
      </w:r>
    </w:p>
    <w:sdt>
      <w:sdtPr>
        <w:rPr>
          <w:rFonts w:hint="eastAsia"/>
          <w:szCs w:val="21"/>
        </w:rPr>
        <w:alias w:val="是否适用：其他公司治理情况说明[双击切换]"/>
        <w:tag w:val="_GBC_dc91085943bb4d4ab22a79a9ba7014df"/>
        <w:id w:val="25950"/>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
        <w:numPr>
          <w:ilvl w:val="0"/>
          <w:numId w:val="2"/>
        </w:numPr>
      </w:pPr>
      <w:bookmarkStart w:id="86" w:name="_Toc89790252"/>
      <w:r>
        <w:rPr>
          <w:rFonts w:hint="eastAsia"/>
        </w:rPr>
        <w:t>环境与社会责任</w:t>
      </w:r>
      <w:bookmarkEnd w:id="86"/>
    </w:p>
    <w:p>
      <w:pPr>
        <w:pStyle w:val="127"/>
        <w:numPr>
          <w:ilvl w:val="0"/>
          <w:numId w:val="31"/>
        </w:numPr>
        <w:tabs>
          <w:tab w:val="left" w:pos="426"/>
        </w:tabs>
        <w:ind w:left="425" w:hanging="425"/>
        <w:jc w:val="left"/>
        <w:rPr>
          <w:rFonts w:ascii="宋体" w:hAnsi="宋体"/>
        </w:rPr>
      </w:pPr>
      <w:bookmarkStart w:id="87" w:name="_Hlk89187025"/>
      <w:bookmarkStart w:id="88" w:name="_Hlk89187063"/>
      <w:r>
        <w:rPr>
          <w:rFonts w:hint="eastAsia" w:ascii="宋体" w:hAnsi="宋体"/>
        </w:rPr>
        <w:t>环境</w:t>
      </w:r>
      <w:r>
        <w:rPr>
          <w:rFonts w:ascii="宋体" w:hAnsi="宋体"/>
        </w:rPr>
        <w:t>信息情况</w:t>
      </w:r>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4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eastAsia"/>
            </w:rPr>
            <w:tag w:val="_PLD_5357166cc0f74e2181ffc731d0410fde"/>
            <w:id w:val="25951"/>
          </w:sdtPr>
          <w:sdtEndPr>
            <w:rPr>
              <w:rFonts w:hint="eastAsia"/>
            </w:rPr>
          </w:sdtEndPr>
          <w:sdtContent>
            <w:tc>
              <w:tcPr>
                <w:tcW w:w="2532" w:type="pct"/>
                <w:shd w:val="clear" w:color="auto" w:fill="auto"/>
              </w:tcPr>
              <w:p>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25952"/>
            <w:comboBox>
              <w:listItem w:displayText="是" w:value="是"/>
              <w:listItem w:displayText="否" w:value="否"/>
            </w:comboBox>
          </w:sdtPr>
          <w:sdtEndPr>
            <w:rPr>
              <w:rFonts w:hint="eastAsia"/>
            </w:rPr>
          </w:sdtEndPr>
          <w:sdtContent>
            <w:tc>
              <w:tcPr>
                <w:tcW w:w="2468" w:type="pct"/>
                <w:shd w:val="clear" w:color="auto" w:fill="auto"/>
              </w:tcPr>
              <w:p>
                <w:pPr>
                  <w:widowControl w:val="0"/>
                  <w:jc w:val="right"/>
                </w:pPr>
                <w:r>
                  <w:rPr>
                    <w:rFonts w:hint="eastAsia" w:ascii="宋体" w:hAnsi="宋体" w:eastAsia="宋体" w:cs="宋体"/>
                    <w:sz w:val="21"/>
                    <w:szCs w:val="24"/>
                    <w:lang w:val="en-US" w:eastAsia="zh-CN" w:bidi="ar-SA"/>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2" w:type="pct"/>
            <w:shd w:val="clear" w:color="auto" w:fill="auto"/>
          </w:tcPr>
          <w:p>
            <w:pPr>
              <w:widowControl w:val="0"/>
              <w:jc w:val="both"/>
            </w:pPr>
            <w:bookmarkStart w:id="89" w:name="OLE_LINK1"/>
            <w:r>
              <w:rPr>
                <w:rFonts w:hint="eastAsia"/>
              </w:rPr>
              <w:t>报告期内投入环保资金</w:t>
            </w:r>
            <w:bookmarkEnd w:id="89"/>
            <w:r>
              <w:rPr>
                <w:rFonts w:hint="eastAsia"/>
              </w:rPr>
              <w:t>（单位：</w:t>
            </w:r>
            <w:sdt>
              <w:sdtPr>
                <w:rPr>
                  <w:rFonts w:hint="eastAsia"/>
                </w:rPr>
                <w:alias w:val="单位：报告期内投入环保资金"/>
                <w:tag w:val="_GBC_23fc355d243f4962992b20f0d6511069"/>
                <w:id w:val="25953"/>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2468" w:type="pct"/>
            <w:shd w:val="clear" w:color="auto" w:fill="auto"/>
          </w:tcPr>
          <w:p>
            <w:pPr>
              <w:widowControl w:val="0"/>
              <w:jc w:val="right"/>
              <w:rPr>
                <w:rFonts w:hint="default" w:eastAsia="宋体"/>
                <w:lang w:val="en-US" w:eastAsia="zh-CN"/>
              </w:rPr>
            </w:pPr>
            <w:r>
              <w:rPr>
                <w:rFonts w:hint="default" w:ascii="Times New Roman" w:hAnsi="Times New Roman" w:cs="Times New Roman"/>
                <w:lang w:val="en-US" w:eastAsia="zh-CN"/>
              </w:rPr>
              <w:t>167.39</w:t>
            </w:r>
          </w:p>
        </w:tc>
      </w:tr>
    </w:tbl>
    <w:p/>
    <w:p>
      <w:pPr>
        <w:pStyle w:val="46"/>
        <w:numPr>
          <w:ilvl w:val="0"/>
          <w:numId w:val="32"/>
        </w:numPr>
        <w:ind w:left="425" w:hanging="425"/>
        <w:rPr>
          <w:rFonts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40b93d2f11a54d2c995a8c41cdee40c4"/>
        <w:id w:val="25954"/>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pStyle w:val="48"/>
        <w:numPr>
          <w:ilvl w:val="0"/>
          <w:numId w:val="33"/>
        </w:numPr>
        <w:rPr>
          <w:rFonts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c1cef0b525dc4a0e9630fcb580d743be"/>
        <w:id w:val="25955"/>
        <w:placeholder>
          <w:docPart w:val="GBC22222222222222222222222222222"/>
        </w:placeholder>
      </w:sdtPr>
      <w:sdtEndPr>
        <w:rPr>
          <w:rFonts w:hint="eastAsia" w:ascii="宋体" w:hAnsi="宋体"/>
        </w:rPr>
      </w:sdtEndPr>
      <w:sdtContent>
        <w:p>
          <w:pPr>
            <w:pStyle w:val="170"/>
            <w:ind w:firstLine="0" w:firstLineChars="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排污信息"/>
        <w:tag w:val="_GBC_ddafe40d844342a78bc0ed0326232a03"/>
        <w:id w:val="25956"/>
        <w:placeholder>
          <w:docPart w:val="GBC22222222222222222222222222222"/>
        </w:placeholder>
      </w:sdtPr>
      <w:sdtEndPr>
        <w:rPr>
          <w:rFonts w:hint="eastAsia" w:ascii="宋体" w:hAnsi="宋体"/>
        </w:rPr>
      </w:sdtEndPr>
      <w:sdtContent>
        <w:p>
          <w:pPr>
            <w:pStyle w:val="146"/>
            <w:widowControl w:val="0"/>
            <w:autoSpaceDE w:val="0"/>
            <w:spacing w:before="0" w:beforeAutospacing="0" w:after="0" w:afterAutospacing="0" w:line="400" w:lineRule="exact"/>
            <w:ind w:firstLine="480" w:firstLineChars="200"/>
            <w:jc w:val="both"/>
            <w:rPr>
              <w:rFonts w:cs="Times New Roman"/>
              <w:kern w:val="2"/>
              <w:sz w:val="21"/>
              <w:szCs w:val="21"/>
            </w:rPr>
          </w:pPr>
          <w:r>
            <w:rPr>
              <w:rFonts w:hint="eastAsia"/>
              <w:kern w:val="2"/>
              <w:sz w:val="21"/>
              <w:szCs w:val="21"/>
              <w:lang w:bidi="ar"/>
            </w:rPr>
            <w:t>公司下属子公司亿康药业被列入</w:t>
          </w:r>
          <w:r>
            <w:rPr>
              <w:rFonts w:hint="eastAsia" w:ascii="Times New Roman" w:hAnsi="Times New Roman"/>
              <w:kern w:val="2"/>
              <w:sz w:val="21"/>
              <w:szCs w:val="21"/>
              <w:lang w:bidi="ar"/>
            </w:rPr>
            <w:t>202</w:t>
          </w:r>
          <w:r>
            <w:rPr>
              <w:rFonts w:hint="eastAsia" w:ascii="Times New Roman" w:hAnsi="Times New Roman"/>
              <w:kern w:val="2"/>
              <w:sz w:val="21"/>
              <w:szCs w:val="21"/>
              <w:lang w:val="en-US" w:eastAsia="zh-CN" w:bidi="ar"/>
            </w:rPr>
            <w:t>3</w:t>
          </w:r>
          <w:r>
            <w:rPr>
              <w:rFonts w:hint="eastAsia"/>
              <w:kern w:val="2"/>
              <w:sz w:val="21"/>
              <w:szCs w:val="21"/>
              <w:lang w:bidi="ar"/>
            </w:rPr>
            <w:t>年柳州市重点排污单位名录水环境重点排污单位，母公司及其他子公司不属于重点排污单位。报告期内，亿康药业排放总量未超过许可排放总量，各排放口污染物排放浓度不超过国家排放标准，主要污染物排放情况如下表：</w:t>
          </w:r>
        </w:p>
        <w:tbl>
          <w:tblPr>
            <w:tblStyle w:val="1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292"/>
            <w:gridCol w:w="1293"/>
            <w:gridCol w:w="1293"/>
            <w:gridCol w:w="1293"/>
            <w:gridCol w:w="129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主要污染物名称</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排放方式</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排放浓度</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执行的污染物排放标准</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报告期实际排放量（吨）</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年许可排放量（吨）</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超排情况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化学需氧量</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间歇排放</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ascii="Times New Roman" w:hAnsi="Times New Roman"/>
                    <w:color w:val="auto"/>
                    <w:kern w:val="2"/>
                    <w:sz w:val="21"/>
                    <w:szCs w:val="21"/>
                    <w:lang w:bidi="ar"/>
                  </w:rPr>
                  <w:t>50mg/L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ascii="Times New Roman" w:hAnsi="Times New Roman"/>
                    <w:kern w:val="2"/>
                    <w:sz w:val="21"/>
                    <w:szCs w:val="21"/>
                    <w:lang w:bidi="ar"/>
                  </w:rPr>
                  <w:t>100mg</w:t>
                </w:r>
                <w:r>
                  <w:rPr>
                    <w:rFonts w:hint="eastAsia"/>
                    <w:kern w:val="2"/>
                    <w:sz w:val="21"/>
                    <w:szCs w:val="21"/>
                    <w:lang w:bidi="ar"/>
                  </w:rPr>
                  <w:t>/</w:t>
                </w:r>
                <w:r>
                  <w:rPr>
                    <w:rFonts w:hint="eastAsia" w:ascii="Times New Roman" w:hAnsi="Times New Roman"/>
                    <w:kern w:val="2"/>
                    <w:sz w:val="21"/>
                    <w:szCs w:val="21"/>
                    <w:lang w:bidi="ar"/>
                  </w:rPr>
                  <w:t>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color w:val="auto"/>
                    <w:kern w:val="2"/>
                    <w:sz w:val="21"/>
                    <w:szCs w:val="21"/>
                    <w:lang w:bidi="ar"/>
                  </w:rPr>
                  <w:t>0.4865</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color w:val="auto"/>
                    <w:kern w:val="2"/>
                    <w:sz w:val="21"/>
                    <w:szCs w:val="21"/>
                    <w:lang w:bidi="ar"/>
                  </w:rPr>
                  <w:t>0.5035</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氨氮</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间歇排放</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ascii="Times New Roman" w:hAnsi="Times New Roman"/>
                    <w:color w:val="auto"/>
                    <w:kern w:val="2"/>
                    <w:sz w:val="21"/>
                    <w:szCs w:val="21"/>
                    <w:lang w:val="en-US" w:eastAsia="zh-CN" w:bidi="ar"/>
                  </w:rPr>
                  <w:t>2.5</w:t>
                </w:r>
                <w:r>
                  <w:rPr>
                    <w:rFonts w:hint="eastAsia" w:ascii="Times New Roman" w:hAnsi="Times New Roman"/>
                    <w:color w:val="auto"/>
                    <w:kern w:val="2"/>
                    <w:sz w:val="21"/>
                    <w:szCs w:val="21"/>
                    <w:lang w:bidi="ar"/>
                  </w:rPr>
                  <w:t>mg/L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ascii="Times New Roman" w:hAnsi="Times New Roman"/>
                    <w:kern w:val="2"/>
                    <w:sz w:val="21"/>
                    <w:szCs w:val="21"/>
                    <w:lang w:bidi="ar"/>
                  </w:rPr>
                  <w:t>8mg</w:t>
                </w:r>
                <w:r>
                  <w:rPr>
                    <w:rFonts w:hint="eastAsia"/>
                    <w:kern w:val="2"/>
                    <w:sz w:val="21"/>
                    <w:szCs w:val="21"/>
                    <w:lang w:bidi="ar"/>
                  </w:rPr>
                  <w:t>/</w:t>
                </w:r>
                <w:r>
                  <w:rPr>
                    <w:rFonts w:hint="eastAsia" w:ascii="Times New Roman" w:hAnsi="Times New Roman"/>
                    <w:kern w:val="2"/>
                    <w:sz w:val="21"/>
                    <w:szCs w:val="21"/>
                    <w:lang w:bidi="ar"/>
                  </w:rPr>
                  <w:t>L</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hint="default" w:ascii="Times New Roman" w:hAnsi="Times New Roman" w:eastAsia="宋体" w:cs="Times New Roman"/>
                    <w:kern w:val="2"/>
                    <w:sz w:val="21"/>
                    <w:szCs w:val="21"/>
                    <w:lang w:val="en-US" w:eastAsia="zh-CN"/>
                  </w:rPr>
                </w:pPr>
                <w:r>
                  <w:rPr>
                    <w:rFonts w:ascii="Times New Roman" w:hAnsi="Times New Roman" w:cs="Times New Roman"/>
                    <w:color w:val="auto"/>
                    <w:kern w:val="2"/>
                    <w:sz w:val="21"/>
                    <w:szCs w:val="21"/>
                    <w:lang w:bidi="ar"/>
                  </w:rPr>
                  <w:t>0.0</w:t>
                </w:r>
                <w:r>
                  <w:rPr>
                    <w:rFonts w:hint="eastAsia" w:ascii="Times New Roman" w:hAnsi="Times New Roman" w:cs="Times New Roman"/>
                    <w:color w:val="auto"/>
                    <w:kern w:val="2"/>
                    <w:sz w:val="21"/>
                    <w:szCs w:val="21"/>
                    <w:lang w:val="en-US" w:eastAsia="zh-CN" w:bidi="ar"/>
                  </w:rPr>
                  <w:t>31525</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color w:val="auto"/>
                    <w:kern w:val="2"/>
                    <w:sz w:val="21"/>
                    <w:szCs w:val="21"/>
                    <w:lang w:bidi="ar"/>
                  </w:rPr>
                  <w:t>0.04028</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widowControl w:val="0"/>
                  <w:spacing w:before="0" w:beforeAutospacing="0" w:after="0" w:afterAutospacing="0"/>
                  <w:jc w:val="center"/>
                  <w:rPr>
                    <w:rFonts w:cs="Times New Roman"/>
                    <w:kern w:val="2"/>
                    <w:sz w:val="21"/>
                    <w:szCs w:val="21"/>
                  </w:rPr>
                </w:pPr>
                <w:r>
                  <w:rPr>
                    <w:rFonts w:hint="eastAsia"/>
                    <w:kern w:val="2"/>
                    <w:sz w:val="21"/>
                    <w:szCs w:val="21"/>
                    <w:lang w:bidi="ar"/>
                  </w:rPr>
                  <w:t>无</w:t>
                </w:r>
              </w:p>
            </w:tc>
          </w:tr>
        </w:tbl>
        <w:p>
          <w:pPr>
            <w:pStyle w:val="170"/>
            <w:ind w:firstLine="0" w:firstLineChars="0"/>
            <w:rPr>
              <w:rFonts w:hint="eastAsia" w:ascii="Calibri" w:hAnsi="Calibri" w:eastAsia="宋体" w:cs="Times New Roman"/>
              <w:kern w:val="2"/>
              <w:sz w:val="21"/>
              <w:szCs w:val="22"/>
              <w:lang w:val="en-US" w:eastAsia="zh-CN" w:bidi="ar-SA"/>
            </w:rPr>
          </w:pPr>
        </w:p>
        <w:p>
          <w:pPr>
            <w:pStyle w:val="170"/>
            <w:ind w:firstLine="0" w:firstLineChars="0"/>
          </w:pPr>
        </w:p>
      </w:sdtContent>
    </w:sdt>
    <w:p>
      <w:pPr>
        <w:pStyle w:val="48"/>
        <w:numPr>
          <w:ilvl w:val="0"/>
          <w:numId w:val="33"/>
        </w:numPr>
        <w:rPr>
          <w:rFonts w:ascii="宋体" w:hAnsi="宋体"/>
          <w:bCs w:val="0"/>
          <w:szCs w:val="21"/>
        </w:rPr>
      </w:pPr>
      <w:r>
        <w:rPr>
          <w:rFonts w:hint="eastAsia" w:ascii="宋体" w:hAnsi="宋体"/>
        </w:rPr>
        <w:t>防治污染设</w:t>
      </w:r>
      <w:r>
        <w:rPr>
          <w:rFonts w:hint="eastAsia" w:ascii="宋体" w:hAnsi="宋体"/>
          <w:szCs w:val="21"/>
        </w:rPr>
        <w:t>施的建设和运行情况</w:t>
      </w:r>
    </w:p>
    <w:sdt>
      <w:sdtPr>
        <w:alias w:val="是否适用：防治污染设施的建设和运行情况[双击切换]"/>
        <w:tag w:val="_GBC_665c787eaadc48818cfce34c2b6143fc"/>
        <w:id w:val="25958"/>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c27cfa9787844f19acb594b8dca60fdb"/>
        <w:id w:val="25959"/>
        <w:placeholder>
          <w:docPart w:val="GBC22222222222222222222222222222"/>
        </w:placeholder>
      </w:sdtPr>
      <w:sdtContent>
        <w:p>
          <w:pPr>
            <w:autoSpaceDE w:val="0"/>
            <w:spacing w:line="400" w:lineRule="exact"/>
            <w:ind w:firstLine="420" w:firstLineChars="200"/>
            <w:rPr>
              <w:szCs w:val="21"/>
            </w:rPr>
          </w:pPr>
          <w:r>
            <w:rPr>
              <w:rFonts w:hint="eastAsia"/>
              <w:szCs w:val="21"/>
              <w:lang w:bidi="ar"/>
            </w:rPr>
            <w:t>亿康药业作为医药制造企业，严格遵守国家及地方政府环保法律、法规和相关规定，做好生产运行过程中的环境保护工作，确保各污染物严格按照法规要求达标排放和合理处置。</w:t>
          </w:r>
        </w:p>
        <w:p>
          <w:pPr>
            <w:autoSpaceDE w:val="0"/>
            <w:spacing w:line="400" w:lineRule="exact"/>
            <w:ind w:firstLine="420" w:firstLineChars="200"/>
            <w:rPr>
              <w:szCs w:val="21"/>
            </w:rPr>
          </w:pPr>
          <w:r>
            <w:rPr>
              <w:rFonts w:hint="eastAsia"/>
              <w:szCs w:val="21"/>
              <w:lang w:bidi="ar"/>
            </w:rPr>
            <w:t>报告期内，亿康药业各项防治污染设施运行正常，各类污染物排放满足排放标准限值要求，主要污染防治设施情况如下表：</w:t>
          </w:r>
        </w:p>
        <w:tbl>
          <w:tblPr>
            <w:tblStyle w:val="1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537"/>
            <w:gridCol w:w="816"/>
            <w:gridCol w:w="1122"/>
            <w:gridCol w:w="1542"/>
            <w:gridCol w:w="926"/>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rPr>
                  <w:t>污染物类别</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主要污染物种类</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排放形式</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污染防治设施名称</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污染防治设施工艺</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是否为可行技术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废气</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有机物，颗粒物，挥发性有机物</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有组织</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工艺有机废气治理设施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活性炭吸附再生,碱吸收,冷凝回收、布袋除尘</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挥发性有机物以非甲烷总烃表征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jc w:val="center"/>
                  <w:rPr>
                    <w:rFonts w:ascii="Times New Roman" w:hAnsi="Times New Roman" w:cs="Times New Roman"/>
                    <w:szCs w:val="21"/>
                  </w:rPr>
                </w:pP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挥发性有机物,臭气浓度,氨（氨气）,硫化氢</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有组织</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废水处理站废气治理设施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氧化技术</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挥发性有机物以非甲烷总烃表征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jc w:val="center"/>
                  <w:rPr>
                    <w:rFonts w:ascii="Times New Roman" w:hAnsi="Times New Roman" w:cs="Times New Roman"/>
                    <w:szCs w:val="21"/>
                  </w:rPr>
                </w:pP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臭气浓度,挥发性有机物</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有组织</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危废暂存废气治理设施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氧化技术</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tcBorders>
                  <w:top w:val="nil"/>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废水</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化学需氧量,氨氮（</w:t>
                </w:r>
                <w:r>
                  <w:rPr>
                    <w:rFonts w:hint="eastAsia" w:ascii="Times New Roman" w:hAnsi="Times New Roman"/>
                    <w:szCs w:val="21"/>
                    <w:lang w:bidi="ar"/>
                  </w:rPr>
                  <w:t>NH3</w:t>
                </w:r>
                <w:r>
                  <w:rPr>
                    <w:rFonts w:hint="eastAsia"/>
                    <w:szCs w:val="21"/>
                    <w:lang w:bidi="ar"/>
                  </w:rPr>
                  <w:t>-</w:t>
                </w:r>
                <w:r>
                  <w:rPr>
                    <w:rFonts w:hint="eastAsia" w:ascii="Times New Roman" w:hAnsi="Times New Roman"/>
                    <w:szCs w:val="21"/>
                    <w:lang w:bidi="ar"/>
                  </w:rPr>
                  <w:t>N</w:t>
                </w:r>
                <w:r>
                  <w:rPr>
                    <w:rFonts w:hint="eastAsia"/>
                    <w:szCs w:val="21"/>
                    <w:lang w:bidi="ar"/>
                  </w:rPr>
                  <w:t>）,总氮（以</w:t>
                </w:r>
                <w:r>
                  <w:rPr>
                    <w:rFonts w:hint="eastAsia" w:ascii="Times New Roman" w:hAnsi="Times New Roman"/>
                    <w:szCs w:val="21"/>
                    <w:lang w:bidi="ar"/>
                  </w:rPr>
                  <w:t>N</w:t>
                </w:r>
                <w:r>
                  <w:rPr>
                    <w:rFonts w:hint="eastAsia"/>
                    <w:szCs w:val="21"/>
                    <w:lang w:bidi="ar"/>
                  </w:rPr>
                  <w:t>计）,总磷（以</w:t>
                </w:r>
                <w:r>
                  <w:rPr>
                    <w:rFonts w:hint="eastAsia" w:ascii="Times New Roman" w:hAnsi="Times New Roman"/>
                    <w:szCs w:val="21"/>
                    <w:lang w:bidi="ar"/>
                  </w:rPr>
                  <w:t>P</w:t>
                </w:r>
                <w:r>
                  <w:rPr>
                    <w:rFonts w:hint="eastAsia"/>
                    <w:szCs w:val="21"/>
                    <w:lang w:bidi="ar"/>
                  </w:rPr>
                  <w:t>计）,急性毒性,</w:t>
                </w:r>
                <w:r>
                  <w:rPr>
                    <w:rFonts w:hint="eastAsia" w:ascii="Times New Roman" w:hAnsi="Times New Roman"/>
                    <w:szCs w:val="21"/>
                    <w:lang w:bidi="ar"/>
                  </w:rPr>
                  <w:t>pH</w:t>
                </w:r>
                <w:r>
                  <w:rPr>
                    <w:rFonts w:hint="eastAsia"/>
                    <w:szCs w:val="21"/>
                    <w:lang w:bidi="ar"/>
                  </w:rPr>
                  <w:t>值,五日生化需氧量,悬浮物,挥发酚,色度,总有机碳,总铜,总锌,总氰化物,硫化物,硝基苯类,苯胺类,二氯甲烷,动植物油,流量</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间接排放</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综合废水处理设施</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中和,调节,升流式厌氧污泥床（</w:t>
                </w:r>
                <w:r>
                  <w:rPr>
                    <w:rFonts w:hint="eastAsia" w:ascii="Times New Roman" w:hAnsi="Times New Roman"/>
                    <w:szCs w:val="21"/>
                    <w:lang w:bidi="ar"/>
                  </w:rPr>
                  <w:t>UASB</w:t>
                </w:r>
                <w:r>
                  <w:rPr>
                    <w:rFonts w:hint="eastAsia"/>
                    <w:szCs w:val="21"/>
                    <w:lang w:bidi="ar"/>
                  </w:rPr>
                  <w:t>）,混凝沉淀,高级氧化</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jc w:val="center"/>
                  <w:rPr>
                    <w:rFonts w:ascii="Times New Roman" w:hAnsi="Times New Roman" w:cs="Times New Roman"/>
                    <w:szCs w:val="21"/>
                  </w:rPr>
                </w:pP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化学需氧量</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无</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装置内降温后，回用</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是</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蒸馏冷凝水回用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废弃物</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一般工业废弃物，其他固体废物（含半液态、液态废物），提炼后的药渣</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r>
                  <w:rPr>
                    <w:rFonts w:hint="eastAsia"/>
                    <w:szCs w:val="21"/>
                    <w:lang w:bidi="ar"/>
                  </w:rPr>
                  <w:t>委托处置</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w:t>
                </w:r>
              </w:p>
            </w:tc>
            <w:tc>
              <w:tcPr>
                <w:tcW w:w="15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r>
                  <w:rPr>
                    <w:rFonts w:hint="eastAsia"/>
                    <w:szCs w:val="21"/>
                    <w:lang w:bidi="ar"/>
                  </w:rPr>
                  <w:t>/</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center"/>
                  <w:rPr>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val="0"/>
                  <w:jc w:val="both"/>
                  <w:rPr>
                    <w:szCs w:val="21"/>
                  </w:rPr>
                </w:pPr>
              </w:p>
            </w:tc>
          </w:tr>
        </w:tbl>
        <w:p>
          <w:pPr>
            <w:rPr>
              <w:rFonts w:ascii="宋体" w:hAnsi="宋体" w:eastAsia="宋体" w:cs="宋体"/>
              <w:sz w:val="21"/>
              <w:szCs w:val="21"/>
              <w:lang w:val="en-US" w:eastAsia="zh-CN" w:bidi="ar-SA"/>
            </w:rPr>
          </w:pPr>
        </w:p>
        <w:p/>
      </w:sdtContent>
    </w:sdt>
    <w:p>
      <w:pPr>
        <w:pStyle w:val="170"/>
        <w:ind w:firstLine="0" w:firstLineChars="0"/>
        <w:rPr>
          <w:rFonts w:ascii="宋体" w:hAnsi="宋体"/>
        </w:rPr>
      </w:pPr>
    </w:p>
    <w:p>
      <w:pPr>
        <w:pStyle w:val="48"/>
        <w:numPr>
          <w:ilvl w:val="0"/>
          <w:numId w:val="33"/>
        </w:numPr>
        <w:rPr>
          <w:rFonts w:ascii="宋体" w:hAnsi="宋体"/>
          <w:bCs w:val="0"/>
          <w:szCs w:val="22"/>
        </w:rPr>
      </w:pPr>
      <w:r>
        <w:rPr>
          <w:rFonts w:hint="eastAsia" w:ascii="宋体" w:hAnsi="宋体"/>
          <w:szCs w:val="21"/>
        </w:rPr>
        <w:t>建设项目环境影响评价及其他环境保护行政许可情况</w:t>
      </w:r>
    </w:p>
    <w:sdt>
      <w:sdtPr>
        <w:rPr>
          <w:rFonts w:hint="eastAsia" w:ascii="宋体" w:hAnsi="宋体"/>
        </w:rPr>
        <w:alias w:val="是否适用：环境影响评价及其他环境保护行政许可[双击切换]"/>
        <w:tag w:val="_GBC_b1119f4f82174fe198452c8d630e1378"/>
        <w:id w:val="25961"/>
        <w:placeholder>
          <w:docPart w:val="GBC22222222222222222222222222222"/>
        </w:placeholder>
      </w:sdtPr>
      <w:sdtEndPr>
        <w:rPr>
          <w:rFonts w:hint="eastAsia" w:ascii="宋体" w:hAnsi="宋体"/>
        </w:rPr>
      </w:sdtEndPr>
      <w:sdtContent>
        <w:p>
          <w:pPr>
            <w:pStyle w:val="170"/>
            <w:ind w:firstLine="0" w:firstLineChars="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25962"/>
        <w:placeholder>
          <w:docPart w:val="GBC22222222222222222222222222222"/>
        </w:placeholder>
      </w:sdtPr>
      <w:sdtContent>
        <w:sdt>
          <w:sdtPr>
            <w:rPr>
              <w:rFonts w:ascii="宋体" w:hAnsi="宋体" w:eastAsia="宋体" w:cs="宋体"/>
              <w:sz w:val="21"/>
              <w:szCs w:val="24"/>
              <w:lang w:val="en-US" w:eastAsia="zh-CN" w:bidi="ar-SA"/>
            </w:rPr>
            <w:alias w:val="环境影响评价及其他环境保护行政许可"/>
            <w:tag w:val="_GBC_514c62e995014de18ee8286e2b72f880"/>
            <w:id w:val="25963"/>
            <w:placeholder>
              <w:docPart w:val="{cc388f32-66fe-4b08-9244-6803c5cdcfce}"/>
            </w:placeholder>
          </w:sdtPr>
          <w:sdtEndPr>
            <w:rPr>
              <w:rFonts w:ascii="宋体" w:hAnsi="宋体" w:eastAsia="宋体" w:cs="宋体"/>
              <w:sz w:val="21"/>
              <w:szCs w:val="24"/>
              <w:lang w:val="en-US" w:eastAsia="zh-CN" w:bidi="ar-SA"/>
            </w:rPr>
          </w:sdtEndPr>
          <w:sdtContent>
            <w:p>
              <w:pPr>
                <w:spacing w:line="400" w:lineRule="exact"/>
                <w:ind w:firstLine="420" w:firstLineChars="200"/>
                <w:rPr>
                  <w:rFonts w:hint="eastAsia" w:ascii="Times New Roman" w:hAnsi="Times New Roman"/>
                  <w:sz w:val="21"/>
                </w:rPr>
              </w:pPr>
              <w:r>
                <w:rPr>
                  <w:rFonts w:hint="eastAsia" w:ascii="Times New Roman" w:hAnsi="Times New Roman"/>
                  <w:sz w:val="21"/>
                </w:rPr>
                <w:t>亿康药业严格遵守《中华人民共和国环境影响评价法》等相关法律法规要求开展建设项目环境影响评价工作，建设过程中合理安排环保工程施工，严格执行环保设施跟主体设施工程同时设计、同时施工、同时投产使用的环保“三同时”制度，生产厂区GMP（药品生产质量管理规范）改造工程已获得自治区环境保护局关于环境影响评价及验收批复。</w:t>
              </w:r>
            </w:p>
            <w:p>
              <w:pPr>
                <w:spacing w:line="400" w:lineRule="exact"/>
                <w:ind w:firstLine="420" w:firstLineChars="200"/>
                <w:rPr>
                  <w:rFonts w:ascii="宋体" w:hAnsi="宋体" w:eastAsia="宋体" w:cs="宋体"/>
                  <w:sz w:val="21"/>
                  <w:szCs w:val="24"/>
                  <w:lang w:val="en-US" w:eastAsia="zh-CN" w:bidi="ar-SA"/>
                </w:rPr>
              </w:pPr>
              <w:r>
                <w:rPr>
                  <w:rFonts w:hint="eastAsia" w:ascii="Times New Roman" w:hAnsi="Times New Roman"/>
                  <w:sz w:val="21"/>
                </w:rPr>
                <w:t>报告期内，亿康药业所有投入生产的建设项目均有环境影响评价批复和验收批复，依法持有排污许可证并按照排污许可证的要求排放污染物。</w:t>
              </w:r>
            </w:p>
          </w:sdtContent>
        </w:sdt>
        <w:p/>
      </w:sdtContent>
    </w:sdt>
    <w:p/>
    <w:p>
      <w:pPr>
        <w:pStyle w:val="48"/>
        <w:numPr>
          <w:ilvl w:val="0"/>
          <w:numId w:val="33"/>
        </w:numPr>
        <w:rPr>
          <w:rFonts w:ascii="宋体" w:hAnsi="宋体"/>
        </w:rPr>
      </w:pPr>
      <w:r>
        <w:rPr>
          <w:rFonts w:hint="eastAsia" w:ascii="宋体" w:hAnsi="宋体"/>
          <w:szCs w:val="21"/>
        </w:rPr>
        <w:t>突发环境事件应急预案</w:t>
      </w:r>
    </w:p>
    <w:sdt>
      <w:sdtPr>
        <w:alias w:val="是否适用：突发环境事件应急预案[双击切换]"/>
        <w:tag w:val="_GBC_320f7292de294add91d1065ccfdd3b3b"/>
        <w:id w:val="25964"/>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突发环境事件应急预案"/>
        <w:tag w:val="_GBC_e110284d79c948878cb696cb6474bb1e"/>
        <w:id w:val="25965"/>
        <w:placeholder>
          <w:docPart w:val="GBC22222222222222222222222222222"/>
        </w:placeholder>
      </w:sdtPr>
      <w:sdtContent>
        <w:sdt>
          <w:sdtPr>
            <w:alias w:val="突发环境事件应急预案"/>
            <w:tag w:val="_GBC_e110284d79c948878cb696cb6474bb1e"/>
            <w:id w:val="25966"/>
            <w:placeholder>
              <w:docPart w:val="{9c9c4822-b954-4f85-90f6-8afb037bf7bf}"/>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eastAsia"/>
                </w:rPr>
                <w:t>亿康药业加强环境监督管理，尽力预防环境污染事故发生，建立健全环境污染事故应急机制，提高企业应对突发环境污染事故的能力，依据《中华人民共和国环境保护法》《中华人民共和国安全生产法》《中华人民共和国突发事件应对法》等相关规定的要求，结合自身实际并经多次讨论完成编制《突发环境事件应急预案》，并向当地生态环境保护部门备案。通过定期开展预案演练来检验预案的适应性和有效性，评估预案的可操作性，并根据评估结果对预案完善修改，进一步防范和高效应对突发环境污染事件。</w:t>
              </w:r>
            </w:p>
          </w:sdtContent>
        </w:sdt>
        <w:p/>
      </w:sdtContent>
    </w:sdt>
    <w:p/>
    <w:p>
      <w:pPr>
        <w:pStyle w:val="48"/>
        <w:numPr>
          <w:ilvl w:val="0"/>
          <w:numId w:val="33"/>
        </w:numPr>
        <w:rPr>
          <w:rFonts w:ascii="宋体" w:hAnsi="宋体"/>
          <w:bCs w:val="0"/>
          <w:szCs w:val="22"/>
        </w:rPr>
      </w:pPr>
      <w:r>
        <w:rPr>
          <w:rFonts w:hint="eastAsia" w:ascii="宋体" w:hAnsi="宋体"/>
          <w:szCs w:val="21"/>
        </w:rPr>
        <w:t>环境自行监测方案</w:t>
      </w:r>
    </w:p>
    <w:sdt>
      <w:sdtPr>
        <w:rPr>
          <w:rFonts w:hint="eastAsia" w:ascii="宋体" w:hAnsi="宋体"/>
        </w:rPr>
        <w:alias w:val="是否适用：环境自行监测方案[双击切换]"/>
        <w:tag w:val="_GBC_11a22cdfe2d94619a57dc598b14322b3"/>
        <w:id w:val="25967"/>
        <w:placeholder>
          <w:docPart w:val="GBC22222222222222222222222222222"/>
        </w:placeholder>
      </w:sdtPr>
      <w:sdtEndPr>
        <w:rPr>
          <w:rFonts w:hint="eastAsia" w:ascii="宋体" w:hAnsi="宋体"/>
        </w:rPr>
      </w:sdtEndPr>
      <w:sdtContent>
        <w:p>
          <w:pPr>
            <w:pStyle w:val="170"/>
            <w:ind w:firstLine="0" w:firstLineChars="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25968"/>
        <w:placeholder>
          <w:docPart w:val="GBC22222222222222222222222222222"/>
        </w:placeholder>
      </w:sdtPr>
      <w:sdtContent>
        <w:p/>
        <w:tbl>
          <w:tblPr>
            <w:tblStyle w:val="1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320"/>
            <w:gridCol w:w="2172"/>
            <w:gridCol w:w="2232"/>
            <w:gridCol w:w="672"/>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vAlign w:val="center"/>
              </w:tcPr>
              <w:p>
                <w:pPr>
                  <w:widowControl w:val="0"/>
                  <w:jc w:val="center"/>
                </w:pPr>
                <w:r>
                  <w:rPr>
                    <w:rFonts w:hint="eastAsia"/>
                  </w:rPr>
                  <w:t>监测类别</w:t>
                </w:r>
              </w:p>
            </w:tc>
            <w:tc>
              <w:tcPr>
                <w:tcW w:w="1320" w:type="dxa"/>
                <w:vAlign w:val="center"/>
              </w:tcPr>
              <w:p>
                <w:pPr>
                  <w:widowControl w:val="0"/>
                  <w:jc w:val="center"/>
                </w:pPr>
                <w:r>
                  <w:rPr>
                    <w:rFonts w:hint="eastAsia"/>
                  </w:rPr>
                  <w:t>主要监测点位名称</w:t>
                </w:r>
              </w:p>
            </w:tc>
            <w:tc>
              <w:tcPr>
                <w:tcW w:w="2172" w:type="dxa"/>
                <w:vAlign w:val="center"/>
              </w:tcPr>
              <w:p>
                <w:pPr>
                  <w:widowControl w:val="0"/>
                  <w:jc w:val="center"/>
                </w:pPr>
                <w:r>
                  <w:rPr>
                    <w:rFonts w:hint="eastAsia"/>
                  </w:rPr>
                  <w:t>监测内容</w:t>
                </w:r>
              </w:p>
            </w:tc>
            <w:tc>
              <w:tcPr>
                <w:tcW w:w="2232" w:type="dxa"/>
                <w:vAlign w:val="center"/>
              </w:tcPr>
              <w:p>
                <w:pPr>
                  <w:widowControl w:val="0"/>
                  <w:jc w:val="center"/>
                </w:pPr>
                <w:r>
                  <w:rPr>
                    <w:rFonts w:hint="eastAsia"/>
                  </w:rPr>
                  <w:t>污染物名称</w:t>
                </w:r>
              </w:p>
            </w:tc>
            <w:tc>
              <w:tcPr>
                <w:tcW w:w="672" w:type="dxa"/>
                <w:vAlign w:val="center"/>
              </w:tcPr>
              <w:p>
                <w:pPr>
                  <w:widowControl w:val="0"/>
                  <w:jc w:val="center"/>
                </w:pPr>
                <w:r>
                  <w:rPr>
                    <w:rFonts w:hint="eastAsia"/>
                  </w:rPr>
                  <w:t>监测设施</w:t>
                </w:r>
              </w:p>
            </w:tc>
            <w:tc>
              <w:tcPr>
                <w:tcW w:w="1934" w:type="dxa"/>
                <w:vAlign w:val="center"/>
              </w:tcPr>
              <w:p>
                <w:pPr>
                  <w:widowControl w:val="0"/>
                  <w:jc w:val="center"/>
                </w:pPr>
                <w:r>
                  <w:rPr>
                    <w:rFonts w:hint="eastAsia"/>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restart"/>
                <w:vAlign w:val="center"/>
              </w:tcPr>
              <w:p>
                <w:pPr>
                  <w:widowControl w:val="0"/>
                  <w:jc w:val="center"/>
                </w:pPr>
                <w:r>
                  <w:rPr>
                    <w:rFonts w:hint="eastAsia"/>
                  </w:rPr>
                  <w:t>废气</w:t>
                </w:r>
              </w:p>
            </w:tc>
            <w:tc>
              <w:tcPr>
                <w:tcW w:w="1320" w:type="dxa"/>
                <w:vMerge w:val="restart"/>
                <w:vAlign w:val="center"/>
              </w:tcPr>
              <w:p>
                <w:pPr>
                  <w:widowControl w:val="0"/>
                  <w:jc w:val="both"/>
                </w:pPr>
                <w:r>
                  <w:rPr>
                    <w:rFonts w:hint="eastAsia"/>
                  </w:rPr>
                  <w:t>原料药生产车间排放口</w:t>
                </w:r>
              </w:p>
            </w:tc>
            <w:tc>
              <w:tcPr>
                <w:tcW w:w="2172" w:type="dxa"/>
                <w:vMerge w:val="restart"/>
                <w:vAlign w:val="center"/>
              </w:tcPr>
              <w:p>
                <w:pPr>
                  <w:widowControl w:val="0"/>
                  <w:jc w:val="both"/>
                </w:pPr>
                <w:r>
                  <w:rPr>
                    <w:rFonts w:hint="eastAsia"/>
                  </w:rPr>
                  <w:t>烟气流速，烟气温度，烟气压力</w:t>
                </w:r>
              </w:p>
            </w:tc>
            <w:tc>
              <w:tcPr>
                <w:tcW w:w="2232" w:type="dxa"/>
                <w:vAlign w:val="center"/>
              </w:tcPr>
              <w:p>
                <w:pPr>
                  <w:widowControl w:val="0"/>
                  <w:jc w:val="both"/>
                </w:pPr>
                <w:r>
                  <w:rPr>
                    <w:rFonts w:hint="eastAsia"/>
                  </w:rPr>
                  <w:t>挥发性有机物</w:t>
                </w:r>
              </w:p>
            </w:tc>
            <w:tc>
              <w:tcPr>
                <w:tcW w:w="672" w:type="dxa"/>
                <w:vAlign w:val="center"/>
              </w:tcPr>
              <w:p>
                <w:pPr>
                  <w:widowControl w:val="0"/>
                  <w:jc w:val="center"/>
                </w:pPr>
                <w:r>
                  <w:rPr>
                    <w:rFonts w:hint="eastAsia"/>
                  </w:rPr>
                  <w:t>手工</w:t>
                </w:r>
              </w:p>
            </w:tc>
            <w:tc>
              <w:tcPr>
                <w:tcW w:w="1934" w:type="dxa"/>
                <w:vAlign w:val="center"/>
              </w:tcPr>
              <w:p>
                <w:pPr>
                  <w:widowControl w:val="0"/>
                  <w:jc w:val="both"/>
                </w:pPr>
                <w:r>
                  <w:rPr>
                    <w:rFonts w:hint="eastAsia"/>
                  </w:rPr>
                  <w:t>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both"/>
                </w:pPr>
              </w:p>
            </w:tc>
            <w:tc>
              <w:tcPr>
                <w:tcW w:w="2232" w:type="dxa"/>
                <w:vAlign w:val="center"/>
              </w:tcPr>
              <w:p>
                <w:pPr>
                  <w:widowControl w:val="0"/>
                  <w:jc w:val="both"/>
                </w:pPr>
                <w:r>
                  <w:rPr>
                    <w:rFonts w:hint="eastAsia"/>
                  </w:rPr>
                  <w:t>颗粒物</w:t>
                </w:r>
              </w:p>
            </w:tc>
            <w:tc>
              <w:tcPr>
                <w:tcW w:w="672" w:type="dxa"/>
                <w:vAlign w:val="center"/>
              </w:tcPr>
              <w:p>
                <w:pPr>
                  <w:widowControl w:val="0"/>
                  <w:jc w:val="center"/>
                </w:pPr>
                <w:r>
                  <w:rPr>
                    <w:rFonts w:hint="eastAsia"/>
                  </w:rPr>
                  <w:t>手工</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719" w:type="dxa"/>
                <w:vMerge w:val="continue"/>
                <w:vAlign w:val="center"/>
              </w:tcPr>
              <w:p>
                <w:pPr>
                  <w:widowControl w:val="0"/>
                  <w:jc w:val="center"/>
                </w:pPr>
              </w:p>
            </w:tc>
            <w:tc>
              <w:tcPr>
                <w:tcW w:w="1320" w:type="dxa"/>
                <w:vMerge w:val="restart"/>
                <w:vAlign w:val="center"/>
              </w:tcPr>
              <w:p>
                <w:pPr>
                  <w:widowControl w:val="0"/>
                  <w:jc w:val="both"/>
                </w:pPr>
                <w:r>
                  <w:rPr>
                    <w:rFonts w:hint="eastAsia"/>
                  </w:rPr>
                  <w:t>废水处理站废气排放口</w:t>
                </w:r>
              </w:p>
            </w:tc>
            <w:tc>
              <w:tcPr>
                <w:tcW w:w="2172" w:type="dxa"/>
                <w:vMerge w:val="restart"/>
                <w:vAlign w:val="center"/>
              </w:tcPr>
              <w:p>
                <w:pPr>
                  <w:widowControl w:val="0"/>
                  <w:jc w:val="both"/>
                </w:pPr>
                <w:r>
                  <w:rPr>
                    <w:rFonts w:hint="eastAsia"/>
                  </w:rPr>
                  <w:t>氧含量,烟气流速,烟气温度,烟气压力,烟气量,烟道截面积</w:t>
                </w:r>
              </w:p>
            </w:tc>
            <w:tc>
              <w:tcPr>
                <w:tcW w:w="2232" w:type="dxa"/>
                <w:vAlign w:val="center"/>
              </w:tcPr>
              <w:p>
                <w:pPr>
                  <w:widowControl w:val="0"/>
                  <w:jc w:val="both"/>
                </w:pPr>
                <w:r>
                  <w:rPr>
                    <w:rFonts w:hint="eastAsia"/>
                  </w:rPr>
                  <w:t>臭气浓度，氨（氨气），硫化氢</w:t>
                </w:r>
              </w:p>
            </w:tc>
            <w:tc>
              <w:tcPr>
                <w:tcW w:w="672" w:type="dxa"/>
                <w:vAlign w:val="center"/>
              </w:tcPr>
              <w:p>
                <w:pPr>
                  <w:widowControl w:val="0"/>
                  <w:jc w:val="center"/>
                </w:pPr>
                <w:r>
                  <w:rPr>
                    <w:rFonts w:hint="eastAsia"/>
                  </w:rPr>
                  <w:t>手工</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both"/>
                </w:pPr>
              </w:p>
            </w:tc>
            <w:tc>
              <w:tcPr>
                <w:tcW w:w="2232" w:type="dxa"/>
                <w:vAlign w:val="center"/>
              </w:tcPr>
              <w:p>
                <w:pPr>
                  <w:widowControl w:val="0"/>
                  <w:jc w:val="both"/>
                </w:pPr>
                <w:r>
                  <w:rPr>
                    <w:rFonts w:hint="eastAsia"/>
                  </w:rPr>
                  <w:t>挥发性有机物</w:t>
                </w:r>
              </w:p>
            </w:tc>
            <w:tc>
              <w:tcPr>
                <w:tcW w:w="672" w:type="dxa"/>
                <w:vAlign w:val="center"/>
              </w:tcPr>
              <w:p>
                <w:pPr>
                  <w:widowControl w:val="0"/>
                  <w:jc w:val="center"/>
                </w:pPr>
                <w:r>
                  <w:rPr>
                    <w:rFonts w:hint="eastAsia"/>
                  </w:rPr>
                  <w:t>手工</w:t>
                </w:r>
              </w:p>
            </w:tc>
            <w:tc>
              <w:tcPr>
                <w:tcW w:w="1934" w:type="dxa"/>
                <w:vAlign w:val="center"/>
              </w:tcPr>
              <w:p>
                <w:pPr>
                  <w:widowControl w:val="0"/>
                  <w:jc w:val="both"/>
                </w:pPr>
                <w:r>
                  <w:rPr>
                    <w:szCs w:val="21"/>
                  </w:rPr>
                  <w:t>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restart"/>
                <w:vAlign w:val="center"/>
              </w:tcPr>
              <w:p>
                <w:pPr>
                  <w:widowControl w:val="0"/>
                  <w:jc w:val="both"/>
                </w:pPr>
                <w:r>
                  <w:rPr>
                    <w:rFonts w:hint="eastAsia"/>
                  </w:rPr>
                  <w:t>危险废物暂存间废气</w:t>
                </w:r>
              </w:p>
            </w:tc>
            <w:tc>
              <w:tcPr>
                <w:tcW w:w="2172" w:type="dxa"/>
                <w:vMerge w:val="restart"/>
                <w:vAlign w:val="center"/>
              </w:tcPr>
              <w:p>
                <w:pPr>
                  <w:widowControl w:val="0"/>
                  <w:jc w:val="both"/>
                </w:pPr>
                <w:r>
                  <w:rPr>
                    <w:rFonts w:hint="eastAsia"/>
                  </w:rPr>
                  <w:t>烟道截面积,烟气流速,烟气温度,烟气压力,烟气量,氧含量</w:t>
                </w:r>
              </w:p>
            </w:tc>
            <w:tc>
              <w:tcPr>
                <w:tcW w:w="2232" w:type="dxa"/>
                <w:vAlign w:val="center"/>
              </w:tcPr>
              <w:p>
                <w:pPr>
                  <w:widowControl w:val="0"/>
                  <w:jc w:val="both"/>
                </w:pPr>
                <w:r>
                  <w:rPr>
                    <w:rFonts w:hint="eastAsia"/>
                  </w:rPr>
                  <w:t>臭气浓度</w:t>
                </w:r>
              </w:p>
            </w:tc>
            <w:tc>
              <w:tcPr>
                <w:tcW w:w="672" w:type="dxa"/>
                <w:vAlign w:val="center"/>
              </w:tcPr>
              <w:p>
                <w:pPr>
                  <w:widowControl w:val="0"/>
                  <w:jc w:val="center"/>
                </w:pPr>
                <w:r>
                  <w:rPr>
                    <w:rFonts w:hint="eastAsia"/>
                  </w:rPr>
                  <w:t>手工</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both"/>
                </w:pPr>
              </w:p>
            </w:tc>
            <w:tc>
              <w:tcPr>
                <w:tcW w:w="2232" w:type="dxa"/>
                <w:vAlign w:val="center"/>
              </w:tcPr>
              <w:p>
                <w:pPr>
                  <w:widowControl w:val="0"/>
                  <w:jc w:val="both"/>
                </w:pPr>
                <w:r>
                  <w:rPr>
                    <w:rFonts w:hint="eastAsia"/>
                  </w:rPr>
                  <w:t>挥发性有机物</w:t>
                </w:r>
              </w:p>
            </w:tc>
            <w:tc>
              <w:tcPr>
                <w:tcW w:w="672" w:type="dxa"/>
                <w:vAlign w:val="center"/>
              </w:tcPr>
              <w:p>
                <w:pPr>
                  <w:widowControl w:val="0"/>
                  <w:jc w:val="center"/>
                </w:pPr>
                <w:r>
                  <w:rPr>
                    <w:rFonts w:hint="eastAsia"/>
                  </w:rPr>
                  <w:t>手工</w:t>
                </w:r>
              </w:p>
            </w:tc>
            <w:tc>
              <w:tcPr>
                <w:tcW w:w="1934" w:type="dxa"/>
                <w:vAlign w:val="center"/>
              </w:tcPr>
              <w:p>
                <w:pPr>
                  <w:widowControl w:val="0"/>
                  <w:jc w:val="both"/>
                </w:pPr>
                <w:r>
                  <w:rPr>
                    <w:rFonts w:hint="eastAsia"/>
                  </w:rPr>
                  <w:t>以非甲烷总烃表征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restart"/>
                <w:vAlign w:val="center"/>
              </w:tcPr>
              <w:p>
                <w:pPr>
                  <w:widowControl w:val="0"/>
                  <w:jc w:val="center"/>
                </w:pPr>
                <w:r>
                  <w:rPr>
                    <w:rFonts w:hint="eastAsia"/>
                  </w:rPr>
                  <w:t>废水</w:t>
                </w:r>
              </w:p>
            </w:tc>
            <w:tc>
              <w:tcPr>
                <w:tcW w:w="1320" w:type="dxa"/>
                <w:vMerge w:val="restart"/>
                <w:vAlign w:val="center"/>
              </w:tcPr>
              <w:p>
                <w:pPr>
                  <w:widowControl w:val="0"/>
                  <w:jc w:val="both"/>
                </w:pPr>
                <w:r>
                  <w:rPr>
                    <w:rFonts w:hint="eastAsia"/>
                  </w:rPr>
                  <w:t>废水总排口</w:t>
                </w:r>
              </w:p>
            </w:tc>
            <w:tc>
              <w:tcPr>
                <w:tcW w:w="2172" w:type="dxa"/>
                <w:vMerge w:val="restart"/>
                <w:vAlign w:val="center"/>
              </w:tcPr>
              <w:p>
                <w:pPr>
                  <w:widowControl w:val="0"/>
                  <w:jc w:val="center"/>
                </w:pPr>
                <w:r>
                  <w:rPr>
                    <w:rFonts w:hint="eastAsia"/>
                  </w:rPr>
                  <w:t>流量</w:t>
                </w:r>
              </w:p>
            </w:tc>
            <w:tc>
              <w:tcPr>
                <w:tcW w:w="2232" w:type="dxa"/>
                <w:vAlign w:val="center"/>
              </w:tcPr>
              <w:p>
                <w:pPr>
                  <w:widowControl w:val="0"/>
                  <w:jc w:val="both"/>
                </w:pPr>
                <w:r>
                  <w:rPr>
                    <w:rFonts w:hint="eastAsia" w:ascii="Times New Roman" w:hAnsi="Times New Roman"/>
                  </w:rPr>
                  <w:t>pH</w:t>
                </w:r>
                <w:r>
                  <w:rPr>
                    <w:rFonts w:hint="eastAsia"/>
                  </w:rPr>
                  <w:t>值</w:t>
                </w:r>
              </w:p>
            </w:tc>
            <w:tc>
              <w:tcPr>
                <w:tcW w:w="672" w:type="dxa"/>
                <w:vAlign w:val="center"/>
              </w:tcPr>
              <w:p>
                <w:pPr>
                  <w:widowControl w:val="0"/>
                  <w:jc w:val="center"/>
                </w:pPr>
                <w:r>
                  <w:rPr>
                    <w:rFonts w:hint="eastAsia"/>
                  </w:rPr>
                  <w:t>自动</w:t>
                </w:r>
              </w:p>
            </w:tc>
            <w:tc>
              <w:tcPr>
                <w:tcW w:w="1934" w:type="dxa"/>
                <w:vAlign w:val="center"/>
              </w:tcPr>
              <w:p>
                <w:pPr>
                  <w:widowControl w:val="0"/>
                  <w:jc w:val="both"/>
                </w:pPr>
                <w:r>
                  <w:rPr>
                    <w:rFonts w:hint="eastAsia"/>
                  </w:rPr>
                  <w:t>自动监测设备故障期间，采用手工监测，监测频次</w:t>
                </w:r>
                <w:r>
                  <w:rPr>
                    <w:rFonts w:hint="eastAsia" w:ascii="Times New Roman" w:hAnsi="Times New Roman"/>
                  </w:rPr>
                  <w:t>4</w:t>
                </w:r>
                <w:r>
                  <w:rPr>
                    <w:rFonts w:hint="eastAsia"/>
                  </w:rPr>
                  <w:t>次/日，每次监测间隔时间不超过</w:t>
                </w:r>
                <w:r>
                  <w:rPr>
                    <w:rFonts w:hint="eastAsia" w:ascii="Times New Roman" w:hAnsi="Times New Roman"/>
                  </w:rPr>
                  <w:t>6</w:t>
                </w:r>
                <w:r>
                  <w:rPr>
                    <w:rFonts w:hint="eastAsia"/>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center"/>
                </w:pPr>
              </w:p>
            </w:tc>
            <w:tc>
              <w:tcPr>
                <w:tcW w:w="2232" w:type="dxa"/>
                <w:vAlign w:val="center"/>
              </w:tcPr>
              <w:p>
                <w:pPr>
                  <w:widowControl w:val="0"/>
                  <w:jc w:val="both"/>
                </w:pPr>
                <w:r>
                  <w:rPr>
                    <w:rFonts w:hint="eastAsia"/>
                  </w:rPr>
                  <w:t>色度，悬浮物，急性毒性，五日生化需氧量</w:t>
                </w:r>
              </w:p>
            </w:tc>
            <w:tc>
              <w:tcPr>
                <w:tcW w:w="672" w:type="dxa"/>
                <w:vAlign w:val="center"/>
              </w:tcPr>
              <w:p>
                <w:pPr>
                  <w:widowControl w:val="0"/>
                  <w:jc w:val="center"/>
                </w:pPr>
                <w:r>
                  <w:rPr>
                    <w:rFonts w:hint="eastAsia"/>
                  </w:rPr>
                  <w:t>手工</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center"/>
                </w:pPr>
              </w:p>
            </w:tc>
            <w:tc>
              <w:tcPr>
                <w:tcW w:w="2232" w:type="dxa"/>
                <w:vAlign w:val="center"/>
              </w:tcPr>
              <w:p>
                <w:pPr>
                  <w:widowControl w:val="0"/>
                  <w:jc w:val="both"/>
                </w:pPr>
                <w:r>
                  <w:rPr>
                    <w:rFonts w:hint="eastAsia"/>
                  </w:rPr>
                  <w:t>化学需氧量</w:t>
                </w:r>
              </w:p>
            </w:tc>
            <w:tc>
              <w:tcPr>
                <w:tcW w:w="672" w:type="dxa"/>
                <w:vAlign w:val="center"/>
              </w:tcPr>
              <w:p>
                <w:pPr>
                  <w:widowControl w:val="0"/>
                  <w:jc w:val="center"/>
                </w:pPr>
                <w:r>
                  <w:rPr>
                    <w:rFonts w:hint="eastAsia"/>
                  </w:rPr>
                  <w:t>自动</w:t>
                </w:r>
              </w:p>
            </w:tc>
            <w:tc>
              <w:tcPr>
                <w:tcW w:w="1934" w:type="dxa"/>
                <w:vAlign w:val="center"/>
              </w:tcPr>
              <w:p>
                <w:pPr>
                  <w:widowControl w:val="0"/>
                  <w:jc w:val="both"/>
                </w:pPr>
                <w:r>
                  <w:rPr>
                    <w:rFonts w:hint="eastAsia"/>
                  </w:rPr>
                  <w:t>自动监测设备故障期间，采用手工监测，监测频次</w:t>
                </w:r>
                <w:r>
                  <w:rPr>
                    <w:rFonts w:hint="eastAsia" w:ascii="Times New Roman" w:hAnsi="Times New Roman"/>
                  </w:rPr>
                  <w:t>4</w:t>
                </w:r>
                <w:r>
                  <w:rPr>
                    <w:rFonts w:hint="eastAsia"/>
                  </w:rPr>
                  <w:t>次/日，每次监测间隔时间不超过</w:t>
                </w:r>
                <w:r>
                  <w:rPr>
                    <w:rFonts w:hint="eastAsia" w:ascii="Times New Roman" w:hAnsi="Times New Roman"/>
                  </w:rPr>
                  <w:t>6</w:t>
                </w:r>
                <w:r>
                  <w:rPr>
                    <w:rFonts w:hint="eastAsia"/>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center"/>
                </w:pPr>
              </w:p>
            </w:tc>
            <w:tc>
              <w:tcPr>
                <w:tcW w:w="2232" w:type="dxa"/>
                <w:vAlign w:val="center"/>
              </w:tcPr>
              <w:p>
                <w:pPr>
                  <w:widowControl w:val="0"/>
                  <w:jc w:val="both"/>
                </w:pPr>
                <w:r>
                  <w:rPr>
                    <w:rFonts w:hint="eastAsia"/>
                  </w:rPr>
                  <w:t>总有机碳，总铜，总锌，总氮（以</w:t>
                </w:r>
                <w:r>
                  <w:rPr>
                    <w:rFonts w:hint="eastAsia" w:ascii="Times New Roman" w:hAnsi="Times New Roman"/>
                  </w:rPr>
                  <w:t>N</w:t>
                </w:r>
                <w:r>
                  <w:rPr>
                    <w:rFonts w:hint="eastAsia"/>
                  </w:rPr>
                  <w:t>计），氨氮（</w:t>
                </w:r>
                <w:r>
                  <w:rPr>
                    <w:rFonts w:hint="eastAsia" w:ascii="Times New Roman" w:hAnsi="Times New Roman"/>
                  </w:rPr>
                  <w:t>NH3</w:t>
                </w:r>
                <w:r>
                  <w:rPr>
                    <w:rFonts w:hint="eastAsia"/>
                  </w:rPr>
                  <w:t>-</w:t>
                </w:r>
                <w:r>
                  <w:rPr>
                    <w:rFonts w:hint="eastAsia" w:ascii="Times New Roman" w:hAnsi="Times New Roman"/>
                  </w:rPr>
                  <w:t>N</w:t>
                </w:r>
                <w:r>
                  <w:rPr>
                    <w:rFonts w:hint="eastAsia"/>
                  </w:rPr>
                  <w:t>），总磷（以</w:t>
                </w:r>
                <w:r>
                  <w:rPr>
                    <w:rFonts w:hint="eastAsia" w:ascii="Times New Roman" w:hAnsi="Times New Roman"/>
                  </w:rPr>
                  <w:t>P</w:t>
                </w:r>
                <w:r>
                  <w:rPr>
                    <w:rFonts w:hint="eastAsia"/>
                  </w:rPr>
                  <w:t>计）</w:t>
                </w:r>
              </w:p>
            </w:tc>
            <w:tc>
              <w:tcPr>
                <w:tcW w:w="672" w:type="dxa"/>
                <w:vAlign w:val="center"/>
              </w:tcPr>
              <w:p>
                <w:pPr>
                  <w:widowControl w:val="0"/>
                  <w:jc w:val="center"/>
                </w:pPr>
                <w:r>
                  <w:rPr>
                    <w:rFonts w:hint="eastAsia"/>
                  </w:rPr>
                  <w:t>手工</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center"/>
                </w:pPr>
              </w:p>
            </w:tc>
            <w:tc>
              <w:tcPr>
                <w:tcW w:w="2232" w:type="dxa"/>
                <w:vAlign w:val="center"/>
              </w:tcPr>
              <w:p>
                <w:pPr>
                  <w:widowControl w:val="0"/>
                  <w:jc w:val="both"/>
                </w:pPr>
                <w:r>
                  <w:rPr>
                    <w:rFonts w:hint="eastAsia"/>
                  </w:rPr>
                  <w:t>硫化物，动植物油，挥发酚，二氯甲烷，硝基苯类，苯胺类，总氰化物</w:t>
                </w:r>
              </w:p>
            </w:tc>
            <w:tc>
              <w:tcPr>
                <w:tcW w:w="672" w:type="dxa"/>
                <w:vAlign w:val="center"/>
              </w:tcPr>
              <w:p>
                <w:pPr>
                  <w:widowControl w:val="0"/>
                  <w:jc w:val="center"/>
                </w:pPr>
                <w:r>
                  <w:rPr>
                    <w:rFonts w:hint="eastAsia"/>
                  </w:rPr>
                  <w:t>手工</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Merge w:val="continue"/>
                <w:vAlign w:val="center"/>
              </w:tcPr>
              <w:p>
                <w:pPr>
                  <w:widowControl w:val="0"/>
                  <w:jc w:val="both"/>
                </w:pPr>
              </w:p>
            </w:tc>
            <w:tc>
              <w:tcPr>
                <w:tcW w:w="2172" w:type="dxa"/>
                <w:vMerge w:val="continue"/>
                <w:vAlign w:val="center"/>
              </w:tcPr>
              <w:p>
                <w:pPr>
                  <w:widowControl w:val="0"/>
                  <w:jc w:val="center"/>
                </w:pPr>
              </w:p>
            </w:tc>
            <w:tc>
              <w:tcPr>
                <w:tcW w:w="2232" w:type="dxa"/>
                <w:vAlign w:val="center"/>
              </w:tcPr>
              <w:p>
                <w:pPr>
                  <w:widowControl w:val="0"/>
                  <w:jc w:val="both"/>
                </w:pPr>
                <w:r>
                  <w:rPr>
                    <w:szCs w:val="21"/>
                  </w:rPr>
                  <w:t>流量</w:t>
                </w:r>
              </w:p>
            </w:tc>
            <w:tc>
              <w:tcPr>
                <w:tcW w:w="672" w:type="dxa"/>
                <w:vAlign w:val="center"/>
              </w:tcPr>
              <w:p>
                <w:pPr>
                  <w:widowControl w:val="0"/>
                  <w:jc w:val="center"/>
                </w:pPr>
                <w:r>
                  <w:rPr>
                    <w:rFonts w:hint="eastAsia"/>
                  </w:rPr>
                  <w:t>自动</w:t>
                </w:r>
              </w:p>
            </w:tc>
            <w:tc>
              <w:tcPr>
                <w:tcW w:w="1934" w:type="dxa"/>
                <w:vAlign w:val="center"/>
              </w:tcPr>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vAlign w:val="center"/>
              </w:tcPr>
              <w:p>
                <w:pPr>
                  <w:widowControl w:val="0"/>
                  <w:jc w:val="center"/>
                </w:pPr>
              </w:p>
            </w:tc>
            <w:tc>
              <w:tcPr>
                <w:tcW w:w="1320" w:type="dxa"/>
                <w:vAlign w:val="center"/>
              </w:tcPr>
              <w:p>
                <w:pPr>
                  <w:widowControl w:val="0"/>
                  <w:jc w:val="both"/>
                </w:pPr>
                <w:r>
                  <w:rPr>
                    <w:rFonts w:hint="eastAsia"/>
                  </w:rPr>
                  <w:t>雨水排放口</w:t>
                </w:r>
              </w:p>
            </w:tc>
            <w:tc>
              <w:tcPr>
                <w:tcW w:w="2172" w:type="dxa"/>
                <w:vAlign w:val="center"/>
              </w:tcPr>
              <w:p>
                <w:pPr>
                  <w:widowControl w:val="0"/>
                  <w:jc w:val="center"/>
                </w:pPr>
                <w:r>
                  <w:rPr>
                    <w:rFonts w:hint="eastAsia"/>
                  </w:rPr>
                  <w:t>流量</w:t>
                </w:r>
              </w:p>
            </w:tc>
            <w:tc>
              <w:tcPr>
                <w:tcW w:w="2232" w:type="dxa"/>
                <w:vAlign w:val="center"/>
              </w:tcPr>
              <w:p>
                <w:pPr>
                  <w:widowControl w:val="0"/>
                  <w:jc w:val="both"/>
                </w:pPr>
                <w:r>
                  <w:rPr>
                    <w:rFonts w:hint="eastAsia" w:ascii="Times New Roman" w:hAnsi="Times New Roman"/>
                  </w:rPr>
                  <w:t>pH</w:t>
                </w:r>
                <w:r>
                  <w:rPr>
                    <w:rFonts w:hint="eastAsia"/>
                  </w:rPr>
                  <w:t>值，悬浮物，化学需氧量，氨氮（</w:t>
                </w:r>
                <w:r>
                  <w:rPr>
                    <w:rFonts w:hint="eastAsia" w:ascii="Times New Roman" w:hAnsi="Times New Roman"/>
                  </w:rPr>
                  <w:t>NH3</w:t>
                </w:r>
                <w:r>
                  <w:rPr>
                    <w:rFonts w:hint="eastAsia"/>
                  </w:rPr>
                  <w:t>-</w:t>
                </w:r>
                <w:r>
                  <w:rPr>
                    <w:rFonts w:hint="eastAsia" w:ascii="Times New Roman" w:hAnsi="Times New Roman"/>
                  </w:rPr>
                  <w:t>N</w:t>
                </w:r>
                <w:r>
                  <w:rPr>
                    <w:rFonts w:hint="eastAsia"/>
                  </w:rPr>
                  <w:t>）</w:t>
                </w:r>
              </w:p>
            </w:tc>
            <w:tc>
              <w:tcPr>
                <w:tcW w:w="672" w:type="dxa"/>
                <w:vAlign w:val="center"/>
              </w:tcPr>
              <w:p>
                <w:pPr>
                  <w:widowControl w:val="0"/>
                  <w:jc w:val="center"/>
                </w:pPr>
                <w:r>
                  <w:rPr>
                    <w:rFonts w:hint="eastAsia"/>
                  </w:rPr>
                  <w:t>手工</w:t>
                </w:r>
              </w:p>
            </w:tc>
            <w:tc>
              <w:tcPr>
                <w:tcW w:w="1934" w:type="dxa"/>
                <w:vAlign w:val="center"/>
              </w:tcPr>
              <w:p>
                <w:pPr>
                  <w:widowControl w:val="0"/>
                  <w:jc w:val="both"/>
                </w:pPr>
                <w:r>
                  <w:rPr>
                    <w:rFonts w:hint="eastAsia"/>
                  </w:rPr>
                  <w:t>排放期间按日监测</w:t>
                </w:r>
              </w:p>
            </w:tc>
          </w:tr>
        </w:tbl>
        <w:p/>
      </w:sdtContent>
    </w:sdt>
    <w:p/>
    <w:p>
      <w:pPr>
        <w:pStyle w:val="48"/>
        <w:numPr>
          <w:ilvl w:val="0"/>
          <w:numId w:val="33"/>
        </w:numPr>
        <w:rPr>
          <w:rFonts w:ascii="宋体" w:hAnsi="宋体" w:cs="宋体"/>
          <w:kern w:val="0"/>
          <w:szCs w:val="21"/>
        </w:rPr>
      </w:pPr>
      <w:r>
        <w:rPr>
          <w:rFonts w:hint="eastAsia" w:ascii="宋体" w:hAnsi="宋体" w:cs="宋体"/>
          <w:kern w:val="0"/>
          <w:szCs w:val="21"/>
        </w:rPr>
        <w:t>报告期内因环境问题受到行政处罚的情况</w:t>
      </w:r>
    </w:p>
    <w:sdt>
      <w:sdtPr>
        <w:alias w:val="是否适用：报告期内因环境问题受到行政处罚的情况[双击切换]"/>
        <w:tag w:val="_GBC_60b589f1d48b40cdb553a3dca08d1b42"/>
        <w:id w:val="25969"/>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8"/>
        <w:numPr>
          <w:ilvl w:val="0"/>
          <w:numId w:val="33"/>
        </w:numPr>
        <w:rPr>
          <w:rFonts w:ascii="宋体" w:hAnsi="宋体"/>
          <w:bCs w:val="0"/>
          <w:szCs w:val="22"/>
        </w:rPr>
      </w:pPr>
      <w:r>
        <w:rPr>
          <w:rFonts w:hint="eastAsia" w:ascii="宋体" w:hAnsi="宋体"/>
          <w:szCs w:val="21"/>
        </w:rPr>
        <w:t>其他应当公开的环境信息</w:t>
      </w:r>
    </w:p>
    <w:sdt>
      <w:sdtPr>
        <w:alias w:val="是否适用：其他应当公开的环境信息[双击切换]"/>
        <w:tag w:val="_GBC_98ced024394941ff987ebfb84f969979"/>
        <w:id w:val="25970"/>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6"/>
        <w:numPr>
          <w:ilvl w:val="0"/>
          <w:numId w:val="32"/>
        </w:numPr>
        <w:ind w:left="425" w:hanging="425"/>
        <w:rPr>
          <w:rFonts w:ascii="宋体" w:hAnsi="宋体"/>
        </w:rPr>
      </w:pPr>
      <w:r>
        <w:rPr>
          <w:rFonts w:hint="eastAsia" w:ascii="宋体" w:hAnsi="宋体"/>
        </w:rPr>
        <w:t>重点排污单位之外的公司环保情况说明</w:t>
      </w:r>
    </w:p>
    <w:sdt>
      <w:sdtPr>
        <w:alias w:val="是否适用：重点排污单位之外的公司的环保情况[双击切换]"/>
        <w:tag w:val="_GBC_d5ef790979ae4170801b0e930a2b7445"/>
        <w:id w:val="25971"/>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8"/>
        <w:numPr>
          <w:ilvl w:val="0"/>
          <w:numId w:val="34"/>
        </w:numPr>
        <w:ind w:left="450" w:hanging="450"/>
        <w:rPr>
          <w:rFonts w:ascii="宋体" w:hAnsi="宋体"/>
          <w:szCs w:val="21"/>
        </w:rPr>
      </w:pPr>
      <w:bookmarkStart w:id="90" w:name="_Hlk74731776"/>
      <w:r>
        <w:rPr>
          <w:rFonts w:hint="eastAsia" w:ascii="宋体" w:hAnsi="宋体"/>
          <w:szCs w:val="21"/>
        </w:rPr>
        <w:t>因环境问题受到行政处罚的情况</w:t>
      </w:r>
    </w:p>
    <w:sdt>
      <w:sdtPr>
        <w:rPr>
          <w:szCs w:val="21"/>
        </w:rPr>
        <w:alias w:val="是否适用：重点排污单位之外的公司因环境问题受到行政处罚的情况[双击切换]"/>
        <w:tag w:val="_GBC_5896886de1f845c180bb3a271ed2a8a9"/>
        <w:id w:val="2597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90"/>
    <w:p>
      <w:pPr>
        <w:pStyle w:val="48"/>
        <w:numPr>
          <w:ilvl w:val="0"/>
          <w:numId w:val="34"/>
        </w:numPr>
        <w:ind w:left="450" w:hanging="450"/>
        <w:rPr>
          <w:rFonts w:ascii="宋体" w:hAnsi="宋体"/>
          <w:szCs w:val="21"/>
        </w:rPr>
      </w:pPr>
      <w:r>
        <w:rPr>
          <w:rFonts w:hint="eastAsia" w:ascii="宋体" w:hAnsi="宋体"/>
          <w:szCs w:val="21"/>
        </w:rPr>
        <w:t>参照</w:t>
      </w:r>
      <w:r>
        <w:rPr>
          <w:rFonts w:ascii="宋体" w:hAnsi="宋体"/>
          <w:szCs w:val="21"/>
        </w:rPr>
        <w:t>重点排污单位</w:t>
      </w:r>
      <w:r>
        <w:rPr>
          <w:rFonts w:hint="eastAsia" w:ascii="宋体" w:hAnsi="宋体"/>
          <w:szCs w:val="21"/>
        </w:rPr>
        <w:t>披露其他环境信息</w:t>
      </w:r>
    </w:p>
    <w:sdt>
      <w:sdtPr>
        <w:rPr>
          <w:szCs w:val="21"/>
        </w:rPr>
        <w:alias w:val="是否适用：参照重点排污单位披露其它环境信息[双击切换]"/>
        <w:tag w:val="_GBC_c81ce6b9ed3e477cb685a903703d325c"/>
        <w:id w:val="25973"/>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25974"/>
        <w:placeholder>
          <w:docPart w:val="GBC22222222222222222222222222222"/>
        </w:placeholder>
      </w:sdtPr>
      <w:sdtEndPr>
        <w:rPr>
          <w:szCs w:val="21"/>
        </w:rPr>
      </w:sdtEndPr>
      <w:sdtContent>
        <w:sdt>
          <w:sdtPr>
            <w:rPr>
              <w:rFonts w:ascii="宋体" w:hAnsi="宋体" w:eastAsia="宋体" w:cs="宋体"/>
              <w:sz w:val="21"/>
              <w:szCs w:val="21"/>
              <w:lang w:val="en-US" w:eastAsia="zh-CN" w:bidi="ar-SA"/>
            </w:rPr>
            <w:alias w:val="参照重点排污单位披露其它环境信息"/>
            <w:tag w:val="_GBC_effe23a7bbde4f7a908345ffd998c638"/>
            <w:id w:val="25975"/>
            <w:placeholder>
              <w:docPart w:val="{4e6750e1-9123-4d4d-839d-ece3a69761b4}"/>
            </w:placeholder>
          </w:sdtPr>
          <w:sdtEndPr>
            <w:rPr>
              <w:rFonts w:ascii="宋体" w:hAnsi="宋体" w:eastAsia="宋体" w:cs="宋体"/>
              <w:sz w:val="21"/>
              <w:szCs w:val="21"/>
              <w:lang w:val="en-US" w:eastAsia="zh-CN" w:bidi="ar-SA"/>
            </w:rPr>
          </w:sdtEndPr>
          <w:sdtContent>
            <w:p>
              <w:pPr>
                <w:spacing w:line="400" w:lineRule="exact"/>
                <w:ind w:firstLine="420" w:firstLineChars="200"/>
                <w:rPr>
                  <w:szCs w:val="21"/>
                  <w:highlight w:val="none"/>
                </w:rPr>
              </w:pPr>
              <w:r>
                <w:rPr>
                  <w:rFonts w:hint="eastAsia"/>
                  <w:szCs w:val="21"/>
                </w:rPr>
                <w:t>公司主要生产牙膏产品，主要污染物为废水，通过污水处理站，经过三级沉降处理达标后，按要求排入柳</w:t>
              </w:r>
              <w:r>
                <w:rPr>
                  <w:rFonts w:hint="eastAsia"/>
                  <w:szCs w:val="21"/>
                  <w:highlight w:val="none"/>
                </w:rPr>
                <w:t>州市政污水管网统一处理排放。</w:t>
              </w:r>
            </w:p>
            <w:p>
              <w:pPr>
                <w:spacing w:line="400" w:lineRule="exact"/>
                <w:ind w:firstLine="420" w:firstLineChars="200"/>
                <w:rPr>
                  <w:rFonts w:ascii="Times New Roman" w:cs="Times New Roman"/>
                  <w:szCs w:val="21"/>
                  <w:highlight w:val="none"/>
                </w:rPr>
              </w:pPr>
              <w:r>
                <w:rPr>
                  <w:rFonts w:ascii="Times New Roman" w:cs="Times New Roman"/>
                  <w:szCs w:val="21"/>
                  <w:highlight w:val="none"/>
                </w:rPr>
                <w:t>公司依照有关要求进行网上排污登记并获得</w:t>
              </w:r>
              <w:r>
                <w:rPr>
                  <w:rFonts w:ascii="Times New Roman" w:hAnsi="Times New Roman" w:cs="Times New Roman"/>
                  <w:szCs w:val="21"/>
                  <w:highlight w:val="none"/>
                </w:rPr>
                <w:t>2020</w:t>
              </w:r>
              <w:r>
                <w:rPr>
                  <w:rFonts w:ascii="Times New Roman" w:cs="Times New Roman"/>
                  <w:szCs w:val="21"/>
                  <w:highlight w:val="none"/>
                </w:rPr>
                <w:t>年国家排污许可信息登记回执，有效期为：</w:t>
              </w:r>
              <w:r>
                <w:rPr>
                  <w:rFonts w:ascii="Times New Roman" w:hAnsi="Times New Roman" w:cs="Times New Roman"/>
                  <w:szCs w:val="21"/>
                  <w:highlight w:val="none"/>
                </w:rPr>
                <w:t>2020</w:t>
              </w:r>
              <w:r>
                <w:rPr>
                  <w:rFonts w:ascii="Times New Roman" w:cs="Times New Roman"/>
                  <w:szCs w:val="21"/>
                  <w:highlight w:val="none"/>
                </w:rPr>
                <w:t>年</w:t>
              </w:r>
              <w:r>
                <w:rPr>
                  <w:rFonts w:ascii="Times New Roman" w:hAnsi="Times New Roman" w:cs="Times New Roman"/>
                  <w:szCs w:val="21"/>
                  <w:highlight w:val="none"/>
                </w:rPr>
                <w:t>3</w:t>
              </w:r>
              <w:r>
                <w:rPr>
                  <w:rFonts w:ascii="Times New Roman" w:cs="Times New Roman"/>
                  <w:szCs w:val="21"/>
                  <w:highlight w:val="none"/>
                </w:rPr>
                <w:t>月</w:t>
              </w:r>
              <w:r>
                <w:rPr>
                  <w:rFonts w:ascii="Times New Roman" w:hAnsi="Times New Roman" w:cs="Times New Roman"/>
                  <w:szCs w:val="21"/>
                  <w:highlight w:val="none"/>
                </w:rPr>
                <w:t>10</w:t>
              </w:r>
              <w:r>
                <w:rPr>
                  <w:rFonts w:ascii="Times New Roman" w:cs="Times New Roman"/>
                  <w:szCs w:val="21"/>
                  <w:highlight w:val="none"/>
                </w:rPr>
                <w:t>日至</w:t>
              </w:r>
              <w:r>
                <w:rPr>
                  <w:rFonts w:ascii="Times New Roman" w:hAnsi="Times New Roman" w:cs="Times New Roman"/>
                  <w:szCs w:val="21"/>
                  <w:highlight w:val="none"/>
                </w:rPr>
                <w:t>2025</w:t>
              </w:r>
              <w:r>
                <w:rPr>
                  <w:rFonts w:ascii="Times New Roman" w:cs="Times New Roman"/>
                  <w:szCs w:val="21"/>
                  <w:highlight w:val="none"/>
                </w:rPr>
                <w:t>年</w:t>
              </w:r>
              <w:r>
                <w:rPr>
                  <w:rFonts w:ascii="Times New Roman" w:hAnsi="Times New Roman" w:cs="Times New Roman"/>
                  <w:szCs w:val="21"/>
                  <w:highlight w:val="none"/>
                </w:rPr>
                <w:t>3</w:t>
              </w:r>
              <w:r>
                <w:rPr>
                  <w:rFonts w:ascii="Times New Roman" w:cs="Times New Roman"/>
                  <w:szCs w:val="21"/>
                  <w:highlight w:val="none"/>
                </w:rPr>
                <w:t>月</w:t>
              </w:r>
              <w:r>
                <w:rPr>
                  <w:rFonts w:ascii="Times New Roman" w:hAnsi="Times New Roman" w:cs="Times New Roman"/>
                  <w:szCs w:val="21"/>
                  <w:highlight w:val="none"/>
                </w:rPr>
                <w:t>09</w:t>
              </w:r>
              <w:r>
                <w:rPr>
                  <w:rFonts w:ascii="Times New Roman" w:cs="Times New Roman"/>
                  <w:szCs w:val="21"/>
                  <w:highlight w:val="none"/>
                </w:rPr>
                <w:t>日。</w:t>
              </w:r>
            </w:p>
            <w:p>
              <w:pPr>
                <w:spacing w:line="400" w:lineRule="exact"/>
                <w:ind w:firstLine="420" w:firstLineChars="200"/>
                <w:rPr>
                  <w:szCs w:val="21"/>
                </w:rPr>
              </w:pPr>
              <w:r>
                <w:rPr>
                  <w:rFonts w:hint="eastAsia"/>
                  <w:szCs w:val="21"/>
                  <w:highlight w:val="none"/>
                </w:rPr>
                <w:t>报告期内未发生重特大环境污染事故。</w:t>
              </w:r>
            </w:p>
          </w:sdtContent>
        </w:sdt>
        <w:p>
          <w:pPr>
            <w:rPr>
              <w:szCs w:val="21"/>
            </w:rPr>
          </w:pPr>
        </w:p>
      </w:sdtContent>
    </w:sdt>
    <w:p>
      <w:pPr>
        <w:rPr>
          <w:szCs w:val="21"/>
        </w:rPr>
      </w:pPr>
    </w:p>
    <w:p>
      <w:pPr>
        <w:pStyle w:val="48"/>
        <w:numPr>
          <w:ilvl w:val="0"/>
          <w:numId w:val="34"/>
        </w:numPr>
        <w:ind w:left="450" w:hanging="450"/>
        <w:rPr>
          <w:rFonts w:ascii="宋体" w:hAnsi="宋体"/>
          <w:szCs w:val="21"/>
        </w:rPr>
      </w:pPr>
      <w:r>
        <w:rPr>
          <w:rFonts w:hint="eastAsia" w:ascii="宋体" w:hAnsi="宋体"/>
          <w:szCs w:val="21"/>
        </w:rPr>
        <w:t>未披露其他环境信息的原因</w:t>
      </w:r>
    </w:p>
    <w:sdt>
      <w:sdtPr>
        <w:alias w:val="是否适用：重点排污单位之外的公司未披露环境信息的原因[双击切换]"/>
        <w:tag w:val="_GBC_cd8c1fc8381844409435eed0d957ea5c"/>
        <w:id w:val="25976"/>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6"/>
        <w:numPr>
          <w:ilvl w:val="0"/>
          <w:numId w:val="32"/>
        </w:numPr>
        <w:ind w:left="450" w:hanging="450"/>
        <w:rPr>
          <w:rFonts w:ascii="宋体" w:hAnsi="宋体" w:cs="宋体"/>
          <w:kern w:val="0"/>
          <w:szCs w:val="24"/>
        </w:rPr>
      </w:pPr>
      <w:r>
        <w:rPr>
          <w:rFonts w:hint="eastAsia" w:ascii="宋体" w:hAnsi="宋体" w:cs="宋体"/>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25977"/>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25978"/>
        <w:placeholder>
          <w:docPart w:val="GBC22222222222222222222222222222"/>
        </w:placeholder>
      </w:sdtPr>
      <w:sdtEndPr>
        <w:rPr>
          <w:szCs w:val="21"/>
        </w:rPr>
      </w:sdtEndPr>
      <w:sdtContent>
        <w:sdt>
          <w:sdtPr>
            <w:rPr>
              <w:rFonts w:ascii="宋体" w:hAnsi="宋体" w:eastAsia="宋体" w:cs="宋体"/>
              <w:kern w:val="2"/>
              <w:sz w:val="21"/>
              <w:szCs w:val="21"/>
              <w:lang w:val="en-US" w:eastAsia="zh-CN" w:bidi="ar-SA"/>
            </w:rPr>
            <w:alias w:val="有利于保护生态、防治污染、履行环境责任的相关信息"/>
            <w:tag w:val="_GBC_1fccabe26da9412fabcb2e444011eb04"/>
            <w:id w:val="25979"/>
            <w:placeholder>
              <w:docPart w:val="{64510648-0e96-4ebd-8193-560fb3b63dde}"/>
            </w:placeholder>
          </w:sdtPr>
          <w:sdtEndPr>
            <w:rPr>
              <w:rFonts w:hint="eastAsia" w:ascii="宋体" w:hAnsi="宋体" w:eastAsia="宋体" w:cs="宋体"/>
              <w:kern w:val="0"/>
              <w:sz w:val="21"/>
              <w:szCs w:val="21"/>
              <w:lang w:val="en-US" w:eastAsia="zh-CN" w:bidi="ar-SA"/>
            </w:rPr>
          </w:sdtEndPr>
          <w:sdtContent>
            <w:p>
              <w:pPr>
                <w:spacing w:line="400" w:lineRule="exact"/>
                <w:ind w:firstLine="420" w:firstLineChars="200"/>
                <w:rPr>
                  <w:szCs w:val="21"/>
                </w:rPr>
              </w:pPr>
              <w:r>
                <w:rPr>
                  <w:rFonts w:hint="eastAsia"/>
                  <w:szCs w:val="21"/>
                </w:rPr>
                <w:t>公司高度重视环境保护，贯彻“全面规划、合理布局、综合利用、化害为利、依靠群众、大家动手、保护环境、造福人民”的环境保护方针，持续落实可持续发展战略，积极践行社会责任，减少“三废”产生，提高资源利用率，根据环保要求制定行动计划、培训计划、管理计划，监测监督、责任到人。</w:t>
              </w:r>
            </w:p>
            <w:p>
              <w:pPr>
                <w:spacing w:line="400" w:lineRule="exact"/>
                <w:ind w:firstLine="420" w:firstLineChars="200"/>
                <w:rPr>
                  <w:szCs w:val="21"/>
                </w:rPr>
              </w:pPr>
              <w:r>
                <w:rPr>
                  <w:rFonts w:hint="eastAsia"/>
                  <w:szCs w:val="21"/>
                </w:rPr>
                <w:t>公司注重环境管理体系建设，成立环境保护工作机构，制定《环境保护管理制度》《突发环境事件应急预案》等制度，确保环保工作有章可循、职责分明。同时将环保工作列入高层会议议程，坚持各级领导“管生产必须管环保”的“一岗双责”原则，实现环保工作与生产经营协调发展。</w:t>
              </w:r>
            </w:p>
            <w:p>
              <w:pPr>
                <w:spacing w:line="400" w:lineRule="exact"/>
                <w:ind w:firstLine="420" w:firstLineChars="200"/>
                <w:rPr>
                  <w:szCs w:val="21"/>
                </w:rPr>
              </w:pPr>
              <w:r>
                <w:rPr>
                  <w:rFonts w:hint="eastAsia"/>
                  <w:szCs w:val="21"/>
                </w:rPr>
                <w:t>公司严格执行国家标准和规程，落实污染物合规处置。公司聘请有资质的检测机构对公司的污水进行检测，监测数据均能达标。按环保等相关部门的统一要求填报企业年度环统报表、排污信息等各项指标，同时做好污水处理（三级沉降池）的清淤，采用先进的工艺技术与设备改善管理，从源头削减污染，提高资源利用效率，减少生产过程中污染物排放。报告期内，公司未发生因污染物超标或违规排放而受到的处罚事件。</w:t>
              </w:r>
            </w:p>
          </w:sdtContent>
        </w:sdt>
        <w:p>
          <w:pPr>
            <w:rPr>
              <w:szCs w:val="21"/>
            </w:rPr>
          </w:pPr>
        </w:p>
      </w:sdtContent>
    </w:sdt>
    <w:p/>
    <w:sdt>
      <w:sdtPr>
        <w:rPr>
          <w:rFonts w:ascii="宋体" w:hAnsi="宋体" w:eastAsia="宋体" w:cs="Times New Roman"/>
          <w:b/>
          <w:bCs/>
          <w:kern w:val="2"/>
          <w:sz w:val="21"/>
          <w:szCs w:val="32"/>
          <w:lang w:val="en-US" w:eastAsia="zh-CN" w:bidi="ar-SA"/>
        </w:rPr>
        <w:alias w:val="模块:在报告期内为减少其碳排放所采取的措施及效果"/>
        <w:tag w:val="_SEC_219d66470c5549c2b9ae6da091245f5d"/>
        <w:id w:val="147475610"/>
        <w:placeholder>
          <w:docPart w:val="{fd60111f-324b-4fe6-ab35-a7b903c78e80}"/>
        </w:placeholder>
      </w:sdtPr>
      <w:sdtEndPr>
        <w:rPr>
          <w:rFonts w:hint="eastAsia" w:ascii="宋体" w:hAnsi="宋体" w:eastAsia="宋体" w:cs="宋体"/>
          <w:b/>
          <w:bCs/>
          <w:kern w:val="2"/>
          <w:sz w:val="21"/>
          <w:szCs w:val="21"/>
          <w:lang w:val="en-US" w:eastAsia="zh-CN" w:bidi="ar-SA"/>
        </w:rPr>
      </w:sdtEndPr>
      <w:sdtContent>
        <w:p>
          <w:pPr>
            <w:pStyle w:val="4"/>
            <w:numPr>
              <w:ilvl w:val="0"/>
              <w:numId w:val="32"/>
            </w:numPr>
            <w:ind w:left="450" w:hanging="450"/>
            <w:rPr>
              <w:rFonts w:ascii="宋体" w:hAnsi="宋体"/>
            </w:rPr>
          </w:pPr>
          <w:r>
            <w:rPr>
              <w:rFonts w:ascii="宋体" w:hAnsi="宋体"/>
            </w:rPr>
            <w:t>在报告期内为减少其碳排放所采取的措施及效果</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4"/>
            <w:gridCol w:w="5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eastAsia"/>
                </w:rPr>
                <w:tag w:val="_PLD_d765fcc12171478eb6ac1d26c3b15d8b"/>
                <w:id w:val="914134762"/>
              </w:sdtPr>
              <w:sdtEndPr>
                <w:rPr>
                  <w:rFonts w:hint="eastAsia"/>
                </w:rPr>
              </w:sdtEndPr>
              <w:sdtContent>
                <w:tc>
                  <w:tcPr>
                    <w:tcW w:w="2052" w:type="pct"/>
                    <w:shd w:val="clear" w:color="auto" w:fill="auto"/>
                  </w:tcPr>
                  <w:p>
                    <w:pPr>
                      <w:widowControl w:val="0"/>
                      <w:jc w:val="both"/>
                    </w:pPr>
                    <w:r>
                      <w:rPr>
                        <w:rFonts w:hint="eastAsia"/>
                      </w:rPr>
                      <w:t>是否采取减碳措施</w:t>
                    </w:r>
                  </w:p>
                </w:tc>
              </w:sdtContent>
            </w:sdt>
            <w:sdt>
              <w:sdtPr>
                <w:alias w:val="是否采取减碳措施"/>
                <w:tag w:val="_GBC_d9a1ff3875ac418bab40a855cd584ffd"/>
                <w:id w:val="1888985713"/>
                <w:placeholder>
                  <w:docPart w:val="GBC33333333333333333333333333333"/>
                </w:placeholder>
                <w:comboBox>
                  <w:listItem w:displayText="是" w:value="是"/>
                  <w:listItem w:displayText="否" w:value="否"/>
                </w:comboBox>
              </w:sdtPr>
              <w:sdtContent>
                <w:tc>
                  <w:tcPr>
                    <w:tcW w:w="2948" w:type="pct"/>
                    <w:shd w:val="clear" w:color="auto" w:fill="auto"/>
                    <w:vAlign w:val="center"/>
                  </w:tcPr>
                  <w:p>
                    <w:pPr>
                      <w:widowControl w:val="0"/>
                      <w:jc w:val="both"/>
                    </w:pPr>
                    <w: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eastAsia"/>
                </w:rPr>
                <w:tag w:val="_PLD_713e689ce8a74ced8a0fe8fd91b35127"/>
                <w:id w:val="2133986752"/>
              </w:sdtPr>
              <w:sdtEndPr>
                <w:rPr>
                  <w:rFonts w:hint="eastAsia"/>
                </w:rPr>
              </w:sdtEndPr>
              <w:sdtContent>
                <w:tc>
                  <w:tcPr>
                    <w:tcW w:w="2052" w:type="pct"/>
                    <w:shd w:val="clear" w:color="auto" w:fill="auto"/>
                  </w:tcPr>
                  <w:p>
                    <w:pPr>
                      <w:widowControl w:val="0"/>
                      <w:jc w:val="both"/>
                    </w:pPr>
                    <w:r>
                      <w:rPr>
                        <w:rFonts w:hint="eastAsia"/>
                      </w:rPr>
                      <w:t>减少排放二氧化碳当量（单位：吨）</w:t>
                    </w:r>
                  </w:p>
                </w:tc>
              </w:sdtContent>
            </w:sdt>
            <w:tc>
              <w:tcPr>
                <w:tcW w:w="2948" w:type="pct"/>
                <w:shd w:val="clear" w:color="auto" w:fill="auto"/>
              </w:tcPr>
              <w:p>
                <w:pPr>
                  <w:widowControl w:val="0"/>
                  <w:jc w:val="left"/>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60c15f95b4484f72a0c24a7f97decfee"/>
                <w:id w:val="2013488953"/>
              </w:sdtPr>
              <w:sdtEndPr>
                <w:rPr>
                  <w:rFonts w:hint="eastAsia"/>
                </w:rPr>
              </w:sdtEndPr>
              <w:sdtContent>
                <w:tc>
                  <w:tcPr>
                    <w:tcW w:w="2052" w:type="pct"/>
                    <w:shd w:val="clear" w:color="auto" w:fill="auto"/>
                  </w:tcPr>
                  <w:p>
                    <w:pPr>
                      <w:widowControl w:val="0"/>
                      <w:jc w:val="both"/>
                    </w:pPr>
                    <w:r>
                      <w:rPr>
                        <w:rFonts w:hint="eastAsia"/>
                      </w:rPr>
                      <w:t>减碳措施类型（如使用清洁能源发电、在生产过程中使用减碳技术、研发生产助于减碳的新产品等）</w:t>
                    </w:r>
                  </w:p>
                </w:tc>
              </w:sdtContent>
            </w:sdt>
            <w:tc>
              <w:tcPr>
                <w:tcW w:w="2948" w:type="pct"/>
                <w:shd w:val="clear" w:color="auto" w:fill="auto"/>
                <w:vAlign w:val="center"/>
              </w:tcPr>
              <w:p>
                <w:pPr>
                  <w:widowControl w:val="0"/>
                  <w:jc w:val="both"/>
                </w:pPr>
                <w:r>
                  <w:rPr>
                    <w:rFonts w:hint="eastAsia"/>
                    <w:color w:val="auto"/>
                  </w:rPr>
                  <w:t>建设光伏发电设备，使用清洁能源发电；在生产过程中对所需冷却水循环使用，改进生产工艺降低损耗；采用可降解面料生产环保拖鞋、PLA/PUA的材料生产牙刷，采用玉米淀粉、秸秆材料生产塑料制品等。</w:t>
                </w:r>
              </w:p>
            </w:tc>
          </w:tr>
        </w:tbl>
        <w:p/>
        <w:p>
          <w:r>
            <w:rPr>
              <w:rFonts w:hint="eastAsia"/>
            </w:rPr>
            <w:t>具体说明</w:t>
          </w:r>
        </w:p>
        <w:sdt>
          <w:sdtPr>
            <w:alias w:val="是否适用：在报告期内为减少其碳排放所采取的措施及效果 [双击切换]"/>
            <w:tag w:val="_GBC_c548c6cdcee840f1b99e9992b9199dfc"/>
            <w:id w:val="1906098143"/>
            <w:placeholder>
              <w:docPart w:val="GBC33333333333333333333333333333"/>
            </w:placeholder>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在报告期内为减少其碳排放所采取的措施及效果 "/>
            <w:tag w:val="_GBC_ca4174c323bb40d9bffbaa1df2f9a6e3"/>
            <w:id w:val="-1659846601"/>
            <w:placeholder>
              <w:docPart w:val="GBC33333333333333333333333333333"/>
            </w:placeholder>
          </w:sdtPr>
          <w:sdtEndPr>
            <w:rPr>
              <w:rFonts w:hint="default" w:ascii="Times New Roman" w:hAnsi="Times New Roman" w:cs="Times New Roman"/>
              <w:szCs w:val="21"/>
            </w:rPr>
          </w:sdtEndPr>
          <w:sdtContent>
            <w:p>
              <w:pPr>
                <w:spacing w:line="400" w:lineRule="exact"/>
                <w:ind w:firstLine="420" w:firstLineChars="200"/>
                <w:rPr>
                  <w:rFonts w:hint="default" w:ascii="Times New Roman" w:hAnsi="Times New Roman" w:cs="Times New Roman"/>
                  <w:szCs w:val="21"/>
                </w:rPr>
              </w:pPr>
              <w:r>
                <w:rPr>
                  <w:rFonts w:hint="default" w:ascii="Times New Roman" w:hAnsi="Times New Roman" w:cs="Times New Roman"/>
                  <w:szCs w:val="21"/>
                </w:rPr>
                <w:t>公司力行节能减排政策，持续参与各级单位环保工作会议，宣传低碳理念，强化环保意识。江苏实业公司安装光伏发电设备，全年发电量约90万千瓦时，实现了电能的就近供应，节流输电成本，促进清洁能源的使用，为公司持续供能提供了绿色环保的新型可再生能源。</w:t>
              </w:r>
            </w:p>
            <w:p>
              <w:pPr>
                <w:spacing w:line="400" w:lineRule="exact"/>
                <w:ind w:firstLine="420" w:firstLineChars="200"/>
                <w:rPr>
                  <w:rFonts w:hint="default" w:ascii="Times New Roman" w:hAnsi="Times New Roman" w:cs="Times New Roman"/>
                  <w:szCs w:val="21"/>
                </w:rPr>
              </w:pPr>
              <w:r>
                <w:rPr>
                  <w:rFonts w:hint="default" w:ascii="Times New Roman" w:hAnsi="Times New Roman" w:cs="Times New Roman"/>
                  <w:szCs w:val="21"/>
                </w:rPr>
                <w:t>江苏实业公司获得FSC（森林管理委员会）、GRS（全球回收标准）认证。酒店用品围绕环保为突破点，采用可降解面料生产环保拖鞋、PLA/PUA的材料生产牙刷，采用玉米淀粉、秸秆材料生产塑料制品等。竹塑牙刷、环保可降解拖鞋、可降解包装的生产，减少了塑料的使用，减轻对环境的影响，努力实现生产绿色化和可持续化。</w:t>
              </w:r>
            </w:p>
          </w:sdtContent>
        </w:sdt>
        <w:p/>
      </w:sdtContent>
    </w:sdt>
    <w:p/>
    <w:p>
      <w:pPr>
        <w:pStyle w:val="127"/>
        <w:numPr>
          <w:ilvl w:val="0"/>
          <w:numId w:val="31"/>
        </w:numPr>
        <w:tabs>
          <w:tab w:val="left" w:pos="426"/>
        </w:tabs>
        <w:ind w:left="425" w:hanging="425"/>
        <w:jc w:val="left"/>
      </w:pPr>
      <w:r>
        <w:t>社会责任工作情况</w:t>
      </w:r>
    </w:p>
    <w:p>
      <w:pPr>
        <w:pStyle w:val="46"/>
        <w:numPr>
          <w:ilvl w:val="0"/>
          <w:numId w:val="35"/>
        </w:numPr>
        <w:rPr>
          <w:rFonts w:ascii="宋体" w:hAnsi="宋体"/>
        </w:rPr>
      </w:pPr>
      <w:r>
        <w:rPr>
          <w:rFonts w:hint="eastAsia" w:ascii="宋体" w:hAnsi="宋体"/>
        </w:rPr>
        <w:t>是否单独披露社会责任报告、可持续发展报告或ESG报告</w:t>
      </w:r>
    </w:p>
    <w:sdt>
      <w:sdtPr>
        <w:alias w:val="是否单独披露社会责任报告、可持续发展报告或ESG报告"/>
        <w:tag w:val="_GBC_e26ad08dba0e483a908a6ff4e6e74e3f"/>
        <w:id w:val="25985"/>
        <w:placeholder>
          <w:docPart w:val="GBC22222222222222222222222222222"/>
        </w:placeholder>
      </w:sdtPr>
      <w:sdtContent>
        <w:sdt>
          <w:sdtPr>
            <w:alias w:val="是否单独披露社会责任报告、可持续发展报告或ESG报告"/>
            <w:tag w:val="_GBC_e26ad08dba0e483a908a6ff4e6e74e3f"/>
            <w:id w:val="25986"/>
            <w:placeholder>
              <w:docPart w:val="{fb05dd09-b5c2-4504-9baa-2bbda8421578}"/>
            </w:placeholder>
          </w:sdt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r>
                <w:rPr>
                  <w:rFonts w:hint="eastAsia"/>
                </w:rPr>
                <w:t>公司积极履行社会责任，并根据实际情况单独披露</w:t>
              </w:r>
              <w:r>
                <w:rPr>
                  <w:rFonts w:ascii="Times New Roman" w:hAnsi="Times New Roman" w:cs="Times New Roman"/>
                </w:rPr>
                <w:t>202</w:t>
              </w:r>
              <w:r>
                <w:rPr>
                  <w:rFonts w:hint="eastAsia" w:ascii="Times New Roman" w:hAnsi="Times New Roman" w:cs="Times New Roman"/>
                  <w:lang w:val="en-US" w:eastAsia="zh-CN"/>
                </w:rPr>
                <w:t>3</w:t>
              </w:r>
              <w:r>
                <w:rPr>
                  <w:rFonts w:hint="eastAsia"/>
                </w:rPr>
                <w:t>年度社会责任报告，全文详见</w:t>
              </w:r>
              <w:r>
                <w:rPr>
                  <w:rFonts w:ascii="Times New Roman" w:hAnsi="Times New Roman" w:cs="Times New Roman"/>
                </w:rPr>
                <w:t>202</w:t>
              </w:r>
              <w:r>
                <w:rPr>
                  <w:rFonts w:hint="eastAsia" w:ascii="Times New Roman" w:hAnsi="Times New Roman" w:cs="Times New Roman"/>
                  <w:lang w:val="en-US" w:eastAsia="zh-CN"/>
                </w:rPr>
                <w:t>4</w:t>
              </w:r>
              <w:r>
                <w:rPr>
                  <w:rFonts w:ascii="Times New Roman" w:hAnsi="Times New Roman" w:cs="Times New Roman"/>
                </w:rPr>
                <w:t>年</w:t>
              </w:r>
              <w:r>
                <w:rPr>
                  <w:rFonts w:hint="eastAsia" w:ascii="Times New Roman" w:hAnsi="Times New Roman" w:cs="Times New Roman"/>
                </w:rPr>
                <w:t>3</w:t>
              </w:r>
              <w:r>
                <w:rPr>
                  <w:rFonts w:ascii="Times New Roman" w:hAnsi="Times New Roman" w:cs="Times New Roman"/>
                </w:rPr>
                <w:t>月</w:t>
              </w:r>
              <w:r>
                <w:rPr>
                  <w:rFonts w:hint="eastAsia" w:ascii="Times New Roman" w:hAnsi="Times New Roman" w:cs="Times New Roman"/>
                  <w:lang w:val="en-US" w:eastAsia="zh-CN"/>
                </w:rPr>
                <w:t>29</w:t>
              </w:r>
              <w:r>
                <w:rPr>
                  <w:rFonts w:ascii="Times New Roman" w:hAnsi="Times New Roman" w:cs="Times New Roman"/>
                </w:rPr>
                <w:t>日</w:t>
              </w:r>
              <w:r>
                <w:rPr>
                  <w:rFonts w:ascii="Times New Roman" w:cs="Times New Roman"/>
                  <w:szCs w:val="21"/>
                </w:rPr>
                <w:t>在上交所网站</w:t>
              </w:r>
              <w:r>
                <w:rPr>
                  <w:rFonts w:ascii="Times New Roman" w:cs="Times New Roman"/>
                </w:rPr>
                <w:t>（</w:t>
              </w:r>
              <w:r>
                <w:rPr>
                  <w:rFonts w:ascii="Times New Roman" w:hAnsi="Times New Roman" w:cs="Times New Roman"/>
                </w:rPr>
                <w:t>www.sse.com.cn</w:t>
              </w:r>
              <w:r>
                <w:rPr>
                  <w:rFonts w:ascii="Times New Roman" w:cs="Times New Roman"/>
                </w:rPr>
                <w:t>）</w:t>
              </w:r>
              <w:r>
                <w:rPr>
                  <w:rFonts w:hint="eastAsia"/>
                </w:rPr>
                <w:t>披露的《</w:t>
              </w:r>
              <w:r>
                <w:rPr>
                  <w:rFonts w:ascii="Times New Roman" w:hAnsi="Times New Roman" w:cs="Times New Roman"/>
                </w:rPr>
                <w:t>202</w:t>
              </w:r>
              <w:r>
                <w:rPr>
                  <w:rFonts w:hint="eastAsia" w:ascii="Times New Roman" w:hAnsi="Times New Roman" w:cs="Times New Roman"/>
                  <w:lang w:val="en-US" w:eastAsia="zh-CN"/>
                </w:rPr>
                <w:t>3</w:t>
              </w:r>
              <w:r>
                <w:rPr>
                  <w:rFonts w:hint="eastAsia"/>
                </w:rPr>
                <w:t>年度社会责任报告》。</w:t>
              </w:r>
            </w:p>
          </w:sdtContent>
        </w:sdt>
        <w:p/>
      </w:sdtContent>
    </w:sdt>
    <w:p/>
    <w:p>
      <w:pPr>
        <w:pStyle w:val="46"/>
        <w:numPr>
          <w:ilvl w:val="0"/>
          <w:numId w:val="35"/>
        </w:numPr>
        <w:rPr>
          <w:rFonts w:ascii="宋体" w:hAnsi="宋体"/>
        </w:rPr>
      </w:pPr>
      <w:r>
        <w:rPr>
          <w:rFonts w:hint="eastAsia" w:ascii="宋体" w:hAnsi="宋体"/>
        </w:rPr>
        <w:t>社会责任工作具体情况</w:t>
      </w:r>
    </w:p>
    <w:sdt>
      <w:sdtPr>
        <w:alias w:val="是否适用：社会责任工作具体情况[双击切换]"/>
        <w:tag w:val="_GBC_2bbbff88e2744d6dbb21a0a502bf51cf"/>
        <w:id w:val="2598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line="400" w:lineRule="exact"/>
        <w:ind w:firstLine="420" w:firstLineChars="200"/>
      </w:pPr>
      <w:r>
        <w:rPr>
          <w:rFonts w:hint="eastAsia"/>
          <w:color w:val="000000" w:themeColor="text1"/>
          <w14:textFill>
            <w14:solidFill>
              <w14:schemeClr w14:val="tx1"/>
            </w14:solidFill>
          </w14:textFill>
        </w:rPr>
        <w:t>公司社会责任工作具体情况详见</w:t>
      </w:r>
      <w:r>
        <w:rPr>
          <w:rFonts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w:t>
      </w:r>
      <w:r>
        <w:rPr>
          <w:rFonts w:ascii="Times New Roman" w:hAnsi="Times New Roman" w:cs="Times New Roman"/>
          <w:color w:val="000000" w:themeColor="text1"/>
          <w14:textFill>
            <w14:solidFill>
              <w14:schemeClr w14:val="tx1"/>
            </w14:solidFill>
          </w14:textFill>
        </w:rPr>
        <w:t>3月</w:t>
      </w:r>
      <w:r>
        <w:rPr>
          <w:rFonts w:hint="eastAsia" w:ascii="Times New Roman" w:hAnsi="Times New Roman" w:cs="Times New Roman"/>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日在上交所网站（</w:t>
      </w:r>
      <w:r>
        <w:rPr>
          <w:rFonts w:ascii="Times New Roman" w:hAnsi="Times New Roman" w:cs="Times New Roman"/>
          <w:color w:val="000000" w:themeColor="text1"/>
          <w14:textFill>
            <w14:solidFill>
              <w14:schemeClr w14:val="tx1"/>
            </w14:solidFill>
          </w14:textFill>
        </w:rPr>
        <w:t>www.sse.com.cn</w:t>
      </w:r>
      <w:r>
        <w:rPr>
          <w:rFonts w:hint="eastAsia"/>
          <w:color w:val="000000" w:themeColor="text1"/>
          <w14:textFill>
            <w14:solidFill>
              <w14:schemeClr w14:val="tx1"/>
            </w14:solidFill>
          </w14:textFill>
        </w:rPr>
        <w:t>）披露的《</w:t>
      </w:r>
      <w:r>
        <w:rPr>
          <w:rFonts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年度社会责任报告》。</w:t>
      </w:r>
    </w:p>
    <w:p>
      <w:pPr>
        <w:pStyle w:val="70"/>
        <w:outlineLvl w:val="9"/>
      </w:pPr>
    </w:p>
    <w:p>
      <w:r>
        <w:rPr>
          <w:rFonts w:hint="eastAsia"/>
        </w:rPr>
        <w:t>具体说明</w:t>
      </w:r>
    </w:p>
    <w:sdt>
      <w:sdtPr>
        <w:rPr>
          <w:rFonts w:hint="eastAsia"/>
        </w:rPr>
        <w:alias w:val="是否适用：社会责任工作情况[双击切换]"/>
        <w:tag w:val="_GBC_193e5fab56724eddabaa8d0d74a4b129"/>
        <w:id w:val="25988"/>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127"/>
        <w:numPr>
          <w:ilvl w:val="0"/>
          <w:numId w:val="31"/>
        </w:numPr>
        <w:tabs>
          <w:tab w:val="left" w:pos="426"/>
        </w:tabs>
        <w:ind w:left="425" w:hanging="425"/>
        <w:jc w:val="left"/>
        <w:rPr>
          <w:rFonts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94f5c59c87964f1f83743f3f44109e91"/>
        <w:id w:val="25989"/>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268"/>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d29d252d89d54e55bc5bc96bc0b5b469"/>
            <w:id w:val="25990"/>
          </w:sdtPr>
          <w:sdtEndPr>
            <w:rPr>
              <w:rFonts w:hint="eastAsia"/>
            </w:rPr>
          </w:sdtEndPr>
          <w:sdtContent>
            <w:tc>
              <w:tcPr>
                <w:tcW w:w="1704" w:type="pct"/>
                <w:shd w:val="clear" w:color="auto" w:fill="auto"/>
              </w:tcPr>
              <w:p>
                <w:pPr>
                  <w:widowControl w:val="0"/>
                  <w:jc w:val="center"/>
                </w:pPr>
                <w:r>
                  <w:rPr>
                    <w:rFonts w:hint="eastAsia"/>
                  </w:rPr>
                  <w:t>扶贫及乡村振兴项目</w:t>
                </w:r>
              </w:p>
            </w:tc>
          </w:sdtContent>
        </w:sdt>
        <w:sdt>
          <w:sdtPr>
            <w:rPr>
              <w:rFonts w:hint="eastAsia"/>
            </w:rPr>
            <w:tag w:val="_PLD_a6391e1627b241d296ea0039eb1df6ec"/>
            <w:id w:val="25991"/>
          </w:sdtPr>
          <w:sdtEndPr>
            <w:rPr>
              <w:rFonts w:hint="eastAsia"/>
            </w:rPr>
          </w:sdtEndPr>
          <w:sdtContent>
            <w:tc>
              <w:tcPr>
                <w:tcW w:w="1253" w:type="pct"/>
                <w:shd w:val="clear" w:color="auto" w:fill="auto"/>
              </w:tcPr>
              <w:p>
                <w:pPr>
                  <w:widowControl w:val="0"/>
                  <w:jc w:val="center"/>
                </w:pPr>
                <w:r>
                  <w:rPr>
                    <w:rFonts w:hint="eastAsia"/>
                  </w:rPr>
                  <w:t>数量/内容</w:t>
                </w:r>
              </w:p>
            </w:tc>
          </w:sdtContent>
        </w:sdt>
        <w:sdt>
          <w:sdtPr>
            <w:rPr>
              <w:rFonts w:hint="eastAsia"/>
            </w:rPr>
            <w:tag w:val="_PLD_a8d1c4a093dd414b9639e1cb3e55c142"/>
            <w:id w:val="25992"/>
          </w:sdtPr>
          <w:sdtEndPr>
            <w:rPr>
              <w:rFonts w:hint="eastAsia"/>
            </w:rPr>
          </w:sdtEndPr>
          <w:sdtContent>
            <w:tc>
              <w:tcPr>
                <w:tcW w:w="2042" w:type="pct"/>
                <w:shd w:val="clear" w:color="auto" w:fill="auto"/>
              </w:tcPr>
              <w:p>
                <w:pPr>
                  <w:widowControl w:val="0"/>
                  <w:jc w:val="center"/>
                </w:pPr>
                <w:r>
                  <w:rPr>
                    <w:rFonts w:hint="eastAsia"/>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shd w:val="clear" w:color="auto" w:fill="auto"/>
          </w:tcPr>
          <w:p>
            <w:pPr>
              <w:widowControl w:val="0"/>
            </w:pPr>
            <w:r>
              <w:rPr>
                <w:rFonts w:hint="eastAsia"/>
              </w:rPr>
              <w:t>总投入（万元）</w:t>
            </w:r>
          </w:p>
        </w:tc>
        <w:tc>
          <w:tcPr>
            <w:tcW w:w="1253" w:type="pct"/>
            <w:shd w:val="clear" w:color="auto" w:fill="auto"/>
            <w:vAlign w:val="center"/>
          </w:tcPr>
          <w:p>
            <w:pPr>
              <w:widowControl w:val="0"/>
              <w:jc w:val="right"/>
              <w:rPr>
                <w:rFonts w:hint="default" w:ascii="Times New Roman" w:hAnsi="Times New Roman" w:eastAsia="宋体"/>
                <w:sz w:val="21"/>
                <w:lang w:val="en-US" w:eastAsia="zh-CN"/>
              </w:rPr>
            </w:pPr>
            <w:r>
              <w:rPr>
                <w:rFonts w:hint="eastAsia" w:ascii="Times New Roman" w:hAnsi="Times New Roman"/>
                <w:sz w:val="21"/>
                <w:szCs w:val="21"/>
                <w:lang w:val="en-US" w:eastAsia="zh-CN"/>
              </w:rPr>
              <w:t>56.77</w:t>
            </w:r>
          </w:p>
        </w:tc>
        <w:tc>
          <w:tcPr>
            <w:tcW w:w="2042" w:type="pct"/>
            <w:shd w:val="clear" w:color="auto" w:fill="auto"/>
          </w:tcPr>
          <w:p>
            <w:pPr>
              <w:widowControl w:val="0"/>
              <w:jc w:val="left"/>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shd w:val="clear" w:color="auto" w:fill="auto"/>
            <w:vAlign w:val="center"/>
          </w:tcPr>
          <w:p>
            <w:pPr>
              <w:widowControl w:val="0"/>
              <w:jc w:val="both"/>
            </w:pPr>
            <w:r>
              <w:rPr>
                <w:rFonts w:hint="eastAsia"/>
              </w:rPr>
              <w:t>其中：资金（万元）</w:t>
            </w:r>
          </w:p>
        </w:tc>
        <w:tc>
          <w:tcPr>
            <w:tcW w:w="1253" w:type="pct"/>
            <w:shd w:val="clear" w:color="auto" w:fill="auto"/>
            <w:vAlign w:val="center"/>
          </w:tcPr>
          <w:p>
            <w:pPr>
              <w:widowControl w:val="0"/>
              <w:jc w:val="right"/>
              <w:rPr>
                <w:rFonts w:ascii="Times New Roman" w:hAnsi="Times New Roman"/>
                <w:sz w:val="21"/>
              </w:rPr>
            </w:pPr>
            <w:r>
              <w:rPr>
                <w:rFonts w:hint="default" w:ascii="Times New Roman" w:hAnsi="Times New Roman"/>
                <w:sz w:val="21"/>
                <w:szCs w:val="21"/>
                <w:lang w:val="en-US"/>
              </w:rPr>
              <w:t>25.06</w:t>
            </w:r>
          </w:p>
        </w:tc>
        <w:tc>
          <w:tcPr>
            <w:tcW w:w="2042" w:type="pct"/>
            <w:shd w:val="clear" w:color="auto" w:fill="auto"/>
            <w:vAlign w:val="top"/>
          </w:tcPr>
          <w:p>
            <w:pPr>
              <w:widowControl w:val="0"/>
              <w:jc w:val="left"/>
              <w:rPr>
                <w:rFonts w:hint="eastAsia" w:ascii="Times New Roman" w:hAnsi="Times New Roman" w:eastAsia="宋体" w:cs="宋体"/>
                <w:sz w:val="21"/>
                <w:szCs w:val="21"/>
                <w:lang w:val="en-US" w:eastAsia="zh-CN" w:bidi="ar-SA"/>
              </w:rPr>
            </w:pPr>
            <w:r>
              <w:rPr>
                <w:rFonts w:hint="eastAsia" w:ascii="Times New Roman" w:hAnsi="Times New Roman"/>
                <w:sz w:val="21"/>
                <w:szCs w:val="21"/>
                <w:lang w:eastAsia="zh-CN"/>
              </w:rPr>
              <w:t>包括：工作队员（补贴、购买保险、体验）、第一书记年度专项资金、慰问金、捐赠资金、调研费用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shd w:val="clear" w:color="auto" w:fill="auto"/>
            <w:vAlign w:val="center"/>
          </w:tcPr>
          <w:p>
            <w:pPr>
              <w:widowControl w:val="0"/>
              <w:jc w:val="center"/>
            </w:pPr>
            <w:r>
              <w:rPr>
                <w:rFonts w:hint="eastAsia"/>
              </w:rPr>
              <w:t>物资折款（万元）</w:t>
            </w:r>
          </w:p>
        </w:tc>
        <w:tc>
          <w:tcPr>
            <w:tcW w:w="1253" w:type="pct"/>
            <w:shd w:val="clear" w:color="auto" w:fill="auto"/>
            <w:vAlign w:val="center"/>
          </w:tcPr>
          <w:p>
            <w:pPr>
              <w:widowControl w:val="0"/>
              <w:jc w:val="right"/>
              <w:rPr>
                <w:rFonts w:hint="default" w:ascii="Times New Roman" w:hAnsi="Times New Roman" w:eastAsia="宋体"/>
                <w:sz w:val="21"/>
                <w:lang w:val="en-US" w:eastAsia="zh-CN"/>
              </w:rPr>
            </w:pPr>
            <w:r>
              <w:rPr>
                <w:rFonts w:hint="eastAsia" w:ascii="Times New Roman" w:hAnsi="Times New Roman"/>
                <w:sz w:val="21"/>
                <w:szCs w:val="21"/>
                <w:lang w:val="en-US" w:eastAsia="zh-CN"/>
              </w:rPr>
              <w:t>31.71</w:t>
            </w:r>
          </w:p>
        </w:tc>
        <w:tc>
          <w:tcPr>
            <w:tcW w:w="2042" w:type="pct"/>
            <w:shd w:val="clear" w:color="auto" w:fill="auto"/>
          </w:tcPr>
          <w:p>
            <w:pPr>
              <w:widowControl w:val="0"/>
              <w:jc w:val="left"/>
              <w:rPr>
                <w:rFonts w:ascii="Times New Roman" w:hAnsi="Times New Roman"/>
                <w:sz w:val="21"/>
              </w:rPr>
            </w:pPr>
            <w:r>
              <w:rPr>
                <w:rFonts w:hint="eastAsia" w:ascii="Times New Roman" w:hAnsi="Times New Roman"/>
                <w:sz w:val="21"/>
                <w:szCs w:val="21"/>
              </w:rPr>
              <w:t>含购买慰问品物资费用、购买脱贫地区农副产品金额（含工会经费购买和职工认购）。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shd w:val="clear" w:color="auto" w:fill="auto"/>
          </w:tcPr>
          <w:p>
            <w:pPr>
              <w:widowControl w:val="0"/>
            </w:pPr>
            <w:r>
              <w:rPr>
                <w:rFonts w:hint="eastAsia"/>
              </w:rPr>
              <w:t>惠及人数（人）</w:t>
            </w:r>
          </w:p>
        </w:tc>
        <w:tc>
          <w:tcPr>
            <w:tcW w:w="1253" w:type="pct"/>
            <w:shd w:val="clear" w:color="auto" w:fill="auto"/>
            <w:vAlign w:val="center"/>
          </w:tcPr>
          <w:p>
            <w:pPr>
              <w:widowControl w:val="0"/>
              <w:jc w:val="right"/>
              <w:rPr>
                <w:rFonts w:ascii="Times New Roman" w:hAnsi="Times New Roman"/>
                <w:sz w:val="21"/>
              </w:rPr>
            </w:pPr>
            <w:r>
              <w:rPr>
                <w:rFonts w:hint="default" w:ascii="Times New Roman" w:hAnsi="Times New Roman"/>
                <w:sz w:val="21"/>
                <w:szCs w:val="21"/>
                <w:lang w:val="en-US"/>
              </w:rPr>
              <w:t>137</w:t>
            </w:r>
          </w:p>
        </w:tc>
        <w:tc>
          <w:tcPr>
            <w:tcW w:w="2042" w:type="pct"/>
            <w:shd w:val="clear" w:color="auto" w:fill="auto"/>
          </w:tcPr>
          <w:p>
            <w:pPr>
              <w:widowControl w:val="0"/>
              <w:jc w:val="left"/>
              <w:rPr>
                <w:rFonts w:ascii="Times New Roman" w:hAnsi="Times New Roman"/>
                <w:sz w:val="21"/>
              </w:rPr>
            </w:pPr>
            <w:r>
              <w:rPr>
                <w:rFonts w:hint="eastAsia" w:ascii="Times New Roman" w:hAnsi="Times New Roman"/>
                <w:sz w:val="21"/>
                <w:szCs w:val="21"/>
                <w:lang w:eastAsia="zh-CN"/>
              </w:rPr>
              <w:t>志愿服务、党建联盟等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shd w:val="clear" w:color="auto" w:fill="auto"/>
          </w:tcPr>
          <w:p>
            <w:pPr>
              <w:widowControl w:val="0"/>
            </w:pPr>
            <w:r>
              <w:rPr>
                <w:rFonts w:hint="eastAsia"/>
              </w:rPr>
              <w:t>帮扶形式（如产业扶贫、就业扶贫、教育扶贫等）</w:t>
            </w:r>
          </w:p>
        </w:tc>
        <w:tc>
          <w:tcPr>
            <w:tcW w:w="1253" w:type="pct"/>
            <w:shd w:val="clear" w:color="auto" w:fill="auto"/>
            <w:vAlign w:val="center"/>
          </w:tcPr>
          <w:p>
            <w:pPr>
              <w:widowControl w:val="0"/>
              <w:jc w:val="right"/>
              <w:rPr>
                <w:rFonts w:ascii="Times New Roman" w:hAnsi="Times New Roman"/>
                <w:sz w:val="21"/>
              </w:rPr>
            </w:pPr>
            <w:r>
              <w:rPr>
                <w:rFonts w:hint="eastAsia" w:ascii="Times New Roman" w:hAnsi="Times New Roman"/>
                <w:sz w:val="21"/>
                <w:szCs w:val="21"/>
              </w:rPr>
              <w:t>产业扶贫</w:t>
            </w:r>
            <w:r>
              <w:rPr>
                <w:rFonts w:hint="eastAsia" w:ascii="Times New Roman" w:hAnsi="Times New Roman"/>
                <w:sz w:val="21"/>
                <w:szCs w:val="21"/>
                <w:lang w:eastAsia="zh-CN"/>
              </w:rPr>
              <w:t>、</w:t>
            </w:r>
            <w:r>
              <w:rPr>
                <w:rFonts w:hint="eastAsia" w:ascii="Times New Roman" w:hAnsi="Times New Roman"/>
                <w:sz w:val="21"/>
                <w:szCs w:val="21"/>
              </w:rPr>
              <w:t>教育扶贫</w:t>
            </w:r>
          </w:p>
        </w:tc>
        <w:tc>
          <w:tcPr>
            <w:tcW w:w="2042" w:type="pct"/>
            <w:shd w:val="clear" w:color="auto" w:fill="auto"/>
          </w:tcPr>
          <w:p>
            <w:pPr>
              <w:widowControl w:val="0"/>
              <w:jc w:val="left"/>
              <w:rPr>
                <w:rFonts w:ascii="Times New Roman" w:hAnsi="Times New Roman"/>
                <w:sz w:val="21"/>
              </w:rPr>
            </w:pPr>
          </w:p>
        </w:tc>
      </w:tr>
    </w:tbl>
    <w:p/>
    <w:p>
      <w:r>
        <w:t>具体说明</w:t>
      </w:r>
    </w:p>
    <w:sdt>
      <w:sdtPr>
        <w:alias w:val="是否适用：巩固拓展脱贫攻坚成果、乡村振兴等工作具体情况其他说明[双击切换]"/>
        <w:tag w:val="_GBC_da0a87234d174e509f00e24b4a8320dc"/>
        <w:id w:val="25993"/>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25994"/>
        <w:placeholder>
          <w:docPart w:val="GBC22222222222222222222222222222"/>
        </w:placeholder>
      </w:sdtPr>
      <w:sdtContent>
        <w:sdt>
          <w:sdtPr>
            <w:rPr>
              <w:rFonts w:ascii="宋体" w:hAnsi="宋体" w:eastAsia="宋体" w:cs="宋体"/>
              <w:kern w:val="2"/>
              <w:sz w:val="21"/>
              <w:szCs w:val="24"/>
              <w:lang w:val="en-US" w:eastAsia="zh-CN" w:bidi="ar-SA"/>
            </w:rPr>
            <w:alias w:val="巩固拓展脱贫攻坚成果、乡村振兴工作具体情况"/>
            <w:tag w:val="_GBC_6af1d9c635ca457eaede5db7b23daa68"/>
            <w:id w:val="25995"/>
            <w:placeholder>
              <w:docPart w:val="{e1d8bb72-970a-406b-9ffc-25f1718bc4c8}"/>
            </w:placeholder>
          </w:sdtPr>
          <w:sdtEndPr>
            <w:rPr>
              <w:rFonts w:ascii="宋体" w:hAnsi="宋体" w:eastAsia="宋体" w:cs="宋体"/>
              <w:kern w:val="0"/>
              <w:sz w:val="21"/>
              <w:szCs w:val="24"/>
              <w:lang w:val="en-US" w:eastAsia="zh-CN" w:bidi="ar-SA"/>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rPr>
              </w:pPr>
              <w:r>
                <w:rPr>
                  <w:rFonts w:hint="eastAsia"/>
                </w:rPr>
                <w:t>公司</w:t>
              </w:r>
              <w:r>
                <w:rPr>
                  <w:rFonts w:hint="eastAsia" w:ascii="Times New Roman" w:hAnsi="Times New Roman"/>
                  <w:sz w:val="21"/>
                </w:rPr>
                <w:t>积极响应党和国家的号召，在政府及各级部门指导下，着重建设点对点帮扶，助力巩固脱贫攻坚成果，持续建设乡村振兴工程。</w:t>
              </w:r>
              <w:r>
                <w:rPr>
                  <w:rFonts w:hint="eastAsia" w:ascii="Times New Roman" w:hAnsi="Times New Roman"/>
                  <w:sz w:val="21"/>
                  <w:lang w:val="en-US" w:eastAsia="zh-CN"/>
                </w:rPr>
                <w:t>公司</w:t>
              </w:r>
              <w:r>
                <w:rPr>
                  <w:rFonts w:hint="eastAsia" w:ascii="Times New Roman" w:hAnsi="Times New Roman"/>
                  <w:sz w:val="21"/>
                </w:rPr>
                <w:t>按部署对接帮扶柳州市三江县洋溪乡信洞村，选派驻村工作者，践行乡村振兴的企业责任。2023年以来，公司党委积极与村委对接，结合实际先后策划实施了信洞村第一书记示范种植小土豆项目、利用村里撂荒土地复耕复种西瓜项目、利用闲置土地发展信洞村高山红薯产业等项目，推动乡村优质农产品“种得下、运得出、卖的掉”，在帮助壮大村集体经济的同时，也让村民拥有自己的产业，通过劳动致富，实现可持续发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kern w:val="0"/>
                  <w:sz w:val="21"/>
                  <w:szCs w:val="24"/>
                  <w:lang w:val="en-US" w:eastAsia="zh-CN" w:bidi="ar-SA"/>
                </w:rPr>
              </w:pPr>
              <w:r>
                <w:rPr>
                  <w:rFonts w:hint="eastAsia" w:ascii="Times New Roman" w:hAnsi="Times New Roman"/>
                  <w:sz w:val="21"/>
                </w:rPr>
                <w:t>公司注重产业帮扶，力所能及购置脱贫地区农副产品，深入推进国家乡村振兴工作部署要求。</w:t>
              </w:r>
              <w:r>
                <w:rPr>
                  <w:rFonts w:ascii="Times New Roman" w:hAnsi="Times New Roman" w:cs="Times New Roman"/>
                  <w:sz w:val="21"/>
                </w:rPr>
                <w:t>202</w:t>
              </w:r>
              <w:r>
                <w:rPr>
                  <w:rFonts w:hint="eastAsia" w:ascii="Times New Roman" w:hAnsi="Times New Roman" w:cs="Times New Roman"/>
                  <w:sz w:val="21"/>
                  <w:lang w:val="en-US" w:eastAsia="zh-CN"/>
                </w:rPr>
                <w:t>4</w:t>
              </w:r>
              <w:r>
                <w:rPr>
                  <w:rFonts w:ascii="Times New Roman" w:hAnsi="Times New Roman" w:cs="Times New Roman"/>
                  <w:sz w:val="21"/>
                </w:rPr>
                <w:t>年</w:t>
              </w:r>
              <w:r>
                <w:rPr>
                  <w:rFonts w:hint="eastAsia" w:ascii="Times New Roman" w:hAnsi="Times New Roman"/>
                  <w:sz w:val="21"/>
                </w:rPr>
                <w:t>，公司将持续发挥巩固脱贫攻坚成果的中坚力量，发挥国有企业在助力乡村振兴中的引领作用，多维度承担社会责任，谱写民族品牌价值。</w:t>
              </w:r>
            </w:p>
          </w:sdtContent>
        </w:sdt>
        <w:p/>
      </w:sdtContent>
    </w:sdt>
    <w:p/>
    <w:p>
      <w:pPr>
        <w:sectPr>
          <w:pgSz w:w="11906" w:h="16838"/>
          <w:pgMar w:top="1525" w:right="1276" w:bottom="1440" w:left="1797" w:header="851" w:footer="992" w:gutter="0"/>
          <w:cols w:space="425" w:num="1"/>
          <w:docGrid w:linePitch="312" w:charSpace="0"/>
        </w:sectPr>
      </w:pPr>
    </w:p>
    <w:bookmarkEnd w:id="87"/>
    <w:p/>
    <w:bookmarkEnd w:id="88"/>
    <w:p>
      <w:pPr>
        <w:pStyle w:val="2"/>
        <w:numPr>
          <w:ilvl w:val="0"/>
          <w:numId w:val="2"/>
        </w:numPr>
      </w:pPr>
      <w:bookmarkStart w:id="91" w:name="_Toc89790253"/>
      <w:bookmarkStart w:id="92" w:name="_Hlk90554245"/>
      <w:r>
        <w:rPr>
          <w:rFonts w:hint="eastAsia"/>
        </w:rPr>
        <w:t>重要事项</w:t>
      </w:r>
      <w:bookmarkEnd w:id="91"/>
    </w:p>
    <w:p>
      <w:pPr>
        <w:pStyle w:val="3"/>
        <w:numPr>
          <w:ilvl w:val="0"/>
          <w:numId w:val="36"/>
        </w:numPr>
      </w:pPr>
      <w:r>
        <w:rPr>
          <w:rFonts w:hint="eastAsia"/>
        </w:rPr>
        <w:t>承诺事项履行情况</w:t>
      </w:r>
    </w:p>
    <w:p>
      <w:pPr>
        <w:pStyle w:val="4"/>
        <w:numPr>
          <w:ilvl w:val="1"/>
          <w:numId w:val="37"/>
        </w:numPr>
        <w:rPr>
          <w:szCs w:val="21"/>
        </w:rPr>
      </w:pPr>
      <w:r>
        <w:rPr>
          <w:rFonts w:hint="eastAsia"/>
          <w:szCs w:val="21"/>
        </w:rPr>
        <w:t>公司实际控制人、股东、关联方、收购人以及公司等承诺相关方在报告期内或持续到报告期内的承诺事项</w:t>
      </w:r>
    </w:p>
    <w:p>
      <w:pPr>
        <w:rPr>
          <w:rFonts w:hint="eastAsia" w:eastAsia="宋体"/>
          <w:lang w:eastAsia="zh-CN"/>
        </w:rPr>
      </w:pPr>
    </w:p>
    <w:sdt>
      <w:sdtPr>
        <w:alias w:val="是否适用：公司实际控制人、股东、关联方、收购人以及公司等承诺相关方在报告期内或持续到报告期内的承诺事项 [双击切换]"/>
        <w:tag w:val="_GBC_7f8023d2dd4a4d4098835890009f7c40"/>
        <w:id w:val="25996"/>
        <w:placeholder>
          <w:docPart w:val="{20a43d6b-c7d7-4aef-ab52-fd1001acc044}"/>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tbl>
      <w:tblPr>
        <w:tblStyle w:val="37"/>
        <w:tblpPr w:leftFromText="180" w:rightFromText="180" w:vertAnchor="text" w:horzAnchor="page" w:tblpXSpec="center" w:tblpY="26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900"/>
        <w:gridCol w:w="1336"/>
        <w:gridCol w:w="4351"/>
        <w:gridCol w:w="1474"/>
        <w:gridCol w:w="777"/>
        <w:gridCol w:w="649"/>
        <w:gridCol w:w="803"/>
        <w:gridCol w:w="113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default" w:ascii="Times New Roman" w:hAnsi="Times New Roman" w:cs="Times New Roman"/>
            </w:rPr>
            <w:tag w:val="_PLD_415cfb23b46b41fba9f0b895a1088fd6"/>
            <w:id w:val="25997"/>
          </w:sdtPr>
          <w:sdtEndPr>
            <w:rPr>
              <w:rFonts w:hint="default" w:ascii="Times New Roman" w:hAnsi="Times New Roman" w:cs="Times New Roman"/>
            </w:rPr>
          </w:sdtEndPr>
          <w:sdtContent>
            <w:tc>
              <w:tcPr>
                <w:tcW w:w="5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承诺背景</w:t>
                </w:r>
              </w:p>
            </w:tc>
          </w:sdtContent>
        </w:sdt>
        <w:sdt>
          <w:sdtPr>
            <w:rPr>
              <w:rFonts w:hint="default" w:ascii="Times New Roman" w:hAnsi="Times New Roman" w:cs="Times New Roman"/>
            </w:rPr>
            <w:tag w:val="_PLD_6d89eb5533974f2f9b788e2563589a7c"/>
            <w:id w:val="25998"/>
          </w:sdtPr>
          <w:sdtEndPr>
            <w:rPr>
              <w:rFonts w:hint="default" w:ascii="Times New Roman" w:hAnsi="Times New Roman" w:cs="Times New Roman"/>
            </w:rPr>
          </w:sdtEndPr>
          <w:sdtContent>
            <w:tc>
              <w:tcPr>
                <w:tcW w:w="319"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承诺</w:t>
                </w:r>
              </w:p>
              <w:p>
                <w:pPr>
                  <w:jc w:val="center"/>
                  <w:rPr>
                    <w:rFonts w:hint="default" w:ascii="Times New Roman" w:hAnsi="Times New Roman" w:cs="Times New Roman"/>
                    <w:szCs w:val="21"/>
                  </w:rPr>
                </w:pPr>
                <w:r>
                  <w:rPr>
                    <w:rFonts w:hint="default" w:ascii="Times New Roman" w:hAnsi="Times New Roman" w:cs="Times New Roman"/>
                    <w:szCs w:val="21"/>
                  </w:rPr>
                  <w:t>类型</w:t>
                </w:r>
              </w:p>
            </w:tc>
          </w:sdtContent>
        </w:sdt>
        <w:sdt>
          <w:sdtPr>
            <w:rPr>
              <w:rFonts w:hint="default" w:ascii="Times New Roman" w:hAnsi="Times New Roman" w:cs="Times New Roman"/>
            </w:rPr>
            <w:tag w:val="_PLD_4e3459cf954648c5ade489d7f239c9b2"/>
            <w:id w:val="25999"/>
          </w:sdtPr>
          <w:sdtEndPr>
            <w:rPr>
              <w:rFonts w:hint="default" w:ascii="Times New Roman" w:hAnsi="Times New Roman" w:cs="Times New Roman"/>
            </w:rPr>
          </w:sdtEndPr>
          <w:sdtContent>
            <w:tc>
              <w:tcPr>
                <w:tcW w:w="4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承诺方</w:t>
                </w:r>
              </w:p>
            </w:tc>
          </w:sdtContent>
        </w:sdt>
        <w:sdt>
          <w:sdtPr>
            <w:rPr>
              <w:rFonts w:hint="default" w:ascii="Times New Roman" w:hAnsi="Times New Roman" w:cs="Times New Roman"/>
            </w:rPr>
            <w:tag w:val="_PLD_b7ba969a5a9f484b969e33829f8fee27"/>
            <w:id w:val="26000"/>
          </w:sdtPr>
          <w:sdtEndPr>
            <w:rPr>
              <w:rFonts w:hint="default" w:ascii="Times New Roman" w:hAnsi="Times New Roman" w:cs="Times New Roman"/>
            </w:rPr>
          </w:sdtEndPr>
          <w:sdtContent>
            <w:tc>
              <w:tcPr>
                <w:tcW w:w="1543"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承诺</w:t>
                </w:r>
              </w:p>
              <w:p>
                <w:pPr>
                  <w:jc w:val="center"/>
                  <w:rPr>
                    <w:rFonts w:hint="default" w:ascii="Times New Roman" w:hAnsi="Times New Roman" w:cs="Times New Roman"/>
                    <w:szCs w:val="21"/>
                  </w:rPr>
                </w:pPr>
                <w:r>
                  <w:rPr>
                    <w:rFonts w:hint="default" w:ascii="Times New Roman" w:hAnsi="Times New Roman" w:cs="Times New Roman"/>
                    <w:szCs w:val="21"/>
                  </w:rPr>
                  <w:t>内容</w:t>
                </w:r>
              </w:p>
            </w:tc>
          </w:sdtContent>
        </w:sdt>
        <w:sdt>
          <w:sdtPr>
            <w:rPr>
              <w:rFonts w:hint="default" w:ascii="Times New Roman" w:hAnsi="Times New Roman" w:cs="Times New Roman"/>
            </w:rPr>
            <w:tag w:val="_PLD_080af5a89fc040bc90935cec09ab2cd1"/>
            <w:id w:val="26001"/>
          </w:sdtPr>
          <w:sdtEndPr>
            <w:rPr>
              <w:rFonts w:hint="default" w:ascii="Times New Roman" w:hAnsi="Times New Roman" w:cs="Times New Roman"/>
            </w:rPr>
          </w:sdtEndPr>
          <w:sdtContent>
            <w:tc>
              <w:tcPr>
                <w:tcW w:w="523" w:type="pct"/>
                <w:vAlign w:val="center"/>
              </w:tcPr>
              <w:p>
                <w:pPr>
                  <w:jc w:val="center"/>
                  <w:rPr>
                    <w:rFonts w:hint="default" w:ascii="Times New Roman" w:hAnsi="Times New Roman" w:cs="Times New Roman"/>
                  </w:rPr>
                </w:pPr>
                <w:r>
                  <w:rPr>
                    <w:rFonts w:hint="default" w:ascii="Times New Roman" w:hAnsi="Times New Roman" w:cs="Times New Roman"/>
                  </w:rPr>
                  <w:t>承诺时间</w:t>
                </w:r>
              </w:p>
            </w:tc>
          </w:sdtContent>
        </w:sdt>
        <w:sdt>
          <w:sdtPr>
            <w:rPr>
              <w:rFonts w:hint="default" w:ascii="Times New Roman" w:hAnsi="Times New Roman" w:cs="Times New Roman"/>
            </w:rPr>
            <w:tag w:val="_PLD_81953845df7c406091c017485ffe89d0"/>
            <w:id w:val="26002"/>
          </w:sdtPr>
          <w:sdtEndPr>
            <w:rPr>
              <w:rFonts w:hint="default" w:ascii="Times New Roman" w:hAnsi="Times New Roman" w:cs="Times New Roman"/>
            </w:rPr>
          </w:sdtEndPr>
          <w:sdtContent>
            <w:tc>
              <w:tcPr>
                <w:tcW w:w="275"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是否有履行期限</w:t>
                </w:r>
              </w:p>
            </w:tc>
          </w:sdtContent>
        </w:sdt>
        <w:sdt>
          <w:sdtPr>
            <w:rPr>
              <w:rFonts w:hint="default" w:ascii="Times New Roman" w:hAnsi="Times New Roman" w:cs="Times New Roman"/>
            </w:rPr>
            <w:tag w:val="_PLD_95bd18790c864943ab7728a2218411a4"/>
            <w:id w:val="26003"/>
          </w:sdtPr>
          <w:sdtEndPr>
            <w:rPr>
              <w:rFonts w:hint="default" w:ascii="Times New Roman" w:hAnsi="Times New Roman" w:cs="Times New Roman"/>
            </w:rPr>
          </w:sdtEndPr>
          <w:sdtContent>
            <w:tc>
              <w:tcPr>
                <w:tcW w:w="230" w:type="pct"/>
                <w:vAlign w:val="center"/>
              </w:tcPr>
              <w:p>
                <w:pPr>
                  <w:jc w:val="center"/>
                  <w:rPr>
                    <w:rFonts w:hint="default" w:ascii="Times New Roman" w:hAnsi="Times New Roman" w:cs="Times New Roman"/>
                  </w:rPr>
                </w:pPr>
                <w:r>
                  <w:rPr>
                    <w:rFonts w:hint="default" w:ascii="Times New Roman" w:hAnsi="Times New Roman" w:cs="Times New Roman"/>
                  </w:rPr>
                  <w:t>承诺期限</w:t>
                </w:r>
              </w:p>
            </w:tc>
          </w:sdtContent>
        </w:sdt>
        <w:sdt>
          <w:sdtPr>
            <w:rPr>
              <w:rFonts w:hint="default" w:ascii="Times New Roman" w:hAnsi="Times New Roman" w:cs="Times New Roman"/>
            </w:rPr>
            <w:tag w:val="_PLD_f70c8d8e3e374db7a8e212809462bcc0"/>
            <w:id w:val="26004"/>
          </w:sdtPr>
          <w:sdtEndPr>
            <w:rPr>
              <w:rFonts w:hint="default" w:ascii="Times New Roman" w:hAnsi="Times New Roman" w:cs="Times New Roman"/>
            </w:rPr>
          </w:sdtEndPr>
          <w:sdtContent>
            <w:tc>
              <w:tcPr>
                <w:tcW w:w="285"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是否及时严格履行</w:t>
                </w:r>
              </w:p>
            </w:tc>
          </w:sdtContent>
        </w:sdt>
        <w:sdt>
          <w:sdtPr>
            <w:rPr>
              <w:rFonts w:hint="default" w:ascii="Times New Roman" w:hAnsi="Times New Roman" w:cs="Times New Roman"/>
            </w:rPr>
            <w:tag w:val="_PLD_30da9c1a74564266bdab010410b3cfc4"/>
            <w:id w:val="26005"/>
          </w:sdtPr>
          <w:sdtEndPr>
            <w:rPr>
              <w:rFonts w:hint="default" w:ascii="Times New Roman" w:hAnsi="Times New Roman" w:cs="Times New Roman"/>
            </w:rPr>
          </w:sdtEndPr>
          <w:sdtContent>
            <w:tc>
              <w:tcPr>
                <w:tcW w:w="401"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如未能及时履行应说明未完成履行的具体原因</w:t>
                </w:r>
              </w:p>
            </w:tc>
          </w:sdtContent>
        </w:sdt>
        <w:sdt>
          <w:sdtPr>
            <w:rPr>
              <w:rFonts w:hint="default" w:ascii="Times New Roman" w:hAnsi="Times New Roman" w:cs="Times New Roman"/>
            </w:rPr>
            <w:tag w:val="_PLD_885166d72adc442aaa68aa0f496582ae"/>
            <w:id w:val="26006"/>
          </w:sdtPr>
          <w:sdtEndPr>
            <w:rPr>
              <w:rFonts w:hint="default" w:ascii="Times New Roman" w:hAnsi="Times New Roman" w:cs="Times New Roman"/>
            </w:rPr>
          </w:sdtEndPr>
          <w:sdtContent>
            <w:tc>
              <w:tcPr>
                <w:tcW w:w="372"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如未能及时履行应说明下一步计划</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74" w:type="pct"/>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收购报告书或权益变动报告书中所作承诺</w:t>
            </w:r>
          </w:p>
        </w:tc>
        <w:tc>
          <w:tcPr>
            <w:tcW w:w="319" w:type="pct"/>
            <w:shd w:val="clear" w:color="auto" w:fill="auto"/>
            <w:vAlign w:val="center"/>
          </w:tcPr>
          <w:sdt>
            <w:sdtPr>
              <w:rPr>
                <w:rFonts w:hint="default" w:ascii="Times New Roman" w:hAnsi="Times New Roman" w:cs="Times New Roman"/>
                <w:sz w:val="20"/>
                <w:szCs w:val="21"/>
              </w:rPr>
              <w:alias w:val="与收购报告书或权益变动报告书相关承诺-承诺类型"/>
              <w:tag w:val="_GBC_7e8c7b9404c242d88bc81acdfb745cf2"/>
              <w:id w:val="2600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hint="default" w:ascii="Times New Roman" w:hAnsi="Times New Roman" w:cs="Times New Roman"/>
                <w:sz w:val="20"/>
                <w:szCs w:val="21"/>
              </w:rPr>
            </w:sdtEndPr>
            <w:sdtContent>
              <w:p>
                <w:pPr>
                  <w:jc w:val="center"/>
                  <w:rPr>
                    <w:rFonts w:hint="default" w:ascii="Times New Roman" w:hAnsi="Times New Roman" w:cs="Times New Roman"/>
                    <w:sz w:val="20"/>
                    <w:szCs w:val="21"/>
                  </w:rPr>
                </w:pPr>
                <w:r>
                  <w:rPr>
                    <w:rFonts w:hint="default" w:ascii="Times New Roman" w:hAnsi="Times New Roman" w:cs="Times New Roman"/>
                    <w:szCs w:val="21"/>
                  </w:rPr>
                  <w:t>解决同业竞争</w:t>
                </w:r>
              </w:p>
            </w:sdtContent>
          </w:sdt>
          <w:p>
            <w:pPr>
              <w:jc w:val="center"/>
              <w:rPr>
                <w:rFonts w:hint="default" w:ascii="Times New Roman" w:hAnsi="Times New Roman" w:cs="Times New Roman"/>
                <w:sz w:val="20"/>
                <w:szCs w:val="21"/>
              </w:rPr>
            </w:pPr>
          </w:p>
        </w:tc>
        <w:tc>
          <w:tcPr>
            <w:tcW w:w="4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543"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保证现在和将来不经营与本公司相同的业务；亦不间接经营、参与投资与本公司业务有竞争或可能有竞争的企业；同时保证不利用其控制地位损害本公司及其他股东的合法权益。</w:t>
            </w:r>
          </w:p>
        </w:tc>
        <w:tc>
          <w:tcPr>
            <w:tcW w:w="523" w:type="pct"/>
            <w:vAlign w:val="center"/>
          </w:tcPr>
          <w:p>
            <w:pPr>
              <w:jc w:val="center"/>
              <w:rPr>
                <w:rFonts w:hint="default" w:ascii="Times New Roman" w:hAnsi="Times New Roman" w:cs="Times New Roman"/>
                <w:szCs w:val="21"/>
              </w:rPr>
            </w:pPr>
            <w:r>
              <w:rPr>
                <w:rFonts w:hint="default" w:ascii="Times New Roman" w:hAnsi="Times New Roman" w:cs="Times New Roman"/>
              </w:rPr>
              <w:t>2011年1月</w:t>
            </w:r>
          </w:p>
        </w:tc>
        <w:sdt>
          <w:sdtPr>
            <w:rPr>
              <w:rFonts w:hint="default" w:ascii="Times New Roman" w:hAnsi="Times New Roman" w:cs="Times New Roman"/>
              <w:szCs w:val="21"/>
            </w:rPr>
            <w:alias w:val="与收购报告书或权益变动报告书相关承诺-是否有履行期限"/>
            <w:tag w:val="_GBC_3738be69c5c34784a9199ff6b9605c3b"/>
            <w:id w:val="26008"/>
            <w:comboBox>
              <w:listItem w:displayText="是" w:value="true"/>
              <w:listItem w:displayText="否" w:value="false"/>
            </w:comboBox>
          </w:sdtPr>
          <w:sdtEndPr>
            <w:rPr>
              <w:rFonts w:hint="default" w:ascii="Times New Roman" w:hAnsi="Times New Roman" w:cs="Times New Roman"/>
              <w:szCs w:val="21"/>
            </w:rPr>
          </w:sdtEndPr>
          <w:sdtContent>
            <w:tc>
              <w:tcPr>
                <w:tcW w:w="275"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否</w:t>
                </w:r>
              </w:p>
            </w:tc>
          </w:sdtContent>
        </w:sdt>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sdt>
          <w:sdtPr>
            <w:rPr>
              <w:rFonts w:hint="default" w:ascii="Times New Roman" w:hAnsi="Times New Roman" w:cs="Times New Roman"/>
              <w:szCs w:val="21"/>
            </w:rPr>
            <w:alias w:val="与收购报告书或权益变动报告书相关承诺-是否及时严格履行"/>
            <w:tag w:val="_GBC_a8c36729ed1a46eb8af473efbe8b609b"/>
            <w:id w:val="26009"/>
            <w:comboBox>
              <w:listItem w:displayText="是" w:value="true"/>
              <w:listItem w:displayText="否" w:value="false"/>
            </w:comboBox>
          </w:sdtPr>
          <w:sdtEndPr>
            <w:rPr>
              <w:rFonts w:hint="default" w:ascii="Times New Roman" w:hAnsi="Times New Roman" w:cs="Times New Roman"/>
              <w:szCs w:val="21"/>
            </w:rPr>
          </w:sdtEndPr>
          <w:sdtContent>
            <w:tc>
              <w:tcPr>
                <w:tcW w:w="28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74" w:type="pct"/>
            <w:vMerge w:val="continue"/>
            <w:shd w:val="clear" w:color="auto" w:fill="auto"/>
            <w:vAlign w:val="center"/>
          </w:tcPr>
          <w:p>
            <w:pPr>
              <w:jc w:val="center"/>
              <w:rPr>
                <w:rFonts w:hint="default" w:ascii="Times New Roman" w:hAnsi="Times New Roman" w:cs="Times New Roman"/>
              </w:rPr>
            </w:pPr>
          </w:p>
        </w:tc>
        <w:tc>
          <w:tcPr>
            <w:tcW w:w="319" w:type="pct"/>
            <w:shd w:val="clear" w:color="auto" w:fill="auto"/>
            <w:vAlign w:val="center"/>
          </w:tcPr>
          <w:sdt>
            <w:sdtPr>
              <w:rPr>
                <w:rFonts w:hint="default" w:ascii="Times New Roman" w:hAnsi="Times New Roman" w:cs="Times New Roman"/>
                <w:sz w:val="20"/>
                <w:szCs w:val="21"/>
              </w:rPr>
              <w:alias w:val="与收购报告书或权益变动报告书相关承诺-承诺类型"/>
              <w:tag w:val="_GBC_7e8c7b9404c242d88bc81acdfb745cf2"/>
              <w:id w:val="2601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hint="default" w:ascii="Times New Roman" w:hAnsi="Times New Roman" w:cs="Times New Roman"/>
                <w:sz w:val="20"/>
                <w:szCs w:val="21"/>
              </w:rPr>
            </w:sdtEndPr>
            <w:sdtContent>
              <w:p>
                <w:pPr>
                  <w:jc w:val="center"/>
                  <w:rPr>
                    <w:rFonts w:hint="default" w:ascii="Times New Roman" w:hAnsi="Times New Roman" w:cs="Times New Roman"/>
                    <w:sz w:val="20"/>
                    <w:szCs w:val="21"/>
                  </w:rPr>
                </w:pPr>
                <w:r>
                  <w:rPr>
                    <w:rFonts w:hint="default" w:ascii="Times New Roman" w:hAnsi="Times New Roman" w:cs="Times New Roman"/>
                    <w:szCs w:val="21"/>
                  </w:rPr>
                  <w:t>解决关联交易</w:t>
                </w:r>
              </w:p>
            </w:sdtContent>
          </w:sdt>
          <w:p>
            <w:pPr>
              <w:jc w:val="center"/>
              <w:rPr>
                <w:rFonts w:hint="default" w:ascii="Times New Roman" w:hAnsi="Times New Roman" w:cs="Times New Roman"/>
                <w:sz w:val="20"/>
                <w:szCs w:val="21"/>
              </w:rPr>
            </w:pPr>
          </w:p>
        </w:tc>
        <w:tc>
          <w:tcPr>
            <w:tcW w:w="4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543"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对于广西柳州市产业投资发展集团有限公司及所属企业将来与本公司发生的关联交易，广西柳州市产业投资发展集团有限公司将严格履行上市公司关联交易的决策程序，遵循市场定价原则，确保公平、公正、公允，不损害本公司及本股东的合法权益。</w:t>
            </w:r>
          </w:p>
        </w:tc>
        <w:tc>
          <w:tcPr>
            <w:tcW w:w="523" w:type="pct"/>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rPr>
              <w:t>2011年1</w:t>
            </w:r>
            <w:r>
              <w:rPr>
                <w:rFonts w:hint="default" w:ascii="Times New Roman" w:hAnsi="Times New Roman" w:cs="Times New Roman"/>
                <w:lang w:val="en-US" w:eastAsia="zh-CN"/>
              </w:rPr>
              <w:t>月</w:t>
            </w:r>
          </w:p>
        </w:tc>
        <w:sdt>
          <w:sdtPr>
            <w:rPr>
              <w:rFonts w:hint="default" w:ascii="Times New Roman" w:hAnsi="Times New Roman" w:cs="Times New Roman"/>
              <w:szCs w:val="21"/>
            </w:rPr>
            <w:alias w:val="与收购报告书或权益变动报告书相关承诺-是否有履行期限"/>
            <w:tag w:val="_GBC_3738be69c5c34784a9199ff6b9605c3b"/>
            <w:id w:val="26011"/>
            <w:comboBox>
              <w:listItem w:displayText="是" w:value="true"/>
              <w:listItem w:displayText="否" w:value="false"/>
            </w:comboBox>
          </w:sdtPr>
          <w:sdtEndPr>
            <w:rPr>
              <w:rFonts w:hint="default" w:ascii="Times New Roman" w:hAnsi="Times New Roman" w:cs="Times New Roman"/>
              <w:szCs w:val="21"/>
            </w:rPr>
          </w:sdtEndPr>
          <w:sdtContent>
            <w:tc>
              <w:tcPr>
                <w:tcW w:w="275"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否</w:t>
                </w:r>
              </w:p>
            </w:tc>
          </w:sdtContent>
        </w:sdt>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sdt>
          <w:sdtPr>
            <w:rPr>
              <w:rFonts w:hint="default" w:ascii="Times New Roman" w:hAnsi="Times New Roman" w:cs="Times New Roman"/>
              <w:szCs w:val="21"/>
            </w:rPr>
            <w:alias w:val="与收购报告书或权益变动报告书相关承诺-是否及时严格履行"/>
            <w:tag w:val="_GBC_a8c36729ed1a46eb8af473efbe8b609b"/>
            <w:id w:val="26012"/>
            <w:comboBox>
              <w:listItem w:displayText="是" w:value="true"/>
              <w:listItem w:displayText="否" w:value="false"/>
            </w:comboBox>
          </w:sdtPr>
          <w:sdtEndPr>
            <w:rPr>
              <w:rFonts w:hint="default" w:ascii="Times New Roman" w:hAnsi="Times New Roman" w:cs="Times New Roman"/>
              <w:szCs w:val="21"/>
            </w:rPr>
          </w:sdtEndPr>
          <w:sdtContent>
            <w:tc>
              <w:tcPr>
                <w:tcW w:w="28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pct"/>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与重大资产重组相关的承诺</w:t>
            </w:r>
          </w:p>
        </w:tc>
        <w:sdt>
          <w:sdtPr>
            <w:rPr>
              <w:rFonts w:hint="default" w:ascii="Times New Roman" w:hAnsi="Times New Roman" w:cs="Times New Roman"/>
              <w:szCs w:val="21"/>
            </w:rPr>
            <w:alias w:val="与重大资产重组相关的承诺-承诺类型"/>
            <w:tag w:val="_GBC_aa9c1c9305e348ad982dd128c1675ee8"/>
            <w:id w:val="2601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hint="default" w:ascii="Times New Roman" w:hAnsi="Times New Roman" w:cs="Times New Roman"/>
              <w:szCs w:val="21"/>
            </w:rPr>
          </w:sdtEndPr>
          <w:sdtContent>
            <w:tc>
              <w:tcPr>
                <w:tcW w:w="319"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解决同业竞争</w:t>
                </w:r>
              </w:p>
            </w:tc>
          </w:sdtContent>
        </w:sdt>
        <w:tc>
          <w:tcPr>
            <w:tcW w:w="4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543"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1.本公司不以直接或间接的方式从事、参与与上市公司及其下属企业经营业务构成潜在的直接或间接竞争的业务；保证将采取合法及有效的措施，促使本公司控制的其他企业不从事、参与与上市公司及其下属企业的经营运作相竞争的任何业务；2.如上市公司进一步拓展其业务范围，本公司及本公司控制的其他企业将不与上市公司拓展后的业务相竞争；可能与上市公司拓展后的业务产生竞争的，本公司及本公司控制的其他企业将按照如下方式退出与上市公司的竞争：（1）停止与上市公司构成竞争或可能构成竞争的业务；（2）将相竞争的业务纳入到上市公司来经营；（3）将相竞争的业务转让给无关联的第三方；3.如本公司及本公司控制的其他企业有任何商业机会可从事、参与任何可能与上市公司的经营运作构成竞争的活动，则立即将上述商业机会通知上市公司，在通知中所指定的合理期间内，上市公司作出愿意利用该商业机会的肯定答复的，则尽力将该商业机会给予上市公司；4.如违反以上承诺，本公司愿意承担由此产生的全部责任，充分赔偿或补偿由此给上市公司造成的所有直接或间接损失。</w:t>
            </w:r>
          </w:p>
        </w:tc>
        <w:tc>
          <w:tcPr>
            <w:tcW w:w="523" w:type="pct"/>
            <w:vAlign w:val="center"/>
          </w:tcPr>
          <w:p>
            <w:pPr>
              <w:jc w:val="both"/>
              <w:rPr>
                <w:rFonts w:hint="default" w:ascii="Times New Roman" w:hAnsi="Times New Roman" w:cs="Times New Roman"/>
                <w:szCs w:val="21"/>
              </w:rPr>
            </w:pPr>
            <w:r>
              <w:rPr>
                <w:rFonts w:hint="default" w:ascii="Times New Roman" w:hAnsi="Times New Roman" w:cs="Times New Roman"/>
              </w:rPr>
              <w:t>2019年11月</w:t>
            </w:r>
          </w:p>
        </w:tc>
        <w:sdt>
          <w:sdtPr>
            <w:rPr>
              <w:rFonts w:hint="default" w:ascii="Times New Roman" w:hAnsi="Times New Roman" w:cs="Times New Roman"/>
              <w:szCs w:val="21"/>
            </w:rPr>
            <w:alias w:val="与重大资产重组相关的承诺-是否有履行期限"/>
            <w:tag w:val="_GBC_5b634ddcd7f24eb298fb3573998d3f89"/>
            <w:id w:val="26014"/>
            <w:comboBox>
              <w:listItem w:displayText="是" w:value="true"/>
              <w:listItem w:displayText="否" w:value="false"/>
            </w:comboBox>
          </w:sdtPr>
          <w:sdtEndPr>
            <w:rPr>
              <w:rFonts w:hint="default" w:ascii="Times New Roman" w:hAnsi="Times New Roman" w:cs="Times New Roman"/>
              <w:szCs w:val="21"/>
            </w:rPr>
          </w:sdtEndPr>
          <w:sdtContent>
            <w:tc>
              <w:tcPr>
                <w:tcW w:w="27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sdt>
          <w:sdtPr>
            <w:rPr>
              <w:rFonts w:hint="default" w:ascii="Times New Roman" w:hAnsi="Times New Roman" w:cs="Times New Roman"/>
              <w:szCs w:val="21"/>
            </w:rPr>
            <w:alias w:val="与重大资产重组相关的承诺-是否及时严格履行"/>
            <w:tag w:val="_GBC_258690e2d1934d0cb87574e307cdecdb"/>
            <w:id w:val="26015"/>
            <w:comboBox>
              <w:listItem w:displayText="是" w:value="true"/>
              <w:listItem w:displayText="否" w:value="false"/>
            </w:comboBox>
          </w:sdtPr>
          <w:sdtEndPr>
            <w:rPr>
              <w:rFonts w:hint="default" w:ascii="Times New Roman" w:hAnsi="Times New Roman" w:cs="Times New Roman"/>
              <w:szCs w:val="21"/>
            </w:rPr>
          </w:sdtEndPr>
          <w:sdtContent>
            <w:tc>
              <w:tcPr>
                <w:tcW w:w="28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pct"/>
            <w:vMerge w:val="continue"/>
            <w:shd w:val="clear" w:color="auto" w:fill="auto"/>
            <w:vAlign w:val="center"/>
          </w:tcPr>
          <w:p>
            <w:pPr>
              <w:jc w:val="center"/>
              <w:rPr>
                <w:rFonts w:hint="default" w:ascii="Times New Roman" w:hAnsi="Times New Roman" w:cs="Times New Roman"/>
              </w:rPr>
            </w:pPr>
          </w:p>
        </w:tc>
        <w:sdt>
          <w:sdtPr>
            <w:rPr>
              <w:rFonts w:hint="default" w:ascii="Times New Roman" w:hAnsi="Times New Roman" w:cs="Times New Roman"/>
              <w:szCs w:val="21"/>
            </w:rPr>
            <w:alias w:val="与重大资产重组相关的承诺-承诺类型"/>
            <w:tag w:val="_GBC_aa9c1c9305e348ad982dd128c1675ee8"/>
            <w:id w:val="2601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hint="default" w:ascii="Times New Roman" w:hAnsi="Times New Roman" w:cs="Times New Roman"/>
              <w:szCs w:val="21"/>
            </w:rPr>
          </w:sdtEndPr>
          <w:sdtContent>
            <w:tc>
              <w:tcPr>
                <w:tcW w:w="319"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解决同业竞争</w:t>
                </w:r>
              </w:p>
            </w:tc>
          </w:sdtContent>
        </w:sdt>
        <w:tc>
          <w:tcPr>
            <w:tcW w:w="4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1543"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1.本公司及本公司控制的企业将尽可能减少与上市公司的关联交易，不会利用自身作为上市公司股东之地位谋求与上市公司在业务合作等方面给予优于其他第三方的权利；2.本公司不会利用自身作为上市公司股东之地位谋求与上市公司优先达成交易的权利；3.若存在确有必要且不可避免的关联交易，本公司及本公司控制的企业将与上市公司按照公平、公允、等价有偿等原则依法签订协议，履行合法程序，并将按照有关法律、法规规范性文件的要求和《上市公司章程》的规定，依法履行信息披露义务并履行相关内部决策、报批程序，保证不以与市场价格相比显失公允的条件与上市公司进行交易，亦不利用该类交易从事任何损害上市公司及其他股东的合法权益的行为。</w:t>
            </w:r>
          </w:p>
        </w:tc>
        <w:tc>
          <w:tcPr>
            <w:tcW w:w="523" w:type="pct"/>
            <w:vAlign w:val="center"/>
          </w:tcPr>
          <w:p>
            <w:pPr>
              <w:jc w:val="center"/>
              <w:rPr>
                <w:rFonts w:hint="default" w:ascii="Times New Roman" w:hAnsi="Times New Roman" w:cs="Times New Roman"/>
                <w:szCs w:val="21"/>
              </w:rPr>
            </w:pPr>
            <w:r>
              <w:rPr>
                <w:rFonts w:hint="default" w:ascii="Times New Roman" w:hAnsi="Times New Roman" w:cs="Times New Roman"/>
              </w:rPr>
              <w:t>2019年11月</w:t>
            </w:r>
          </w:p>
        </w:tc>
        <w:sdt>
          <w:sdtPr>
            <w:rPr>
              <w:rFonts w:hint="default" w:ascii="Times New Roman" w:hAnsi="Times New Roman" w:cs="Times New Roman"/>
              <w:szCs w:val="21"/>
            </w:rPr>
            <w:alias w:val="与重大资产重组相关的承诺-是否有履行期限"/>
            <w:tag w:val="_GBC_5b634ddcd7f24eb298fb3573998d3f89"/>
            <w:id w:val="26017"/>
            <w:comboBox>
              <w:listItem w:displayText="是" w:value="true"/>
              <w:listItem w:displayText="否" w:value="false"/>
            </w:comboBox>
          </w:sdtPr>
          <w:sdtEndPr>
            <w:rPr>
              <w:rFonts w:hint="default" w:ascii="Times New Roman" w:hAnsi="Times New Roman" w:cs="Times New Roman"/>
              <w:szCs w:val="21"/>
            </w:rPr>
          </w:sdtEndPr>
          <w:sdtContent>
            <w:tc>
              <w:tcPr>
                <w:tcW w:w="27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否</w:t>
                </w:r>
              </w:p>
            </w:tc>
          </w:sdtContent>
        </w:sdt>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sdt>
          <w:sdtPr>
            <w:rPr>
              <w:rFonts w:hint="default" w:ascii="Times New Roman" w:hAnsi="Times New Roman" w:cs="Times New Roman"/>
              <w:szCs w:val="21"/>
            </w:rPr>
            <w:alias w:val="与重大资产重组相关的承诺-是否及时严格履行"/>
            <w:tag w:val="_GBC_258690e2d1934d0cb87574e307cdecdb"/>
            <w:id w:val="26018"/>
            <w:comboBox>
              <w:listItem w:displayText="是" w:value="true"/>
              <w:listItem w:displayText="否" w:value="false"/>
            </w:comboBox>
          </w:sdtPr>
          <w:sdtEndPr>
            <w:rPr>
              <w:rFonts w:hint="default" w:ascii="Times New Roman" w:hAnsi="Times New Roman" w:cs="Times New Roman"/>
              <w:szCs w:val="21"/>
            </w:rPr>
          </w:sdtEndPr>
          <w:sdtContent>
            <w:tc>
              <w:tcPr>
                <w:tcW w:w="28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pct"/>
            <w:shd w:val="clear" w:color="auto" w:fill="auto"/>
            <w:vAlign w:val="center"/>
          </w:tcPr>
          <w:p>
            <w:pPr>
              <w:jc w:val="center"/>
              <w:rPr>
                <w:rFonts w:hint="default" w:ascii="Times New Roman" w:hAnsi="Times New Roman" w:cs="Times New Roman"/>
              </w:rPr>
            </w:pPr>
          </w:p>
        </w:tc>
        <w:tc>
          <w:tcPr>
            <w:tcW w:w="319" w:type="pct"/>
            <w:shd w:val="clear" w:color="auto" w:fill="auto"/>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其他</w:t>
            </w:r>
          </w:p>
        </w:tc>
        <w:tc>
          <w:tcPr>
            <w:tcW w:w="474" w:type="pct"/>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广西柳州市产业投资发展集团有限公司</w:t>
            </w:r>
          </w:p>
        </w:tc>
        <w:tc>
          <w:tcPr>
            <w:tcW w:w="1543" w:type="pct"/>
            <w:shd w:val="clear" w:color="auto" w:fill="auto"/>
            <w:vAlign w:val="center"/>
          </w:tcPr>
          <w:p>
            <w:pPr>
              <w:jc w:val="left"/>
              <w:rPr>
                <w:rFonts w:hint="default" w:ascii="Times New Roman" w:hAnsi="Times New Roman" w:cs="Times New Roman"/>
              </w:rPr>
            </w:pPr>
            <w:r>
              <w:rPr>
                <w:rFonts w:hint="default" w:ascii="Times New Roman" w:hAnsi="Times New Roman" w:cs="Times New Roman"/>
              </w:rPr>
              <w:t>关于保障上市公司独立性的承诺:在本次交易完成后，将确保上市公司依据相关法律法规和上市公司章程的要求，继续完善公司法人治理结构及独立运营的公司管理体制，继续保持上市公司在业务、资产、财务、机构、人员等方面的独立性，切实保护全体股东的利益。</w:t>
            </w:r>
          </w:p>
        </w:tc>
        <w:tc>
          <w:tcPr>
            <w:tcW w:w="523" w:type="pct"/>
            <w:vAlign w:val="center"/>
          </w:tcPr>
          <w:p>
            <w:pPr>
              <w:jc w:val="center"/>
              <w:rPr>
                <w:rFonts w:hint="default" w:ascii="Times New Roman" w:hAnsi="Times New Roman" w:cs="Times New Roman"/>
              </w:rPr>
            </w:pPr>
            <w:r>
              <w:rPr>
                <w:rFonts w:hint="default" w:ascii="Times New Roman" w:hAnsi="Times New Roman" w:cs="Times New Roman"/>
              </w:rPr>
              <w:t>2019年11月</w:t>
            </w:r>
          </w:p>
        </w:tc>
        <w:tc>
          <w:tcPr>
            <w:tcW w:w="275" w:type="pct"/>
            <w:shd w:val="clear" w:color="auto" w:fill="auto"/>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否</w:t>
            </w:r>
          </w:p>
        </w:tc>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tc>
          <w:tcPr>
            <w:tcW w:w="285" w:type="pct"/>
            <w:shd w:val="clear" w:color="auto" w:fill="auto"/>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是</w:t>
            </w:r>
          </w:p>
        </w:tc>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pct"/>
            <w:vMerge w:val="restar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与首次公开发行相关的承诺</w:t>
            </w:r>
          </w:p>
        </w:tc>
        <w:sdt>
          <w:sdtPr>
            <w:rPr>
              <w:rFonts w:hint="default" w:ascii="Times New Roman" w:hAnsi="Times New Roman" w:cs="Times New Roman"/>
              <w:szCs w:val="21"/>
            </w:rPr>
            <w:alias w:val="与首次公开发行相关的承诺-承诺类型"/>
            <w:tag w:val="_GBC_544118bad2864ee8b5a42608e3d695de"/>
            <w:id w:val="260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hint="default" w:ascii="Times New Roman" w:hAnsi="Times New Roman" w:cs="Times New Roman"/>
              <w:szCs w:val="21"/>
            </w:rPr>
          </w:sdtEndPr>
          <w:sdtContent>
            <w:tc>
              <w:tcPr>
                <w:tcW w:w="319"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解决同业竞争</w:t>
                </w:r>
              </w:p>
            </w:tc>
          </w:sdtContent>
        </w:sdt>
        <w:tc>
          <w:tcPr>
            <w:tcW w:w="474" w:type="pct"/>
            <w:shd w:val="clear" w:color="auto" w:fill="auto"/>
            <w:vAlign w:val="center"/>
          </w:tcPr>
          <w:p>
            <w:pPr>
              <w:jc w:val="center"/>
              <w:rPr>
                <w:rFonts w:hint="default" w:ascii="Times New Roman" w:hAnsi="Times New Roman" w:cs="Times New Roman"/>
                <w:szCs w:val="21"/>
              </w:rPr>
            </w:pPr>
            <w:r>
              <w:t>柳州市元宏投资发展有限公司</w:t>
            </w:r>
            <w:r>
              <w:rPr>
                <w:rFonts w:hint="eastAsia"/>
              </w:rPr>
              <w:t>（原</w:t>
            </w:r>
            <w:r>
              <w:t>柳州市两面针旅游用品厂</w:t>
            </w:r>
            <w:r>
              <w:rPr>
                <w:rFonts w:hint="eastAsia"/>
              </w:rPr>
              <w:t>）</w:t>
            </w:r>
          </w:p>
        </w:tc>
        <w:tc>
          <w:tcPr>
            <w:tcW w:w="1543" w:type="pct"/>
            <w:shd w:val="clear" w:color="auto" w:fill="auto"/>
            <w:vAlign w:val="center"/>
          </w:tcPr>
          <w:p>
            <w:pPr>
              <w:jc w:val="both"/>
              <w:rPr>
                <w:rFonts w:hint="default" w:ascii="Times New Roman" w:hAnsi="Times New Roman" w:cs="Times New Roman"/>
                <w:szCs w:val="21"/>
              </w:rPr>
            </w:pPr>
            <w:r>
              <w:rPr>
                <w:rFonts w:hint="default" w:ascii="Times New Roman" w:hAnsi="Times New Roman" w:cs="Times New Roman"/>
              </w:rPr>
              <w:t>本公司与公司股东</w:t>
            </w:r>
            <w:r>
              <w:t>柳州市元宏投资发展有限公司</w:t>
            </w:r>
            <w:r>
              <w:rPr>
                <w:rFonts w:hint="default" w:ascii="Times New Roman" w:hAnsi="Times New Roman" w:cs="Times New Roman"/>
              </w:rPr>
              <w:t>之间曾存在相似业务。</w:t>
            </w:r>
            <w:r>
              <w:t>柳州市元宏投资发展有限公司</w:t>
            </w:r>
            <w:r>
              <w:rPr>
                <w:rFonts w:hint="default" w:ascii="Times New Roman" w:hAnsi="Times New Roman" w:cs="Times New Roman"/>
              </w:rPr>
              <w:t>过去主要生产经销旅游用小支装牙膏，自2000年6月起，</w:t>
            </w:r>
            <w:r>
              <w:t>柳州市元宏投资发展有限公司</w:t>
            </w:r>
            <w:r>
              <w:rPr>
                <w:rFonts w:hint="default" w:ascii="Times New Roman" w:hAnsi="Times New Roman" w:cs="Times New Roman"/>
              </w:rPr>
              <w:t>停止了上述产品的生产，并承诺今后不再从事与本公司相同或相似的业务。</w:t>
            </w:r>
          </w:p>
        </w:tc>
        <w:tc>
          <w:tcPr>
            <w:tcW w:w="523" w:type="pct"/>
            <w:vAlign w:val="center"/>
          </w:tcPr>
          <w:p>
            <w:pPr>
              <w:jc w:val="center"/>
              <w:rPr>
                <w:rFonts w:hint="default" w:ascii="Times New Roman" w:hAnsi="Times New Roman" w:cs="Times New Roman"/>
                <w:szCs w:val="21"/>
              </w:rPr>
            </w:pPr>
            <w:r>
              <w:rPr>
                <w:rFonts w:hint="default" w:ascii="Times New Roman" w:hAnsi="Times New Roman" w:cs="Times New Roman"/>
              </w:rPr>
              <w:t>2003年12月</w:t>
            </w:r>
          </w:p>
        </w:tc>
        <w:sdt>
          <w:sdtPr>
            <w:rPr>
              <w:rFonts w:hint="default" w:ascii="Times New Roman" w:hAnsi="Times New Roman" w:cs="Times New Roman"/>
              <w:szCs w:val="21"/>
            </w:rPr>
            <w:alias w:val="与首次公开发行相关的承诺-是否有履行期限"/>
            <w:tag w:val="_GBC_2596a53d17dc47239c6d6c13d352aafe"/>
            <w:id w:val="26020"/>
            <w:comboBox>
              <w:listItem w:displayText="是" w:value="true"/>
              <w:listItem w:displayText="否" w:value="false"/>
            </w:comboBox>
          </w:sdtPr>
          <w:sdtEndPr>
            <w:rPr>
              <w:rFonts w:hint="default" w:ascii="Times New Roman" w:hAnsi="Times New Roman" w:cs="Times New Roman"/>
              <w:szCs w:val="21"/>
            </w:rPr>
          </w:sdtEndPr>
          <w:sdtContent>
            <w:tc>
              <w:tcPr>
                <w:tcW w:w="27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否</w:t>
                </w:r>
              </w:p>
            </w:tc>
          </w:sdtContent>
        </w:sdt>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sdt>
          <w:sdtPr>
            <w:rPr>
              <w:rFonts w:hint="default" w:ascii="Times New Roman" w:hAnsi="Times New Roman" w:cs="Times New Roman"/>
              <w:szCs w:val="21"/>
            </w:rPr>
            <w:alias w:val="与首次公开发行相关的承诺-是否及时严格履行"/>
            <w:tag w:val="_GBC_2cce12aeffd3453e80032e4cdeee78ec"/>
            <w:id w:val="26021"/>
            <w:comboBox>
              <w:listItem w:displayText="是" w:value="true"/>
              <w:listItem w:displayText="否" w:value="false"/>
            </w:comboBox>
          </w:sdtPr>
          <w:sdtEndPr>
            <w:rPr>
              <w:rFonts w:hint="default" w:ascii="Times New Roman" w:hAnsi="Times New Roman" w:cs="Times New Roman"/>
              <w:szCs w:val="21"/>
            </w:rPr>
          </w:sdtEndPr>
          <w:sdtContent>
            <w:tc>
              <w:tcPr>
                <w:tcW w:w="28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pct"/>
            <w:vMerge w:val="continue"/>
            <w:shd w:val="clear" w:color="auto" w:fill="auto"/>
            <w:vAlign w:val="center"/>
          </w:tcPr>
          <w:p>
            <w:pPr>
              <w:jc w:val="center"/>
              <w:rPr>
                <w:rFonts w:hint="default" w:ascii="Times New Roman" w:hAnsi="Times New Roman" w:cs="Times New Roman"/>
              </w:rPr>
            </w:pPr>
          </w:p>
        </w:tc>
        <w:sdt>
          <w:sdtPr>
            <w:rPr>
              <w:rFonts w:hint="default" w:ascii="Times New Roman" w:hAnsi="Times New Roman" w:cs="Times New Roman"/>
              <w:szCs w:val="21"/>
            </w:rPr>
            <w:alias w:val="与首次公开发行相关的承诺-承诺类型"/>
            <w:tag w:val="_GBC_544118bad2864ee8b5a42608e3d695de"/>
            <w:id w:val="2602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hint="default" w:ascii="Times New Roman" w:hAnsi="Times New Roman" w:cs="Times New Roman"/>
              <w:szCs w:val="21"/>
            </w:rPr>
          </w:sdtEndPr>
          <w:sdtContent>
            <w:tc>
              <w:tcPr>
                <w:tcW w:w="319"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其他</w:t>
                </w:r>
              </w:p>
            </w:tc>
          </w:sdtContent>
        </w:sdt>
        <w:tc>
          <w:tcPr>
            <w:tcW w:w="474"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柳州市经发投资有限责任公司</w:t>
            </w:r>
          </w:p>
        </w:tc>
        <w:tc>
          <w:tcPr>
            <w:tcW w:w="1543"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不将持有的本公司股票用于质押、担保。</w:t>
            </w:r>
          </w:p>
        </w:tc>
        <w:tc>
          <w:tcPr>
            <w:tcW w:w="523" w:type="pct"/>
            <w:vAlign w:val="center"/>
          </w:tcPr>
          <w:p>
            <w:pPr>
              <w:jc w:val="center"/>
              <w:rPr>
                <w:rFonts w:hint="default" w:ascii="Times New Roman" w:hAnsi="Times New Roman" w:cs="Times New Roman"/>
                <w:szCs w:val="21"/>
              </w:rPr>
            </w:pPr>
            <w:r>
              <w:rPr>
                <w:rFonts w:hint="default" w:ascii="Times New Roman" w:hAnsi="Times New Roman" w:cs="Times New Roman"/>
              </w:rPr>
              <w:t>2003年12月</w:t>
            </w:r>
          </w:p>
        </w:tc>
        <w:sdt>
          <w:sdtPr>
            <w:rPr>
              <w:rFonts w:hint="default" w:ascii="Times New Roman" w:hAnsi="Times New Roman" w:cs="Times New Roman"/>
              <w:szCs w:val="21"/>
            </w:rPr>
            <w:alias w:val="与首次公开发行相关的承诺-是否有履行期限"/>
            <w:tag w:val="_GBC_2596a53d17dc47239c6d6c13d352aafe"/>
            <w:id w:val="26023"/>
            <w:comboBox>
              <w:listItem w:displayText="是" w:value="true"/>
              <w:listItem w:displayText="否" w:value="false"/>
            </w:comboBox>
          </w:sdtPr>
          <w:sdtEndPr>
            <w:rPr>
              <w:rFonts w:hint="default" w:ascii="Times New Roman" w:hAnsi="Times New Roman" w:cs="Times New Roman"/>
              <w:szCs w:val="21"/>
            </w:rPr>
          </w:sdtEndPr>
          <w:sdtContent>
            <w:tc>
              <w:tcPr>
                <w:tcW w:w="27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否</w:t>
                </w:r>
              </w:p>
            </w:tc>
          </w:sdtContent>
        </w:sdt>
        <w:tc>
          <w:tcPr>
            <w:tcW w:w="230" w:type="pct"/>
            <w:vAlign w:val="center"/>
          </w:tcPr>
          <w:p>
            <w:pPr>
              <w:jc w:val="center"/>
              <w:rPr>
                <w:rFonts w:hint="default" w:ascii="Times New Roman" w:hAnsi="Times New Roman" w:cs="Times New Roman"/>
                <w:szCs w:val="21"/>
              </w:rPr>
            </w:pPr>
            <w:r>
              <w:rPr>
                <w:rFonts w:hint="default" w:ascii="Times New Roman" w:hAnsi="Times New Roman" w:cs="Times New Roman"/>
              </w:rPr>
              <w:t>长期有效</w:t>
            </w:r>
          </w:p>
        </w:tc>
        <w:sdt>
          <w:sdtPr>
            <w:rPr>
              <w:rFonts w:hint="default" w:ascii="Times New Roman" w:hAnsi="Times New Roman" w:cs="Times New Roman"/>
              <w:szCs w:val="21"/>
            </w:rPr>
            <w:alias w:val="与首次公开发行相关的承诺-是否及时严格履行"/>
            <w:tag w:val="_GBC_2cce12aeffd3453e80032e4cdeee78ec"/>
            <w:id w:val="26024"/>
            <w:comboBox>
              <w:listItem w:displayText="是" w:value="true"/>
              <w:listItem w:displayText="否" w:value="false"/>
            </w:comboBox>
          </w:sdtPr>
          <w:sdtEndPr>
            <w:rPr>
              <w:rFonts w:hint="default" w:ascii="Times New Roman" w:hAnsi="Times New Roman" w:cs="Times New Roman"/>
              <w:szCs w:val="21"/>
            </w:rPr>
          </w:sdtEndPr>
          <w:sdtContent>
            <w:tc>
              <w:tcPr>
                <w:tcW w:w="285" w:type="pct"/>
                <w:shd w:val="clear" w:color="auto" w:fill="auto"/>
                <w:vAlign w:val="center"/>
              </w:tcPr>
              <w:p>
                <w:pPr>
                  <w:jc w:val="center"/>
                  <w:rPr>
                    <w:rFonts w:hint="default" w:ascii="Times New Roman" w:hAnsi="Times New Roman" w:cs="Times New Roman"/>
                    <w:color w:val="FFC000"/>
                    <w:szCs w:val="21"/>
                  </w:rPr>
                </w:pPr>
                <w:r>
                  <w:rPr>
                    <w:rFonts w:hint="default" w:ascii="Times New Roman" w:hAnsi="Times New Roman" w:eastAsia="宋体" w:cs="Times New Roman"/>
                    <w:sz w:val="21"/>
                    <w:szCs w:val="21"/>
                    <w:lang w:val="en-US" w:eastAsia="zh-CN" w:bidi="ar-SA"/>
                  </w:rPr>
                  <w:t>是</w:t>
                </w:r>
              </w:p>
            </w:tc>
          </w:sdtContent>
        </w:sdt>
        <w:tc>
          <w:tcPr>
            <w:tcW w:w="401" w:type="pct"/>
            <w:shd w:val="clear" w:color="auto" w:fill="auto"/>
            <w:vAlign w:val="center"/>
          </w:tcPr>
          <w:p>
            <w:pPr>
              <w:jc w:val="center"/>
              <w:rPr>
                <w:rFonts w:hint="default" w:ascii="Times New Roman" w:hAnsi="Times New Roman" w:cs="Times New Roman"/>
                <w:szCs w:val="21"/>
              </w:rPr>
            </w:pPr>
          </w:p>
        </w:tc>
        <w:tc>
          <w:tcPr>
            <w:tcW w:w="372" w:type="pct"/>
            <w:shd w:val="clear" w:color="auto" w:fill="auto"/>
            <w:vAlign w:val="center"/>
          </w:tcPr>
          <w:p>
            <w:pPr>
              <w:jc w:val="center"/>
              <w:rPr>
                <w:rFonts w:hint="default" w:ascii="Times New Roman" w:hAnsi="Times New Roman" w:cs="Times New Roman"/>
                <w:szCs w:val="21"/>
              </w:rPr>
            </w:pPr>
          </w:p>
        </w:tc>
      </w:tr>
    </w:tbl>
    <w:p/>
    <w:p/>
    <w:p>
      <w:pPr>
        <w:rPr>
          <w:szCs w:val="21"/>
        </w:rPr>
        <w:sectPr>
          <w:pgSz w:w="16838" w:h="11906" w:orient="landscape"/>
          <w:pgMar w:top="1797" w:right="1525" w:bottom="1276" w:left="1440" w:header="855" w:footer="992" w:gutter="0"/>
          <w:cols w:space="425" w:num="1"/>
          <w:docGrid w:linePitch="312" w:charSpace="0"/>
        </w:sectPr>
      </w:pPr>
    </w:p>
    <w:p>
      <w:pPr>
        <w:rPr>
          <w:szCs w:val="21"/>
        </w:rPr>
      </w:pPr>
    </w:p>
    <w:p>
      <w:pPr>
        <w:pStyle w:val="4"/>
        <w:numPr>
          <w:ilvl w:val="1"/>
          <w:numId w:val="37"/>
        </w:numPr>
        <w:rPr>
          <w:szCs w:val="21"/>
        </w:rPr>
      </w:pPr>
      <w:r>
        <w:rPr>
          <w:szCs w:val="21"/>
        </w:rPr>
        <w:t>公司资产或项目存在盈利预测，且报告期仍处在盈利预测期间，公司就资产或项目</w:t>
      </w:r>
    </w:p>
    <w:p>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6025"/>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□已达到 </w:instrText>
          </w:r>
          <w:r>
            <w:rPr>
              <w:szCs w:val="21"/>
            </w:rPr>
            <w:fldChar w:fldCharType="end"/>
          </w:r>
          <w:r>
            <w:rPr>
              <w:szCs w:val="21"/>
            </w:rPr>
            <w:fldChar w:fldCharType="begin"/>
          </w:r>
          <w:r>
            <w:rPr>
              <w:rFonts w:hint="eastAsia"/>
              <w:szCs w:val="21"/>
              <w:lang w:eastAsia="zh-CN"/>
            </w:rPr>
            <w:instrText xml:space="preserve"> MACROBUTTON  SnrToggleCheckbox □未达到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4"/>
        <w:numPr>
          <w:ilvl w:val="1"/>
          <w:numId w:val="37"/>
        </w:numPr>
        <w:rPr>
          <w:szCs w:val="21"/>
        </w:rPr>
      </w:pPr>
      <w:bookmarkStart w:id="93" w:name="_Hlk533667679"/>
      <w:bookmarkEnd w:id="93"/>
      <w:bookmarkStart w:id="94" w:name="_Hlk533667690"/>
      <w:r>
        <w:rPr>
          <w:rFonts w:hint="eastAsia" w:ascii="宋体" w:hAnsi="宋体" w:cs="宋体"/>
          <w:bCs w:val="0"/>
          <w:kern w:val="0"/>
          <w:szCs w:val="21"/>
        </w:rPr>
        <w:t>业绩承诺的完成情况及其对商誉减值测试的影响</w:t>
      </w:r>
    </w:p>
    <w:p>
      <w:pPr>
        <w:outlineLvl w:val="9"/>
      </w:pPr>
      <w:sdt>
        <w:sdtPr>
          <w:rPr>
            <w:rFonts w:hint="eastAsia"/>
            <w:b/>
            <w:szCs w:val="21"/>
          </w:rPr>
          <w:alias w:val="是否适用：承诺事项-商誉减值测试的影响[双击切换]"/>
          <w:tag w:val="_GBC_659442fc24654f8db642f18c0532cf99"/>
          <w:id w:val="26026"/>
          <w:placeholder>
            <w:docPart w:val="GBC22222222222222222222222222222"/>
          </w:placeholder>
        </w:sdtPr>
        <w:sdtEndPr>
          <w:rPr>
            <w:rFonts w:hint="eastAsia"/>
            <w:b/>
            <w:szCs w:val="21"/>
          </w:rPr>
        </w:sdtEndPr>
        <w:sdtContent>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bookmarkEnd w:id="94"/>
    <w:p/>
    <w:p>
      <w:pPr>
        <w:pStyle w:val="3"/>
        <w:numPr>
          <w:ilvl w:val="0"/>
          <w:numId w:val="36"/>
        </w:numPr>
        <w:rPr>
          <w:rFonts w:ascii="宋体" w:hAnsi="宋体"/>
        </w:rPr>
      </w:pPr>
      <w:bookmarkStart w:id="95" w:name="_Hlk89336052"/>
      <w:r>
        <w:rPr>
          <w:rFonts w:hint="eastAsia" w:ascii="宋体" w:hAnsi="宋体"/>
        </w:rPr>
        <w:t>报</w:t>
      </w:r>
      <w:r>
        <w:rPr>
          <w:rFonts w:ascii="宋体" w:hAnsi="宋体"/>
        </w:rPr>
        <w:t>告期内</w:t>
      </w:r>
      <w:r>
        <w:rPr>
          <w:rFonts w:hint="eastAsia" w:ascii="宋体" w:hAnsi="宋体"/>
        </w:rPr>
        <w:t>控股股东及其他关联方非经营性占用资金情况</w:t>
      </w:r>
    </w:p>
    <w:sdt>
      <w:sdtPr>
        <w:rPr>
          <w:szCs w:val="21"/>
        </w:rPr>
        <w:alias w:val="是否适用：资金被占用情况及清欠进展情况[双击切换]"/>
        <w:tag w:val="_GBC_a94958949e0846929a78a71186526204"/>
        <w:id w:val="26027"/>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96" w:name="_Hlk74646365"/>
        </w:p>
      </w:sdtContent>
    </w:sdt>
    <w:bookmarkEnd w:id="95"/>
    <w:bookmarkEnd w:id="96"/>
    <w:p>
      <w:pPr>
        <w:pStyle w:val="3"/>
        <w:numPr>
          <w:ilvl w:val="0"/>
          <w:numId w:val="36"/>
        </w:numPr>
        <w:rPr>
          <w:rFonts w:ascii="宋体" w:hAnsi="宋体"/>
        </w:rPr>
      </w:pPr>
      <w:bookmarkStart w:id="97" w:name="_Hlk89337011"/>
      <w:r>
        <w:rPr>
          <w:rFonts w:hint="eastAsia" w:ascii="宋体" w:hAnsi="宋体"/>
        </w:rPr>
        <w:t>违规担保情况</w:t>
      </w:r>
    </w:p>
    <w:sdt>
      <w:sdtPr>
        <w:alias w:val="是否适用：违规担保情况[双击切换]"/>
        <w:tag w:val="_GBC_b2d16e23c066427a800b40aaa053bc8e"/>
        <w:id w:val="26028"/>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98" w:name="_Hlk74646368"/>
        </w:p>
      </w:sdtContent>
    </w:sdt>
    <w:bookmarkEnd w:id="98"/>
    <w:p>
      <w:pPr>
        <w:sectPr>
          <w:pgSz w:w="11906" w:h="16838"/>
          <w:pgMar w:top="1525" w:right="1276" w:bottom="1440" w:left="1797" w:header="855" w:footer="992" w:gutter="0"/>
          <w:cols w:space="425" w:num="1"/>
          <w:docGrid w:linePitch="312" w:charSpace="0"/>
        </w:sectPr>
      </w:pPr>
    </w:p>
    <w:bookmarkEnd w:id="97"/>
    <w:p>
      <w:pPr>
        <w:pStyle w:val="3"/>
        <w:numPr>
          <w:ilvl w:val="0"/>
          <w:numId w:val="36"/>
        </w:numPr>
        <w:rPr>
          <w:rFonts w:ascii="宋体" w:hAnsi="宋体" w:cs="宋体"/>
          <w:kern w:val="0"/>
          <w:szCs w:val="24"/>
        </w:rPr>
      </w:pPr>
      <w:r>
        <w:rPr>
          <w:rFonts w:hint="eastAsia" w:ascii="宋体" w:hAnsi="宋体" w:cs="宋体"/>
          <w:kern w:val="0"/>
          <w:szCs w:val="24"/>
        </w:rPr>
        <w:t>公司董事会对会计师事务所“非标准意见审计报告”的说明</w:t>
      </w:r>
    </w:p>
    <w:p>
      <w:pPr>
        <w:outlineLvl w:val="9"/>
        <w:rPr>
          <w:szCs w:val="21"/>
        </w:rPr>
      </w:pPr>
      <w:sdt>
        <w:sdtPr>
          <w:alias w:val="是否适用：董事会对会计师事务所非标准审计报告的说明[双击切换]"/>
          <w:tag w:val="_GBC_81f7a662b6a641d8aadb05b1cb176ecf"/>
          <w:id w:val="26029"/>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
      <w:pPr>
        <w:pStyle w:val="3"/>
        <w:numPr>
          <w:ilvl w:val="0"/>
          <w:numId w:val="36"/>
        </w:numPr>
        <w:rPr>
          <w:rFonts w:ascii="宋体" w:hAnsi="宋体" w:cs="宋体"/>
          <w:kern w:val="0"/>
          <w:szCs w:val="24"/>
        </w:rPr>
      </w:pPr>
      <w:r>
        <w:rPr>
          <w:rFonts w:hint="eastAsia" w:ascii="宋体" w:hAnsi="宋体" w:cs="宋体"/>
          <w:kern w:val="0"/>
          <w:szCs w:val="24"/>
        </w:rPr>
        <w:t>公司对会计政策、会计估计变更或重大会计差错更正原因和影响的分析说明</w:t>
      </w:r>
    </w:p>
    <w:p>
      <w:pPr>
        <w:pStyle w:val="4"/>
        <w:numPr>
          <w:ilvl w:val="0"/>
          <w:numId w:val="3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26030"/>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rPr>
          <w:rFonts w:hint="default" w:ascii="Times New Roman" w:hAnsi="Times New Roman" w:cs="Times New Roman"/>
          <w:szCs w:val="21"/>
        </w:rPr>
        <w:alias w:val="公司对会计政策会计估计变更原因及影响"/>
        <w:tag w:val="_GBC_ead0cc85823e4aad9c4c70db77b2ff95"/>
        <w:id w:val="1142309652"/>
        <w:placeholder>
          <w:docPart w:val="{50b96f14-d6ab-4e30-842b-d42adf8be02e}"/>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sz w:val="21"/>
              <w:szCs w:val="21"/>
            </w:rPr>
          </w:pPr>
        </w:p>
        <w:tbl>
          <w:tblPr>
            <w:tblStyle w:val="37"/>
            <w:tblW w:w="5000" w:type="pct"/>
            <w:tblInd w:w="0" w:type="dxa"/>
            <w:tblLayout w:type="autofit"/>
            <w:tblCellMar>
              <w:top w:w="0" w:type="dxa"/>
              <w:left w:w="108" w:type="dxa"/>
              <w:bottom w:w="0" w:type="dxa"/>
              <w:right w:w="108" w:type="dxa"/>
            </w:tblCellMar>
          </w:tblPr>
          <w:tblGrid>
            <w:gridCol w:w="4171"/>
            <w:gridCol w:w="2762"/>
            <w:gridCol w:w="2116"/>
          </w:tblGrid>
          <w:tr>
            <w:tblPrEx>
              <w:tblCellMar>
                <w:top w:w="0" w:type="dxa"/>
                <w:left w:w="108" w:type="dxa"/>
                <w:bottom w:w="0" w:type="dxa"/>
                <w:right w:w="108" w:type="dxa"/>
              </w:tblCellMar>
            </w:tblPrEx>
            <w:trPr>
              <w:trHeight w:val="260" w:hRule="atLeast"/>
            </w:trPr>
            <w:tc>
              <w:tcPr>
                <w:tcW w:w="23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pacing w:line="400" w:lineRule="exact"/>
                  <w:ind w:firstLine="0" w:firstLineChars="0"/>
                  <w:jc w:val="center"/>
                  <w:textAlignment w:val="auto"/>
                  <w:rPr>
                    <w:rFonts w:ascii="Times New Roman" w:hAnsi="Times New Roman" w:eastAsia="宋体" w:cs="Arial"/>
                    <w:b/>
                    <w:bCs/>
                    <w:color w:val="000000"/>
                    <w:kern w:val="0"/>
                    <w:sz w:val="21"/>
                    <w:szCs w:val="21"/>
                  </w:rPr>
                </w:pPr>
                <w:r>
                  <w:rPr>
                    <w:rFonts w:ascii="Times New Roman" w:hAnsi="Times New Roman" w:eastAsia="宋体" w:cs="Arial"/>
                    <w:b/>
                    <w:bCs/>
                    <w:color w:val="000000"/>
                    <w:kern w:val="0"/>
                    <w:sz w:val="21"/>
                    <w:szCs w:val="21"/>
                  </w:rPr>
                  <w:t>会计政策变更的内容和原因</w:t>
                </w:r>
              </w:p>
            </w:tc>
            <w:tc>
              <w:tcPr>
                <w:tcW w:w="152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pacing w:line="400" w:lineRule="exact"/>
                  <w:ind w:firstLine="0" w:firstLineChars="0"/>
                  <w:jc w:val="center"/>
                  <w:textAlignment w:val="auto"/>
                  <w:rPr>
                    <w:rFonts w:ascii="Times New Roman" w:hAnsi="Times New Roman" w:eastAsia="宋体" w:cs="Arial"/>
                    <w:b/>
                    <w:bCs/>
                    <w:color w:val="000000"/>
                    <w:kern w:val="0"/>
                    <w:sz w:val="21"/>
                    <w:szCs w:val="21"/>
                  </w:rPr>
                </w:pPr>
                <w:r>
                  <w:rPr>
                    <w:rFonts w:ascii="Times New Roman" w:hAnsi="Times New Roman" w:eastAsia="宋体" w:cs="Arial"/>
                    <w:b/>
                    <w:bCs/>
                    <w:color w:val="000000"/>
                    <w:kern w:val="0"/>
                    <w:sz w:val="21"/>
                    <w:szCs w:val="21"/>
                  </w:rPr>
                  <w:t>受重要影响的报表项目名称</w:t>
                </w:r>
              </w:p>
            </w:tc>
            <w:tc>
              <w:tcPr>
                <w:tcW w:w="116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pacing w:line="400" w:lineRule="exact"/>
                  <w:ind w:firstLine="0" w:firstLineChars="0"/>
                  <w:jc w:val="center"/>
                  <w:textAlignment w:val="auto"/>
                  <w:rPr>
                    <w:rFonts w:ascii="Times New Roman" w:hAnsi="Times New Roman" w:eastAsia="宋体" w:cs="Arial"/>
                    <w:b/>
                    <w:bCs/>
                    <w:color w:val="000000"/>
                    <w:kern w:val="0"/>
                    <w:sz w:val="21"/>
                    <w:szCs w:val="21"/>
                  </w:rPr>
                </w:pPr>
                <w:r>
                  <w:rPr>
                    <w:rFonts w:ascii="Times New Roman" w:hAnsi="Times New Roman" w:eastAsia="宋体" w:cs="Arial"/>
                    <w:b/>
                    <w:bCs/>
                    <w:color w:val="000000"/>
                    <w:kern w:val="0"/>
                    <w:sz w:val="21"/>
                    <w:szCs w:val="21"/>
                  </w:rPr>
                  <w:t>影响金额</w:t>
                </w:r>
              </w:p>
            </w:tc>
          </w:tr>
          <w:tr>
            <w:tblPrEx>
              <w:tblCellMar>
                <w:top w:w="0" w:type="dxa"/>
                <w:left w:w="108" w:type="dxa"/>
                <w:bottom w:w="0" w:type="dxa"/>
                <w:right w:w="108" w:type="dxa"/>
              </w:tblCellMar>
            </w:tblPrEx>
            <w:trPr>
              <w:trHeight w:val="260" w:hRule="atLeast"/>
            </w:trPr>
            <w:tc>
              <w:tcPr>
                <w:tcW w:w="2304" w:type="pct"/>
                <w:tcBorders>
                  <w:top w:val="nil"/>
                  <w:left w:val="single" w:color="auto" w:sz="4" w:space="0"/>
                  <w:bottom w:val="single" w:color="auto" w:sz="4" w:space="0"/>
                  <w:right w:val="single" w:color="auto" w:sz="4" w:space="0"/>
                </w:tcBorders>
                <w:shd w:val="clear" w:color="auto" w:fill="auto"/>
                <w:noWrap/>
                <w:vAlign w:val="bottom"/>
              </w:tcPr>
              <w:p>
                <w:pPr>
                  <w:keepNext w:val="0"/>
                  <w:keepLines w:val="0"/>
                  <w:pageBreakBefore w:val="0"/>
                  <w:widowControl/>
                  <w:kinsoku/>
                  <w:wordWrap/>
                  <w:overflowPunct/>
                  <w:topLinePunct w:val="0"/>
                  <w:bidi w:val="0"/>
                  <w:spacing w:line="400" w:lineRule="exact"/>
                  <w:ind w:firstLine="0" w:firstLineChars="0"/>
                  <w:jc w:val="both"/>
                  <w:textAlignment w:val="auto"/>
                  <w:rPr>
                    <w:rFonts w:ascii="Times New Roman" w:hAnsi="Times New Roman" w:eastAsia="宋体" w:cs="Arial"/>
                    <w:color w:val="000000"/>
                    <w:kern w:val="0"/>
                    <w:sz w:val="21"/>
                    <w:szCs w:val="21"/>
                  </w:rPr>
                </w:pPr>
                <w:r>
                  <w:rPr>
                    <w:rFonts w:ascii="Times New Roman" w:hAnsi="Times New Roman" w:eastAsia="宋体" w:cs="Arial"/>
                    <w:color w:val="000000"/>
                    <w:kern w:val="0"/>
                    <w:sz w:val="21"/>
                    <w:szCs w:val="21"/>
                  </w:rPr>
                  <w:t>执行《企业会计准则解释第16号》</w:t>
                </w:r>
              </w:p>
            </w:tc>
            <w:tc>
              <w:tcPr>
                <w:tcW w:w="1526"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pacing w:line="400" w:lineRule="exact"/>
                  <w:ind w:firstLine="0" w:firstLineChars="0"/>
                  <w:jc w:val="both"/>
                  <w:textAlignment w:val="auto"/>
                  <w:rPr>
                    <w:rFonts w:ascii="Times New Roman" w:hAnsi="Times New Roman" w:eastAsia="宋体" w:cs="Arial"/>
                    <w:color w:val="000000"/>
                    <w:kern w:val="0"/>
                    <w:sz w:val="21"/>
                    <w:szCs w:val="21"/>
                  </w:rPr>
                </w:pPr>
                <w:r>
                  <w:rPr>
                    <w:rFonts w:hint="eastAsia" w:ascii="Times New Roman" w:hAnsi="Times New Roman" w:eastAsia="宋体" w:cs="Arial"/>
                    <w:color w:val="000000"/>
                    <w:kern w:val="0"/>
                    <w:sz w:val="21"/>
                    <w:szCs w:val="21"/>
                  </w:rPr>
                  <w:t>详见下表</w:t>
                </w:r>
              </w:p>
            </w:tc>
            <w:tc>
              <w:tcPr>
                <w:tcW w:w="116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bidi w:val="0"/>
                  <w:spacing w:line="400" w:lineRule="exact"/>
                  <w:ind w:firstLine="420" w:firstLineChars="200"/>
                  <w:jc w:val="both"/>
                  <w:textAlignment w:val="auto"/>
                  <w:rPr>
                    <w:rFonts w:ascii="Times New Roman" w:hAnsi="Times New Roman" w:eastAsia="宋体" w:cs="Arial"/>
                    <w:color w:val="000000"/>
                    <w:kern w:val="0"/>
                    <w:sz w:val="21"/>
                    <w:szCs w:val="21"/>
                  </w:rPr>
                </w:pPr>
                <w:r>
                  <w:rPr>
                    <w:rFonts w:hint="eastAsia" w:ascii="Times New Roman" w:hAnsi="Times New Roman" w:eastAsia="宋体" w:cs="Arial"/>
                    <w:color w:val="000000"/>
                    <w:kern w:val="0"/>
                    <w:sz w:val="21"/>
                    <w:szCs w:val="21"/>
                  </w:rPr>
                  <w:t>详见下表</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执行《企业会计准则解释第16号》中“关于单项交易产生的资产和负债相关的递延所得税不适用初始确认豁免的会计处理” 。</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 xml:space="preserve">2022年11月30日，财政部发布了《企业会计准则解释第16号》（财会[2022]31号，以下简称解释16号），其中“关于单项交易产生的资产和负债相关的递延所得税不适用初始确认豁免的会计处理”内容自2023年1月1日起施行。 </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本公司于2023年1月1日执行解释16号的该项规定，对于在首次施行解释16号的财 务报表列报最早期间的期初（即2022年1月1日）至2023年1月1日之间发生的适用解释16号的单项交易，本公司按照解释16号的规定进行调整。对于2022年1月1日因适用解释16号的单项交易而确认的租赁负债和使用权资产，产生应纳税暂时性差异和可抵扣暂时性差异的，本公司按照解释16号和《企业会计准则第18号——所得税》的规定，将累积影响数调整2022年1月1日的留存收益及其他相关财务报表项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执行上述会计政策对2022年12月31日合并资产负债表和2022年度合并利润表的影响如下：</w:t>
          </w:r>
        </w:p>
        <w:tbl>
          <w:tblPr>
            <w:tblStyle w:val="37"/>
            <w:tblW w:w="907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633"/>
            <w:gridCol w:w="2345"/>
            <w:gridCol w:w="1993"/>
            <w:gridCol w:w="210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tblHeader/>
              <w:jc w:val="center"/>
            </w:trPr>
            <w:tc>
              <w:tcPr>
                <w:tcW w:w="1450"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合并资产负债表项目</w:t>
                </w:r>
              </w:p>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（2022年12月31日）</w:t>
                </w:r>
              </w:p>
            </w:tc>
            <w:tc>
              <w:tcPr>
                <w:tcW w:w="129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调整前</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调整金额</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50"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递延所得税资产</w:t>
                </w:r>
              </w:p>
            </w:tc>
            <w:tc>
              <w:tcPr>
                <w:tcW w:w="129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5,766,356.53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327,442.62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6,093,799.15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50"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递延所得税负债</w:t>
                </w:r>
              </w:p>
            </w:tc>
            <w:tc>
              <w:tcPr>
                <w:tcW w:w="129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38,430,930.85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331,255.24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38,762,186.09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50"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未分配利润</w:t>
                </w:r>
              </w:p>
            </w:tc>
            <w:tc>
              <w:tcPr>
                <w:tcW w:w="129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125,349,337.14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-3,576.24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125,345,760.90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50"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少数股东权益</w:t>
                </w:r>
              </w:p>
            </w:tc>
            <w:tc>
              <w:tcPr>
                <w:tcW w:w="129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-5,473,997.80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-236.38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-5,474,234.18 </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p>
        <w:tbl>
          <w:tblPr>
            <w:tblStyle w:val="37"/>
            <w:tblW w:w="907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707"/>
            <w:gridCol w:w="2273"/>
            <w:gridCol w:w="1991"/>
            <w:gridCol w:w="210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tblHeader/>
              <w:jc w:val="center"/>
            </w:trPr>
            <w:tc>
              <w:tcPr>
                <w:tcW w:w="1491"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合并利润表项目</w:t>
                </w:r>
              </w:p>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（2022年度）</w:t>
                </w:r>
              </w:p>
            </w:tc>
            <w:tc>
              <w:tcPr>
                <w:tcW w:w="125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调整前</w:t>
                </w:r>
              </w:p>
            </w:tc>
            <w:tc>
              <w:tcPr>
                <w:tcW w:w="109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调整金额</w:t>
                </w:r>
              </w:p>
            </w:tc>
            <w:tc>
              <w:tcPr>
                <w:tcW w:w="115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91"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所得税费用</w:t>
                </w:r>
              </w:p>
            </w:tc>
            <w:tc>
              <w:tcPr>
                <w:tcW w:w="1252"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-11,940,414.60 </w:t>
                </w:r>
              </w:p>
            </w:tc>
            <w:tc>
              <w:tcPr>
                <w:tcW w:w="109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2,870.18 </w:t>
                </w:r>
              </w:p>
            </w:tc>
            <w:tc>
              <w:tcPr>
                <w:tcW w:w="115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-11,937,544.42 </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执行上述会计政策对2022年1月1日合并资产负债表的影响如下：</w:t>
          </w:r>
        </w:p>
        <w:tbl>
          <w:tblPr>
            <w:tblStyle w:val="37"/>
            <w:tblW w:w="907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858"/>
            <w:gridCol w:w="2120"/>
            <w:gridCol w:w="1993"/>
            <w:gridCol w:w="210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tblHeader/>
              <w:jc w:val="center"/>
            </w:trPr>
            <w:tc>
              <w:tcPr>
                <w:tcW w:w="1574"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合并资产负债表项目</w:t>
                </w:r>
              </w:p>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（2022年1月1日）</w:t>
                </w:r>
              </w:p>
            </w:tc>
            <w:tc>
              <w:tcPr>
                <w:tcW w:w="116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调整前</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调整金额</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574"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递延所得税资产</w:t>
                </w:r>
              </w:p>
            </w:tc>
            <w:tc>
              <w:tcPr>
                <w:tcW w:w="116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4,651,936.90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531,945.55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5,183,882.45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574"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递延所得税负债</w:t>
                </w:r>
              </w:p>
            </w:tc>
            <w:tc>
              <w:tcPr>
                <w:tcW w:w="116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50,721,841.54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532,887.99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51,254,729.53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574"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未分配利润</w:t>
                </w:r>
              </w:p>
            </w:tc>
            <w:tc>
              <w:tcPr>
                <w:tcW w:w="116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163,935,703.23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-884.01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163,934,819.22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574"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少数股东权益</w:t>
                </w:r>
              </w:p>
            </w:tc>
            <w:tc>
              <w:tcPr>
                <w:tcW w:w="116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-5,416,962.30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-58.43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-5,417,020.73 </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Arial"/>
              <w:kern w:val="0"/>
              <w:sz w:val="21"/>
            </w:rPr>
            <w:t>本公司母公司比较财务报表的相关项目调整：无。</w:t>
          </w:r>
        </w:p>
        <w:p/>
      </w:sdtContent>
    </w:sdt>
    <w:p>
      <w:pPr>
        <w:pStyle w:val="4"/>
        <w:numPr>
          <w:ilvl w:val="0"/>
          <w:numId w:val="3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26031"/>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4"/>
        <w:numPr>
          <w:ilvl w:val="0"/>
          <w:numId w:val="38"/>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26032"/>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
        <w:numPr>
          <w:ilvl w:val="0"/>
          <w:numId w:val="38"/>
        </w:numPr>
      </w:pPr>
      <w:r>
        <w:rPr>
          <w:rFonts w:hint="eastAsia" w:ascii="宋体" w:hAnsi="宋体" w:cs="宋体"/>
          <w:kern w:val="0"/>
          <w:szCs w:val="24"/>
        </w:rPr>
        <w:t>审批程序及</w:t>
      </w:r>
      <w:r>
        <w:t>其他说明</w:t>
      </w:r>
    </w:p>
    <w:sdt>
      <w:sdtPr>
        <w:rPr>
          <w:rFonts w:hint="eastAsia"/>
        </w:rPr>
        <w:alias w:val="是否适用：审批程序及其他说明[双击切换]"/>
        <w:tag w:val="_GBC_f59e5141b9f74a2badb652a198d25993"/>
        <w:id w:val="26033"/>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3"/>
        <w:numPr>
          <w:ilvl w:val="0"/>
          <w:numId w:val="36"/>
        </w:numPr>
        <w:rPr>
          <w:rFonts w:ascii="宋体" w:hAnsi="宋体" w:cs="宋体"/>
          <w:kern w:val="0"/>
          <w:szCs w:val="24"/>
        </w:rPr>
      </w:pPr>
      <w:r>
        <w:rPr>
          <w:rFonts w:ascii="宋体" w:hAnsi="宋体" w:cs="宋体"/>
          <w:kern w:val="0"/>
          <w:szCs w:val="24"/>
        </w:rPr>
        <w:t>聘任、解聘会计师事务所情况</w:t>
      </w:r>
    </w:p>
    <w:p>
      <w:pPr>
        <w:jc w:val="right"/>
        <w:rPr>
          <w:szCs w:val="21"/>
        </w:rPr>
      </w:pPr>
      <w:bookmarkStart w:id="99" w:name="_Hlk40535695"/>
      <w:r>
        <w:rPr>
          <w:rFonts w:hint="eastAsia"/>
          <w:szCs w:val="21"/>
        </w:rPr>
        <w:t>单位：</w:t>
      </w:r>
      <w:sdt>
        <w:sdtPr>
          <w:rPr>
            <w:rFonts w:hint="eastAsia"/>
            <w:szCs w:val="21"/>
          </w:rPr>
          <w:alias w:val="单位：聘任、解聘会计师事务所情况"/>
          <w:tag w:val="_GBC_4195f1a1b90e49b4b90b5a692501ac49"/>
          <w:id w:val="260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ascii="宋体" w:hAnsi="宋体" w:eastAsia="宋体" w:cs="宋体"/>
              <w:sz w:val="21"/>
              <w:szCs w:val="21"/>
              <w:lang w:val="en-US" w:eastAsia="zh-CN" w:bidi="ar-SA"/>
            </w:rPr>
            <w:t>万元</w:t>
          </w:r>
        </w:sdtContent>
      </w:sdt>
      <w:r>
        <w:rPr>
          <w:rFonts w:hint="eastAsia"/>
          <w:szCs w:val="21"/>
        </w:rPr>
        <w:t xml:space="preserve">  币种：</w:t>
      </w:r>
      <w:sdt>
        <w:sdtPr>
          <w:rPr>
            <w:rFonts w:hint="eastAsia"/>
            <w:szCs w:val="21"/>
          </w:rPr>
          <w:alias w:val="币种：聘任、解聘会计师事务所情况"/>
          <w:tag w:val="_GBC_27f81bf7b0f5473e85900bf70521ad41"/>
          <w:id w:val="260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016" w:type="dxa"/>
          </w:tcPr>
          <w:p>
            <w:pPr>
              <w:rPr>
                <w:szCs w:val="21"/>
              </w:rPr>
            </w:pPr>
          </w:p>
        </w:tc>
        <w:sdt>
          <w:sdtPr>
            <w:rPr>
              <w:rFonts w:hint="default" w:ascii="Times New Roman" w:hAnsi="Times New Roman" w:cs="Times New Roman"/>
            </w:rPr>
            <w:tag w:val="_PLD_a79987be70c14f119586c5a69f4628db"/>
            <w:id w:val="26036"/>
          </w:sdtPr>
          <w:sdtEndPr>
            <w:rPr>
              <w:rFonts w:hint="default" w:ascii="Times New Roman" w:hAnsi="Times New Roman" w:cs="Times New Roman"/>
            </w:rPr>
          </w:sdtEndPr>
          <w:sdtContent>
            <w:tc>
              <w:tcPr>
                <w:tcW w:w="301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原聘任</w:t>
                </w:r>
              </w:p>
            </w:tc>
          </w:sdtContent>
        </w:sdt>
        <w:sdt>
          <w:sdtPr>
            <w:rPr>
              <w:rFonts w:hint="default" w:ascii="Times New Roman" w:hAnsi="Times New Roman" w:cs="Times New Roman"/>
            </w:rPr>
            <w:tag w:val="_PLD_54fa27dc69c24ce391b848a77e34059a"/>
            <w:id w:val="26037"/>
          </w:sdtPr>
          <w:sdtEndPr>
            <w:rPr>
              <w:rFonts w:hint="default" w:ascii="Times New Roman" w:hAnsi="Times New Roman" w:cs="Times New Roman"/>
            </w:rPr>
          </w:sdtEndPr>
          <w:sdtContent>
            <w:tc>
              <w:tcPr>
                <w:tcW w:w="301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现聘任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3016" w:type="dxa"/>
            <w:vAlign w:val="center"/>
          </w:tcPr>
          <w:p>
            <w:pPr>
              <w:jc w:val="left"/>
              <w:rPr>
                <w:szCs w:val="21"/>
              </w:rPr>
            </w:pPr>
            <w:r>
              <w:rPr>
                <w:rFonts w:hint="eastAsia"/>
                <w:szCs w:val="21"/>
              </w:rPr>
              <w:t>境内会计师事务所名称</w:t>
            </w:r>
          </w:p>
        </w:tc>
        <w:tc>
          <w:tcPr>
            <w:tcW w:w="3016"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永拓会计师事务所（特殊普通合伙）</w:t>
            </w:r>
          </w:p>
        </w:tc>
        <w:tc>
          <w:tcPr>
            <w:tcW w:w="3017"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中喜会计师事务所（特殊普通合伙）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016" w:type="dxa"/>
            <w:vAlign w:val="center"/>
          </w:tcPr>
          <w:p>
            <w:pPr>
              <w:jc w:val="left"/>
              <w:rPr>
                <w:szCs w:val="21"/>
              </w:rPr>
            </w:pPr>
            <w:r>
              <w:rPr>
                <w:rFonts w:hint="eastAsia"/>
                <w:szCs w:val="21"/>
              </w:rPr>
              <w:t>境内会计师事务所报酬</w:t>
            </w:r>
          </w:p>
        </w:tc>
        <w:tc>
          <w:tcPr>
            <w:tcW w:w="3016"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50</w:t>
            </w:r>
          </w:p>
        </w:tc>
        <w:tc>
          <w:tcPr>
            <w:tcW w:w="3017"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16" w:type="dxa"/>
            <w:vAlign w:val="center"/>
          </w:tcPr>
          <w:p>
            <w:pPr>
              <w:jc w:val="left"/>
              <w:rPr>
                <w:szCs w:val="21"/>
              </w:rPr>
            </w:pPr>
            <w:r>
              <w:rPr>
                <w:rFonts w:hint="eastAsia"/>
                <w:szCs w:val="21"/>
              </w:rPr>
              <w:t>境内会计师事务所审计年限</w:t>
            </w:r>
          </w:p>
        </w:tc>
        <w:tc>
          <w:tcPr>
            <w:tcW w:w="3016"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3017"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016" w:type="dxa"/>
            <w:vAlign w:val="center"/>
          </w:tcPr>
          <w:p>
            <w:pPr>
              <w:jc w:val="left"/>
            </w:pPr>
            <w:r>
              <w:rPr>
                <w:rFonts w:hint="eastAsia"/>
              </w:rPr>
              <w:t>境内会计师事务所注册会计师姓名</w:t>
            </w:r>
          </w:p>
        </w:tc>
        <w:tc>
          <w:tcPr>
            <w:tcW w:w="301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17" w:type="dxa"/>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饶世旗</w:t>
            </w:r>
            <w:r>
              <w:rPr>
                <w:rFonts w:hint="default" w:ascii="Times New Roman" w:hAnsi="Times New Roman" w:cs="Times New Roman"/>
                <w:szCs w:val="21"/>
                <w:highlight w:val="none"/>
                <w:lang w:eastAsia="zh-CN"/>
              </w:rPr>
              <w:t>、周香萍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16" w:type="dxa"/>
            <w:vAlign w:val="center"/>
          </w:tcPr>
          <w:p>
            <w:pPr>
              <w:jc w:val="left"/>
            </w:pPr>
            <w:r>
              <w:rPr>
                <w:rFonts w:hint="eastAsia"/>
              </w:rPr>
              <w:t>境内会计师事务所注册会计师审计服务的</w:t>
            </w:r>
            <w:r>
              <w:rPr>
                <w:rFonts w:hint="eastAsia"/>
                <w:highlight w:val="none"/>
              </w:rPr>
              <w:t>累计年限</w:t>
            </w:r>
          </w:p>
        </w:tc>
        <w:tc>
          <w:tcPr>
            <w:tcW w:w="301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17" w:type="dxa"/>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饶世旗</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3年</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eastAsia="zh-CN"/>
              </w:rPr>
              <w:t>周香萍</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2年）</w:t>
            </w:r>
          </w:p>
        </w:tc>
      </w:tr>
    </w:tbl>
    <w:p>
      <w:pPr>
        <w:rPr>
          <w:szCs w:val="21"/>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669"/>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085" w:type="dxa"/>
          </w:tcPr>
          <w:p>
            <w:pPr>
              <w:rPr>
                <w:szCs w:val="21"/>
              </w:rPr>
            </w:pPr>
          </w:p>
        </w:tc>
        <w:sdt>
          <w:sdtPr>
            <w:rPr>
              <w:rFonts w:hint="default" w:ascii="Times New Roman" w:hAnsi="Times New Roman" w:cs="Times New Roman"/>
            </w:rPr>
            <w:tag w:val="_PLD_cad1edc3279a4f7b8f226d4accf99ff9"/>
            <w:id w:val="26038"/>
          </w:sdtPr>
          <w:sdtEndPr>
            <w:rPr>
              <w:rFonts w:hint="default" w:ascii="Times New Roman" w:hAnsi="Times New Roman" w:cs="Times New Roman"/>
            </w:rPr>
          </w:sdtEndPr>
          <w:sdtContent>
            <w:tc>
              <w:tcPr>
                <w:tcW w:w="366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sdtContent>
        </w:sdt>
        <w:sdt>
          <w:sdtPr>
            <w:rPr>
              <w:rFonts w:hint="default" w:ascii="Times New Roman" w:hAnsi="Times New Roman" w:cs="Times New Roman"/>
            </w:rPr>
            <w:tag w:val="_PLD_a4933dcd45ca4109b3b952ece3e2fb08"/>
            <w:id w:val="26039"/>
          </w:sdtPr>
          <w:sdtEndPr>
            <w:rPr>
              <w:rFonts w:hint="default" w:ascii="Times New Roman" w:hAnsi="Times New Roman" w:cs="Times New Roman"/>
            </w:rPr>
          </w:sdtEndPr>
          <w:sdtContent>
            <w:tc>
              <w:tcPr>
                <w:tcW w:w="22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085" w:type="dxa"/>
            <w:vAlign w:val="center"/>
          </w:tcPr>
          <w:p>
            <w:pPr>
              <w:jc w:val="left"/>
              <w:rPr>
                <w:szCs w:val="21"/>
              </w:rPr>
            </w:pPr>
            <w:r>
              <w:rPr>
                <w:rFonts w:hint="eastAsia"/>
                <w:szCs w:val="21"/>
              </w:rPr>
              <w:t>内部控制审计会计师事务所</w:t>
            </w:r>
          </w:p>
        </w:tc>
        <w:tc>
          <w:tcPr>
            <w:tcW w:w="366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中喜会计师事务所（特殊普通合伙）</w:t>
            </w:r>
          </w:p>
        </w:tc>
        <w:tc>
          <w:tcPr>
            <w:tcW w:w="2295"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28</w:t>
            </w:r>
          </w:p>
        </w:tc>
      </w:tr>
    </w:tbl>
    <w:p>
      <w:pPr>
        <w:widowControl/>
        <w:jc w:val="left"/>
      </w:pPr>
    </w:p>
    <w:bookmarkEnd w:id="99"/>
    <w:p>
      <w:r>
        <w:t>聘任、解聘会计师事务所的情况说明</w:t>
      </w:r>
    </w:p>
    <w:sdt>
      <w:sdtPr>
        <w:alias w:val="是否适用：聘任、解聘会计师事务所情况[双击切换]"/>
        <w:tag w:val="_GBC_376f0811302240c0a118add2061458b6"/>
        <w:id w:val="2604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26041"/>
        <w:placeholder>
          <w:docPart w:val="GBC22222222222222222222222222222"/>
        </w:placeholder>
      </w:sdtPr>
      <w:sdtEndPr>
        <w:rPr>
          <w:rFonts w:hint="default" w:ascii="Times New Roman" w:hAnsi="Times New Roman" w:cs="Times New Roman"/>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202</w:t>
          </w:r>
          <w:r>
            <w:rPr>
              <w:rFonts w:hint="default" w:ascii="Times New Roman" w:hAnsi="Times New Roman" w:cs="Times New Roman"/>
              <w:szCs w:val="21"/>
              <w:lang w:val="en-US" w:eastAsia="zh-CN"/>
            </w:rPr>
            <w:t>3</w:t>
          </w:r>
          <w:r>
            <w:rPr>
              <w:rFonts w:hint="default" w:ascii="Times New Roman" w:hAnsi="Times New Roman" w:cs="Times New Roman"/>
              <w:szCs w:val="21"/>
            </w:rPr>
            <w:t>年11月1</w:t>
          </w:r>
          <w:r>
            <w:rPr>
              <w:rFonts w:hint="default" w:ascii="Times New Roman" w:hAnsi="Times New Roman" w:cs="Times New Roman"/>
              <w:szCs w:val="21"/>
              <w:lang w:val="en-US" w:eastAsia="zh-CN"/>
            </w:rPr>
            <w:t>5</w:t>
          </w:r>
          <w:r>
            <w:rPr>
              <w:rFonts w:hint="default" w:ascii="Times New Roman" w:hAnsi="Times New Roman" w:cs="Times New Roman"/>
              <w:szCs w:val="21"/>
            </w:rPr>
            <w:t>日，公司召开202</w:t>
          </w:r>
          <w:r>
            <w:rPr>
              <w:rFonts w:hint="default" w:ascii="Times New Roman" w:hAnsi="Times New Roman" w:cs="Times New Roman"/>
              <w:szCs w:val="21"/>
              <w:lang w:val="en-US" w:eastAsia="zh-CN"/>
            </w:rPr>
            <w:t>3</w:t>
          </w:r>
          <w:r>
            <w:rPr>
              <w:rFonts w:hint="default" w:ascii="Times New Roman" w:hAnsi="Times New Roman" w:cs="Times New Roman"/>
              <w:szCs w:val="21"/>
            </w:rPr>
            <w:t>年第一次临时股东大会，审议通过了《关于</w:t>
          </w:r>
          <w:r>
            <w:rPr>
              <w:rFonts w:hint="default" w:ascii="Times New Roman" w:hAnsi="Times New Roman" w:cs="Times New Roman"/>
              <w:szCs w:val="21"/>
              <w:lang w:val="en-US" w:eastAsia="zh-CN"/>
            </w:rPr>
            <w:t>聘请会中喜</w:t>
          </w:r>
          <w:r>
            <w:rPr>
              <w:rFonts w:hint="default" w:ascii="Times New Roman" w:hAnsi="Times New Roman" w:cs="Times New Roman"/>
              <w:szCs w:val="21"/>
            </w:rPr>
            <w:t>会计师事务所（特殊普通合伙）为公司202</w:t>
          </w:r>
          <w:r>
            <w:rPr>
              <w:rFonts w:hint="default" w:ascii="Times New Roman" w:hAnsi="Times New Roman" w:cs="Times New Roman"/>
              <w:szCs w:val="21"/>
              <w:lang w:val="en-US" w:eastAsia="zh-CN"/>
            </w:rPr>
            <w:t>3</w:t>
          </w:r>
          <w:r>
            <w:rPr>
              <w:rFonts w:hint="default" w:ascii="Times New Roman" w:hAnsi="Times New Roman" w:cs="Times New Roman"/>
              <w:szCs w:val="21"/>
            </w:rPr>
            <w:t>年度财务报表及内部控制审计机构的议案》，决定</w:t>
          </w:r>
          <w:r>
            <w:rPr>
              <w:rFonts w:hint="default" w:ascii="Times New Roman" w:hAnsi="Times New Roman" w:cs="Times New Roman"/>
              <w:szCs w:val="21"/>
              <w:lang w:val="en-US" w:eastAsia="zh-CN"/>
            </w:rPr>
            <w:t>聘请中喜</w:t>
          </w:r>
          <w:r>
            <w:rPr>
              <w:rFonts w:hint="default" w:ascii="Times New Roman" w:hAnsi="Times New Roman" w:cs="Times New Roman"/>
              <w:szCs w:val="21"/>
            </w:rPr>
            <w:t>会计师事务所（特殊普通合伙）为公司202</w:t>
          </w:r>
          <w:r>
            <w:rPr>
              <w:rFonts w:hint="default" w:ascii="Times New Roman" w:hAnsi="Times New Roman" w:cs="Times New Roman"/>
              <w:szCs w:val="21"/>
              <w:lang w:val="en-US" w:eastAsia="zh-CN"/>
            </w:rPr>
            <w:t>3</w:t>
          </w:r>
          <w:r>
            <w:rPr>
              <w:rFonts w:hint="default" w:ascii="Times New Roman" w:hAnsi="Times New Roman" w:cs="Times New Roman"/>
              <w:szCs w:val="21"/>
            </w:rPr>
            <w:t>年度财务报表及内部控制审计机构。财务报表审计费用为50万元，内控审计费用为28万元。</w:t>
          </w:r>
        </w:p>
      </w:sdtContent>
    </w:sdt>
    <w:p>
      <w:pPr>
        <w:rPr>
          <w:szCs w:val="21"/>
        </w:rPr>
      </w:pPr>
    </w:p>
    <w:p>
      <w:r>
        <w:t>审计期间改聘会计师事务所的情况说明</w:t>
      </w:r>
    </w:p>
    <w:sdt>
      <w:sdtPr>
        <w:rPr>
          <w:rFonts w:hint="eastAsia"/>
        </w:rPr>
        <w:alias w:val="是否适用：审计期间改聘会计师事务所的情况说明[双击切换]"/>
        <w:tag w:val="_GBC_34c57619e2904c83a8840614e4e5d5d0"/>
        <w:id w:val="26042"/>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26043"/>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3"/>
        <w:numPr>
          <w:ilvl w:val="0"/>
          <w:numId w:val="36"/>
        </w:numPr>
        <w:rPr>
          <w:rFonts w:ascii="宋体" w:hAnsi="宋体" w:cs="宋体"/>
          <w:kern w:val="0"/>
          <w:szCs w:val="24"/>
        </w:rPr>
      </w:pPr>
      <w:r>
        <w:rPr>
          <w:rFonts w:ascii="宋体" w:hAnsi="宋体" w:cs="宋体"/>
          <w:kern w:val="0"/>
          <w:szCs w:val="24"/>
        </w:rPr>
        <w:t>面临</w:t>
      </w:r>
      <w:r>
        <w:rPr>
          <w:rFonts w:hint="eastAsia" w:ascii="宋体" w:hAnsi="宋体" w:cs="宋体"/>
          <w:kern w:val="0"/>
          <w:szCs w:val="24"/>
        </w:rPr>
        <w:t>退</w:t>
      </w:r>
      <w:r>
        <w:rPr>
          <w:rFonts w:ascii="宋体" w:hAnsi="宋体" w:cs="宋体"/>
          <w:kern w:val="0"/>
          <w:szCs w:val="24"/>
        </w:rPr>
        <w:t>市风险的情况</w:t>
      </w:r>
    </w:p>
    <w:p>
      <w:pPr>
        <w:pStyle w:val="4"/>
        <w:numPr>
          <w:ilvl w:val="0"/>
          <w:numId w:val="39"/>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26044"/>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39"/>
        </w:numPr>
        <w:rPr>
          <w:szCs w:val="21"/>
        </w:rPr>
      </w:pPr>
      <w:r>
        <w:rPr>
          <w:rFonts w:hint="eastAsia"/>
          <w:szCs w:val="21"/>
        </w:rPr>
        <w:t>公司拟采取的应对措施</w:t>
      </w:r>
    </w:p>
    <w:sdt>
      <w:sdtPr>
        <w:rPr>
          <w:szCs w:val="21"/>
        </w:rPr>
        <w:alias w:val="是否适用：公司拟采取的措施[双击切换]"/>
        <w:tag w:val="_GBC_8656f473b4d943fe8fa1477037f607c5"/>
        <w:id w:val="26045"/>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39"/>
        </w:numPr>
        <w:rPr>
          <w:rFonts w:ascii="宋体" w:hAnsi="宋体" w:cs="宋体"/>
          <w:kern w:val="0"/>
          <w:szCs w:val="21"/>
        </w:rPr>
      </w:pPr>
      <w:bookmarkStart w:id="100" w:name="_Hlk89346186"/>
      <w:r>
        <w:rPr>
          <w:rFonts w:hint="eastAsia" w:ascii="宋体" w:hAnsi="宋体" w:cs="宋体"/>
          <w:kern w:val="0"/>
          <w:szCs w:val="21"/>
        </w:rPr>
        <w:t>面临终止上市的情况和原因</w:t>
      </w:r>
    </w:p>
    <w:sdt>
      <w:sdtPr>
        <w:rPr>
          <w:rFonts w:hint="eastAsia"/>
          <w:szCs w:val="21"/>
        </w:rPr>
        <w:alias w:val="是否适用：面临终止上市的情况和原因 [双击切换]"/>
        <w:tag w:val="_GBC_36002fff87954035b149cfd20b1790d5"/>
        <w:id w:val="26046"/>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100"/>
    <w:p>
      <w:pPr>
        <w:pStyle w:val="3"/>
        <w:numPr>
          <w:ilvl w:val="0"/>
          <w:numId w:val="36"/>
        </w:numPr>
      </w:pPr>
      <w:r>
        <w:t>破产重整相关事项</w:t>
      </w:r>
    </w:p>
    <w:sdt>
      <w:sdtPr>
        <w:alias w:val="是否适用：破产重整相关事项[双击切换]"/>
        <w:tag w:val="_GBC_5840a694c2a04f98893394e6da3bc9cc"/>
        <w:id w:val="26047"/>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3"/>
        <w:numPr>
          <w:ilvl w:val="0"/>
          <w:numId w:val="36"/>
        </w:numPr>
      </w:pPr>
      <w:r>
        <w:t>重大诉讼、仲裁事项</w:t>
      </w:r>
    </w:p>
    <w:sdt>
      <w:sdtPr>
        <w:alias w:val="本年度公司有无重大诉讼、仲裁事项"/>
        <w:tag w:val="_GBC_b7d97a978491465ca563fa610688ebef"/>
        <w:id w:val="26048"/>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□本年度公司有重大诉讼、仲裁事项 </w:instrText>
          </w:r>
          <w:r>
            <w:fldChar w:fldCharType="end"/>
          </w:r>
          <w:r>
            <w:fldChar w:fldCharType="begin"/>
          </w:r>
          <w:r>
            <w:rPr>
              <w:rFonts w:hint="eastAsia"/>
              <w:lang w:eastAsia="zh-CN"/>
            </w:rPr>
            <w:instrText xml:space="preserve"> MACROBUTTON  SnrToggleCheckbox √本年度公司无重大诉讼、仲裁事项 </w:instrText>
          </w:r>
          <w:r>
            <w:fldChar w:fldCharType="end"/>
          </w:r>
        </w:p>
      </w:sdtContent>
    </w:sdt>
    <w:p>
      <w:pPr>
        <w:rPr>
          <w:szCs w:val="21"/>
        </w:rPr>
      </w:pPr>
    </w:p>
    <w:p>
      <w:pPr>
        <w:pStyle w:val="3"/>
        <w:numPr>
          <w:ilvl w:val="0"/>
          <w:numId w:val="36"/>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26049"/>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3"/>
        <w:numPr>
          <w:ilvl w:val="0"/>
          <w:numId w:val="36"/>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6050"/>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36"/>
        </w:numPr>
      </w:pPr>
      <w:r>
        <w:rPr>
          <w:rFonts w:hint="eastAsia"/>
        </w:rPr>
        <w:t>重大关联交易</w:t>
      </w:r>
    </w:p>
    <w:p>
      <w:pPr>
        <w:pStyle w:val="4"/>
        <w:numPr>
          <w:ilvl w:val="2"/>
          <w:numId w:val="5"/>
        </w:numPr>
        <w:rPr>
          <w:szCs w:val="21"/>
        </w:rPr>
      </w:pPr>
      <w:bookmarkStart w:id="101" w:name="_Toc342491961"/>
      <w:bookmarkStart w:id="102" w:name="_Toc342565953"/>
      <w:r>
        <w:rPr>
          <w:rFonts w:hint="eastAsia"/>
          <w:szCs w:val="21"/>
        </w:rPr>
        <w:t>与日常经营相关的关联交易</w:t>
      </w:r>
      <w:bookmarkEnd w:id="101"/>
      <w:bookmarkEnd w:id="102"/>
    </w:p>
    <w:p>
      <w:pPr>
        <w:pStyle w:val="5"/>
        <w:numPr>
          <w:ilvl w:val="2"/>
          <w:numId w:val="40"/>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6051"/>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2"/>
          <w:numId w:val="40"/>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6052"/>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5"/>
        <w:numPr>
          <w:ilvl w:val="2"/>
          <w:numId w:val="40"/>
        </w:numPr>
      </w:pPr>
      <w:bookmarkStart w:id="103" w:name="_Toc342565956"/>
      <w:bookmarkStart w:id="104" w:name="_Toc342491964"/>
      <w:r>
        <w:rPr>
          <w:rFonts w:hint="eastAsia"/>
        </w:rPr>
        <w:t>临时公告未披露的事</w:t>
      </w:r>
      <w:bookmarkEnd w:id="103"/>
      <w:bookmarkEnd w:id="104"/>
      <w:r>
        <w:rPr>
          <w:rFonts w:hint="eastAsia"/>
        </w:rPr>
        <w:t>项</w:t>
      </w:r>
    </w:p>
    <w:sdt>
      <w:sdtPr>
        <w:alias w:val="是否适用：与日常经营相关的关联交易_临时公告未披露的事项[双击切换]"/>
        <w:tag w:val="_GBC_3f1135e0d6d440e6a4af283441bd65d2"/>
        <w:id w:val="2605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4"/>
        <w:numPr>
          <w:ilvl w:val="2"/>
          <w:numId w:val="5"/>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pPr>
        <w:pStyle w:val="5"/>
        <w:numPr>
          <w:ilvl w:val="0"/>
          <w:numId w:val="4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2605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0"/>
          <w:numId w:val="41"/>
        </w:numPr>
      </w:pPr>
      <w:bookmarkStart w:id="105" w:name="_Hlk90309315"/>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26055"/>
        <w:placeholder>
          <w:docPart w:val="GBC22222222222222222222222222222"/>
        </w:placeholder>
      </w:sdtPr>
      <w:sdtEndPr>
        <w:rPr>
          <w:rFonts w:hint="eastAsia"/>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rPr>
              <w:rFonts w:hint="eastAsia"/>
              <w:szCs w:val="21"/>
            </w:rPr>
          </w:pPr>
        </w:p>
      </w:sdtContent>
    </w:sdt>
    <w:bookmarkEnd w:id="105"/>
    <w:p>
      <w:pPr>
        <w:pStyle w:val="5"/>
        <w:numPr>
          <w:ilvl w:val="0"/>
          <w:numId w:val="41"/>
        </w:numPr>
      </w:pPr>
      <w:r>
        <w:t>临时公告未披露的事项</w:t>
      </w:r>
    </w:p>
    <w:sdt>
      <w:sdtPr>
        <w:alias w:val="是否适用：资产收购、出售发生的关联交易_临时公告未披露的事项[双击切换]"/>
        <w:tag w:val="_GBC_c2403e21caad4498842c2f1cf3384c0d"/>
        <w:id w:val="26056"/>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5"/>
        <w:numPr>
          <w:ilvl w:val="0"/>
          <w:numId w:val="4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26057"/>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
        <w:numPr>
          <w:ilvl w:val="2"/>
          <w:numId w:val="5"/>
        </w:numPr>
        <w:rPr>
          <w:szCs w:val="21"/>
        </w:rPr>
      </w:pPr>
      <w:r>
        <w:rPr>
          <w:szCs w:val="21"/>
        </w:rPr>
        <w:t>共同对外投资的重大关联交易</w:t>
      </w:r>
    </w:p>
    <w:p>
      <w:pPr>
        <w:pStyle w:val="5"/>
        <w:numPr>
          <w:ilvl w:val="0"/>
          <w:numId w:val="42"/>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2605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0"/>
          <w:numId w:val="42"/>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26059"/>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5"/>
        <w:numPr>
          <w:ilvl w:val="0"/>
          <w:numId w:val="42"/>
        </w:numPr>
      </w:pPr>
      <w:r>
        <w:t>临时公告未披露的事项</w:t>
      </w:r>
    </w:p>
    <w:sdt>
      <w:sdtPr>
        <w:alias w:val="是否适用：共同对外投资的重大关联交易_临时公告未披露的事项[双击切换]"/>
        <w:tag w:val="_GBC_0a8e93fe81464e209d3619d1be6a3349"/>
        <w:id w:val="26060"/>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4"/>
        <w:numPr>
          <w:ilvl w:val="2"/>
          <w:numId w:val="5"/>
        </w:numPr>
        <w:rPr>
          <w:szCs w:val="21"/>
        </w:rPr>
      </w:pPr>
      <w:r>
        <w:rPr>
          <w:rFonts w:hint="eastAsia"/>
          <w:szCs w:val="21"/>
        </w:rPr>
        <w:t>关联债权债务往来</w:t>
      </w:r>
    </w:p>
    <w:p>
      <w:pPr>
        <w:pStyle w:val="5"/>
        <w:numPr>
          <w:ilvl w:val="0"/>
          <w:numId w:val="43"/>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26061"/>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0"/>
          <w:numId w:val="43"/>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6062"/>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5"/>
        <w:numPr>
          <w:ilvl w:val="0"/>
          <w:numId w:val="43"/>
        </w:numPr>
      </w:pPr>
      <w:r>
        <w:rPr>
          <w:rFonts w:hint="eastAsia"/>
        </w:rPr>
        <w:t>临时公告未披露的事项</w:t>
      </w:r>
    </w:p>
    <w:sdt>
      <w:sdtPr>
        <w:alias w:val="是否适用：关联债权债务往来_临时公告未披露的事项[双击切换]"/>
        <w:tag w:val="_GBC_d9a88c6705ef48d49848c2b93cb503f2"/>
        <w:id w:val="2606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4"/>
        <w:numPr>
          <w:ilvl w:val="2"/>
          <w:numId w:val="5"/>
        </w:numPr>
        <w:rPr>
          <w:rFonts w:ascii="宋体" w:hAnsi="宋体"/>
        </w:rPr>
      </w:pPr>
      <w:bookmarkStart w:id="106" w:name="_Hlk89346519"/>
      <w:bookmarkStart w:id="107"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6064"/>
        <w:placeholder>
          <w:docPart w:val="GBC22222222222222222222222222222"/>
        </w:placeholder>
      </w:sdtPr>
      <w:sdtContent>
        <w:p>
          <w:pPr>
            <w:outlineLvl w:val="9"/>
            <w:rPr>
              <w:color w:val="000000" w:themeColor="text1"/>
              <w:szCs w:val="21"/>
              <w14:textFill>
                <w14:solidFill>
                  <w14:schemeClr w14:val="tx1"/>
                </w14:solidFill>
              </w14:textFill>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108" w:name="_Hlk41316022"/>
        </w:p>
      </w:sdtContent>
    </w:sdt>
    <w:p>
      <w:pPr>
        <w:rPr>
          <w:color w:val="000000" w:themeColor="text1"/>
          <w:szCs w:val="21"/>
          <w14:textFill>
            <w14:solidFill>
              <w14:schemeClr w14:val="tx1"/>
            </w14:solidFill>
          </w14:textFill>
        </w:rPr>
      </w:pPr>
    </w:p>
    <w:bookmarkEnd w:id="106"/>
    <w:bookmarkEnd w:id="107"/>
    <w:bookmarkEnd w:id="108"/>
    <w:p>
      <w:pPr>
        <w:pStyle w:val="4"/>
        <w:numPr>
          <w:ilvl w:val="2"/>
          <w:numId w:val="5"/>
        </w:numPr>
        <w:rPr>
          <w:szCs w:val="21"/>
        </w:rPr>
      </w:pPr>
      <w:r>
        <w:rPr>
          <w:rFonts w:hint="eastAsia"/>
          <w:szCs w:val="21"/>
        </w:rPr>
        <w:t>其他</w:t>
      </w:r>
    </w:p>
    <w:sdt>
      <w:sdtPr>
        <w:rPr>
          <w:rFonts w:hint="eastAsia" w:asciiTheme="minorEastAsia" w:hAnsiTheme="minorEastAsia" w:eastAsiaTheme="minorEastAsia"/>
          <w:szCs w:val="21"/>
        </w:rPr>
        <w:alias w:val="是否适用：重大关联交易其他说明[双击切换]"/>
        <w:tag w:val="_GBC_49b04883b7a84a83b6a8bfec05cbb445"/>
        <w:id w:val="26065"/>
        <w:placeholder>
          <w:docPart w:val="GBC22222222222222222222222222222"/>
        </w:placeholder>
      </w:sdtPr>
      <w:sdtEndPr>
        <w:rPr>
          <w:rFonts w:hint="eastAsia" w:asciiTheme="minorEastAsia" w:hAnsiTheme="minorEastAsia" w:eastAsiaTheme="minor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36"/>
        </w:numPr>
      </w:pPr>
      <w:r>
        <w:rPr>
          <w:rFonts w:hint="eastAsia"/>
        </w:rPr>
        <w:t>重大合同及其履行情况</w:t>
      </w:r>
    </w:p>
    <w:p>
      <w:pPr>
        <w:pStyle w:val="4"/>
        <w:numPr>
          <w:ilvl w:val="0"/>
          <w:numId w:val="44"/>
        </w:numPr>
        <w:rPr>
          <w:szCs w:val="21"/>
        </w:rPr>
      </w:pPr>
      <w:r>
        <w:rPr>
          <w:szCs w:val="21"/>
        </w:rPr>
        <w:t>托管、承包、租赁事项</w:t>
      </w:r>
    </w:p>
    <w:p>
      <w:pPr>
        <w:pStyle w:val="5"/>
        <w:numPr>
          <w:ilvl w:val="0"/>
          <w:numId w:val="45"/>
        </w:numPr>
      </w:pPr>
      <w:r>
        <w:rPr>
          <w:rFonts w:hint="eastAsia"/>
        </w:rPr>
        <w:t>托管情况</w:t>
      </w:r>
    </w:p>
    <w:sdt>
      <w:sdtPr>
        <w:alias w:val="是否适用：托管情况[双击切换]"/>
        <w:tag w:val="_GBC_f528f5eedb9346f6b0fbdbe3967882e7"/>
        <w:id w:val="26066"/>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0"/>
          <w:numId w:val="45"/>
        </w:numPr>
      </w:pPr>
      <w:r>
        <w:t>承包情况</w:t>
      </w:r>
    </w:p>
    <w:sdt>
      <w:sdtPr>
        <w:alias w:val="是否适用：承包情况[双击切换]"/>
        <w:tag w:val="_GBC_ef45025eb2d84c78907511abec2bd222"/>
        <w:id w:val="26067"/>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shd w:val="pct10" w:color="auto" w:fill="FFFFFF"/>
        </w:rPr>
      </w:pPr>
    </w:p>
    <w:p>
      <w:pPr>
        <w:pStyle w:val="5"/>
        <w:numPr>
          <w:ilvl w:val="0"/>
          <w:numId w:val="45"/>
        </w:numPr>
      </w:pPr>
      <w:r>
        <w:t>租赁情况</w:t>
      </w:r>
    </w:p>
    <w:sdt>
      <w:sdtPr>
        <w:alias w:val="是否适用：租赁情况[双击切换]"/>
        <w:tag w:val="_GBC_c1d0d78a63af4d48a7427277c2db3ac5"/>
        <w:id w:val="26068"/>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shd w:val="pct10" w:color="auto" w:fill="FFFFFF"/>
        </w:rPr>
        <w:sectPr>
          <w:pgSz w:w="11906" w:h="16838"/>
          <w:pgMar w:top="1525" w:right="1276" w:bottom="1440" w:left="1797" w:header="855" w:footer="992" w:gutter="0"/>
          <w:cols w:space="425" w:num="1"/>
          <w:docGrid w:linePitch="312" w:charSpace="0"/>
        </w:sectPr>
      </w:pPr>
    </w:p>
    <w:p>
      <w:pPr>
        <w:pStyle w:val="4"/>
        <w:numPr>
          <w:ilvl w:val="0"/>
          <w:numId w:val="44"/>
        </w:numPr>
        <w:rPr>
          <w:szCs w:val="21"/>
        </w:rPr>
      </w:pPr>
      <w:bookmarkStart w:id="109" w:name="_Toc342491982"/>
      <w:bookmarkStart w:id="110" w:name="_Toc342565974"/>
      <w:bookmarkStart w:id="111" w:name="OLE_LINK2"/>
      <w:bookmarkStart w:id="112" w:name="OLE_LINK3"/>
      <w:r>
        <w:rPr>
          <w:rFonts w:hint="eastAsia"/>
          <w:szCs w:val="21"/>
        </w:rPr>
        <w:t>担保情况</w:t>
      </w:r>
      <w:bookmarkEnd w:id="109"/>
      <w:bookmarkEnd w:id="110"/>
    </w:p>
    <w:bookmarkEnd w:id="111"/>
    <w:bookmarkEnd w:id="112"/>
    <w:sdt>
      <w:sdtPr>
        <w:rPr>
          <w:szCs w:val="21"/>
        </w:rPr>
        <w:alias w:val="是否适用：担保情况[双击切换]"/>
        <w:tag w:val="_GBC_b799a3ac65f846e088fcfb2dd2591ede"/>
        <w:id w:val="26069"/>
        <w:lock w:val="contentLocked"/>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260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ascii="宋体" w:hAnsi="宋体" w:eastAsia="宋体" w:cs="宋体"/>
              <w:sz w:val="21"/>
              <w:szCs w:val="21"/>
              <w:lang w:val="en-US" w:eastAsia="zh-CN" w:bidi="ar-SA"/>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260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880"/>
        <w:gridCol w:w="919"/>
        <w:gridCol w:w="913"/>
        <w:gridCol w:w="1022"/>
        <w:gridCol w:w="920"/>
        <w:gridCol w:w="920"/>
        <w:gridCol w:w="398"/>
        <w:gridCol w:w="513"/>
        <w:gridCol w:w="920"/>
        <w:gridCol w:w="920"/>
        <w:gridCol w:w="920"/>
        <w:gridCol w:w="917"/>
        <w:gridCol w:w="1023"/>
        <w:gridCol w:w="917"/>
        <w:gridCol w:w="920"/>
        <w:gridCol w:w="9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rPr>
            <w:tag w:val="_PLD_47382e1239d84f6f9f6c6d4b5423c108"/>
            <w:id w:val="26072"/>
          </w:sdtPr>
          <w:sdtEndPr>
            <w:rPr>
              <w:rFonts w:ascii="Times New Roman" w:hAnsi="Times New Roman"/>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jc w:val="center"/>
                  <w:rPr>
                    <w:rFonts w:ascii="Times New Roman" w:hAnsi="Times New Roman"/>
                    <w:szCs w:val="21"/>
                  </w:rPr>
                </w:pPr>
                <w:bookmarkStart w:id="113" w:name="_Hlk89953992"/>
                <w:r>
                  <w:rPr>
                    <w:rFonts w:hint="eastAsia" w:ascii="Times New Roman" w:hAnsi="Times New Roman"/>
                    <w:szCs w:val="21"/>
                  </w:rPr>
                  <w:t>公司对外担保情况（不包括对子公司的担保）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rPr>
            <w:tag w:val="_PLD_09b2f27e560e48058fd68a7522d4a21e"/>
            <w:id w:val="26073"/>
          </w:sdtPr>
          <w:sdtEndPr>
            <w:rPr>
              <w:rFonts w:ascii="Times New Roman" w:hAnsi="Times New Roman"/>
            </w:rPr>
          </w:sdtEndPr>
          <w:sdtContent>
            <w:tc>
              <w:tcPr>
                <w:tcW w:w="316"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担保方</w:t>
                </w:r>
              </w:p>
            </w:tc>
          </w:sdtContent>
        </w:sdt>
        <w:sdt>
          <w:sdtPr>
            <w:rPr>
              <w:rFonts w:ascii="Times New Roman" w:hAnsi="Times New Roman"/>
            </w:rPr>
            <w:tag w:val="_PLD_3052f673b3b345d3a7af649302ea170a"/>
            <w:id w:val="26074"/>
          </w:sdtPr>
          <w:sdtEndPr>
            <w:rPr>
              <w:rFonts w:ascii="Times New Roman" w:hAnsi="Times New Roman"/>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担保方与上市公司的关系</w:t>
                </w:r>
              </w:p>
            </w:tc>
          </w:sdtContent>
        </w:sdt>
        <w:sdt>
          <w:sdtPr>
            <w:rPr>
              <w:rFonts w:ascii="Times New Roman" w:hAnsi="Times New Roman"/>
            </w:rPr>
            <w:tag w:val="_PLD_fb4029fae7cf48a79a41443b882f9109"/>
            <w:id w:val="26075"/>
          </w:sdtPr>
          <w:sdtEndPr>
            <w:rPr>
              <w:rFonts w:ascii="Times New Roman" w:hAnsi="Times New Roman"/>
            </w:rPr>
          </w:sdtEndPr>
          <w:sdtContent>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被担保方</w:t>
                </w:r>
              </w:p>
            </w:tc>
          </w:sdtContent>
        </w:sdt>
        <w:sdt>
          <w:sdtPr>
            <w:rPr>
              <w:rFonts w:ascii="Times New Roman" w:hAnsi="Times New Roman"/>
            </w:rPr>
            <w:tag w:val="_PLD_f9cf7e1836e34488ac32b6e51fd66dc5"/>
            <w:id w:val="26076"/>
          </w:sdtPr>
          <w:sdtEndPr>
            <w:rPr>
              <w:rFonts w:ascii="Times New Roman" w:hAnsi="Times New Roman"/>
            </w:rPr>
          </w:sdtEnd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担保金额</w:t>
                </w:r>
              </w:p>
            </w:tc>
          </w:sdtContent>
        </w:sdt>
        <w:sdt>
          <w:sdtPr>
            <w:rPr>
              <w:rFonts w:ascii="Times New Roman" w:hAnsi="Times New Roman"/>
            </w:rPr>
            <w:tag w:val="_PLD_2605894e64924e1c948143543497b30d"/>
            <w:id w:val="26077"/>
          </w:sdtPr>
          <w:sdtEndPr>
            <w:rPr>
              <w:rFonts w:ascii="Times New Roman" w:hAnsi="Times New Roman"/>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担保发生日期</w:t>
                </w:r>
                <w:r>
                  <w:rPr>
                    <w:rFonts w:ascii="Times New Roman" w:hAnsi="Times New Roman"/>
                    <w:szCs w:val="21"/>
                  </w:rPr>
                  <w:t>(</w:t>
                </w:r>
                <w:r>
                  <w:rPr>
                    <w:rFonts w:hint="eastAsia" w:ascii="Times New Roman" w:hAnsi="Times New Roman"/>
                    <w:szCs w:val="21"/>
                  </w:rPr>
                  <w:t>协议签署日</w:t>
                </w:r>
                <w:r>
                  <w:rPr>
                    <w:rFonts w:ascii="Times New Roman" w:hAnsi="Times New Roman"/>
                    <w:szCs w:val="21"/>
                  </w:rPr>
                  <w:t>)</w:t>
                </w:r>
              </w:p>
            </w:tc>
          </w:sdtContent>
        </w:sdt>
        <w:sdt>
          <w:sdtPr>
            <w:rPr>
              <w:rFonts w:ascii="Times New Roman" w:hAnsi="Times New Roman"/>
            </w:rPr>
            <w:tag w:val="_PLD_360b2c68827a4d0ca9316c3726b16cc0"/>
            <w:id w:val="26078"/>
          </w:sdtPr>
          <w:sdtEndPr>
            <w:rPr>
              <w:rFonts w:ascii="Times New Roman" w:hAnsi="Times New Roman"/>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w:t>
                </w:r>
              </w:p>
              <w:p>
                <w:pPr>
                  <w:autoSpaceDE w:val="0"/>
                  <w:autoSpaceDN w:val="0"/>
                  <w:adjustRightInd w:val="0"/>
                  <w:jc w:val="center"/>
                  <w:rPr>
                    <w:rFonts w:ascii="Times New Roman" w:hAnsi="Times New Roman"/>
                    <w:szCs w:val="21"/>
                  </w:rPr>
                </w:pPr>
                <w:r>
                  <w:rPr>
                    <w:rFonts w:hint="eastAsia" w:ascii="Times New Roman" w:hAnsi="Times New Roman"/>
                    <w:szCs w:val="21"/>
                  </w:rPr>
                  <w:t>起始日</w:t>
                </w:r>
              </w:p>
            </w:tc>
          </w:sdtContent>
        </w:sdt>
        <w:sdt>
          <w:sdtPr>
            <w:rPr>
              <w:rFonts w:ascii="Times New Roman" w:hAnsi="Times New Roman"/>
            </w:rPr>
            <w:tag w:val="_PLD_6e343c1dd4c74b69b0e199f26aa0fc9a"/>
            <w:id w:val="26079"/>
          </w:sdtPr>
          <w:sdtEndPr>
            <w:rPr>
              <w:rFonts w:ascii="Times New Roman" w:hAnsi="Times New Roman"/>
            </w:rPr>
          </w:sdtEndPr>
          <w:sdtContent>
            <w:tc>
              <w:tcPr>
                <w:tcW w:w="32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w:t>
                </w:r>
              </w:p>
              <w:p>
                <w:pPr>
                  <w:autoSpaceDE w:val="0"/>
                  <w:autoSpaceDN w:val="0"/>
                  <w:adjustRightInd w:val="0"/>
                  <w:jc w:val="center"/>
                  <w:rPr>
                    <w:rFonts w:ascii="Times New Roman" w:hAnsi="Times New Roman"/>
                    <w:szCs w:val="21"/>
                  </w:rPr>
                </w:pPr>
                <w:r>
                  <w:rPr>
                    <w:rFonts w:hint="eastAsia" w:ascii="Times New Roman" w:hAnsi="Times New Roman"/>
                    <w:szCs w:val="21"/>
                  </w:rPr>
                  <w:t>到期日</w:t>
                </w:r>
              </w:p>
            </w:tc>
          </w:sdtContent>
        </w:sdt>
        <w:sdt>
          <w:sdtPr>
            <w:rPr>
              <w:rFonts w:ascii="Times New Roman" w:hAnsi="Times New Roman"/>
            </w:rPr>
            <w:tag w:val="_PLD_85aaff970e8f4025937e66f170fc0506"/>
            <w:id w:val="26080"/>
          </w:sdtPr>
          <w:sdtEndPr>
            <w:rPr>
              <w:rFonts w:ascii="Times New Roman" w:hAnsi="Times New Roman"/>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担保类型</w:t>
                </w:r>
              </w:p>
            </w:tc>
          </w:sdtContent>
        </w:sdt>
        <w:tc>
          <w:tcPr>
            <w:tcW w:w="330" w:type="pct"/>
            <w:tcBorders>
              <w:top w:val="single" w:color="auto" w:sz="4" w:space="0"/>
              <w:left w:val="single" w:color="auto" w:sz="4" w:space="0"/>
              <w:bottom w:val="single" w:color="auto" w:sz="4" w:space="0"/>
              <w:right w:val="single" w:color="auto" w:sz="4" w:space="0"/>
            </w:tcBorders>
            <w:vAlign w:val="center"/>
          </w:tcPr>
          <w:sdt>
            <w:sdtPr>
              <w:rPr>
                <w:rFonts w:hint="eastAsia" w:ascii="Times New Roman" w:hAnsi="Times New Roman"/>
              </w:rPr>
              <w:tag w:val="_PLD_d3fba9513b1742aeaf3cc03df939c3a6"/>
              <w:id w:val="26081"/>
            </w:sdtPr>
            <w:sdtEndPr>
              <w:rPr>
                <w:rFonts w:hint="eastAsia" w:ascii="Times New Roman" w:hAnsi="Times New Roman"/>
              </w:rPr>
            </w:sdtEndPr>
            <w:sdtContent>
              <w:p>
                <w:pPr>
                  <w:autoSpaceDE w:val="0"/>
                  <w:autoSpaceDN w:val="0"/>
                  <w:adjustRightInd w:val="0"/>
                  <w:jc w:val="center"/>
                  <w:rPr>
                    <w:rFonts w:ascii="Times New Roman" w:hAnsi="Times New Roman"/>
                  </w:rPr>
                </w:pPr>
                <w:r>
                  <w:rPr>
                    <w:rFonts w:hint="eastAsia" w:ascii="Times New Roman" w:hAnsi="Times New Roman"/>
                  </w:rPr>
                  <w:t>担保物（如有）</w:t>
                </w:r>
              </w:p>
            </w:sdtContent>
          </w:sdt>
        </w:tc>
        <w:sdt>
          <w:sdtPr>
            <w:rPr>
              <w:rFonts w:ascii="Times New Roman" w:hAnsi="Times New Roman"/>
            </w:rPr>
            <w:tag w:val="_PLD_fad806f6aed64969a9f500fc55be69bf"/>
            <w:id w:val="26082"/>
          </w:sdtPr>
          <w:sdtEndPr>
            <w:rPr>
              <w:rFonts w:ascii="Times New Roman" w:hAnsi="Times New Roman"/>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担保是否已经履行完毕</w:t>
                </w:r>
              </w:p>
            </w:tc>
          </w:sdtContent>
        </w:sdt>
        <w:sdt>
          <w:sdtPr>
            <w:rPr>
              <w:rFonts w:ascii="Times New Roman" w:hAnsi="Times New Roman"/>
            </w:rPr>
            <w:tag w:val="_PLD_355a8c82bc68409495d9bf25a926ed62"/>
            <w:id w:val="26083"/>
          </w:sdtPr>
          <w:sdtEndPr>
            <w:rPr>
              <w:rFonts w:ascii="Times New Roman" w:hAnsi="Times New Roman"/>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担保是否逾期</w:t>
                </w:r>
              </w:p>
            </w:tc>
          </w:sdtContent>
        </w:sdt>
        <w:sdt>
          <w:sdtPr>
            <w:rPr>
              <w:rFonts w:ascii="Times New Roman" w:hAnsi="Times New Roman"/>
            </w:rPr>
            <w:tag w:val="_PLD_e8056176e7db49139234d1df564f5c3a"/>
            <w:id w:val="26084"/>
          </w:sdtPr>
          <w:sdtEndPr>
            <w:rPr>
              <w:rFonts w:ascii="Times New Roman" w:hAnsi="Times New Roman"/>
            </w:rPr>
          </w:sdtEnd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担保逾期金额</w:t>
                </w:r>
              </w:p>
            </w:tc>
          </w:sdtContent>
        </w:sdt>
        <w:sdt>
          <w:sdtPr>
            <w:rPr>
              <w:rFonts w:ascii="Times New Roman" w:hAnsi="Times New Roman"/>
            </w:rPr>
            <w:tag w:val="_PLD_5c3b131124fe44f69e4b80cf09f7c755"/>
            <w:id w:val="26085"/>
          </w:sdtPr>
          <w:sdtEndPr>
            <w:rPr>
              <w:rFonts w:ascii="Times New Roman" w:hAnsi="Times New Roman"/>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反担保情况</w:t>
                </w:r>
              </w:p>
            </w:tc>
          </w:sdtContent>
        </w:sdt>
        <w:sdt>
          <w:sdtPr>
            <w:rPr>
              <w:rFonts w:ascii="Times New Roman" w:hAnsi="Times New Roman"/>
            </w:rPr>
            <w:tag w:val="_PLD_5a6bd2cf94e8411b88105a2190c5b4fb"/>
            <w:id w:val="26086"/>
          </w:sdtPr>
          <w:sdtEndPr>
            <w:rPr>
              <w:rFonts w:ascii="Times New Roman" w:hAnsi="Times New Roman"/>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是否为关联方担保</w:t>
                </w:r>
              </w:p>
            </w:tc>
          </w:sdtContent>
        </w:sdt>
        <w:sdt>
          <w:sdtPr>
            <w:rPr>
              <w:rFonts w:ascii="Times New Roman" w:hAnsi="Times New Roman"/>
            </w:rPr>
            <w:tag w:val="_PLD_70390fe8c4804a7da41d8a62ace59586"/>
            <w:id w:val="26087"/>
          </w:sdtPr>
          <w:sdtEndPr>
            <w:rPr>
              <w:rFonts w:ascii="Times New Roman" w:hAnsi="Times New Roman"/>
            </w:rPr>
          </w:sdtEndPr>
          <w:sdtContent>
            <w:tc>
              <w:tcPr>
                <w:tcW w:w="322"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ascii="Times New Roman" w:hAnsi="Times New Roman"/>
                    <w:szCs w:val="21"/>
                  </w:rPr>
                </w:pPr>
                <w:r>
                  <w:rPr>
                    <w:rFonts w:hint="eastAsia" w:ascii="Times New Roman" w:hAnsi="Times New Roman"/>
                    <w:szCs w:val="21"/>
                  </w:rPr>
                  <w:t>关联</w:t>
                </w:r>
              </w:p>
              <w:p>
                <w:pPr>
                  <w:autoSpaceDE w:val="0"/>
                  <w:autoSpaceDN w:val="0"/>
                  <w:adjustRightInd w:val="0"/>
                  <w:jc w:val="center"/>
                  <w:rPr>
                    <w:rFonts w:ascii="Times New Roman" w:hAnsi="Times New Roman"/>
                    <w:szCs w:val="21"/>
                  </w:rPr>
                </w:pPr>
                <w:r>
                  <w:rPr>
                    <w:rFonts w:hint="eastAsia" w:ascii="Times New Roman" w:hAnsi="Times New Roman"/>
                    <w:szCs w:val="21"/>
                  </w:rPr>
                  <w:t>关系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6" w:type="pct"/>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sdt>
          <w:sdtPr>
            <w:rPr>
              <w:rFonts w:hint="eastAsia" w:ascii="Times New Roman" w:hAnsi="Times New Roman"/>
              <w:bCs/>
              <w:szCs w:val="21"/>
            </w:rPr>
            <w:alias w:val="担保方与上市公司的关联关系"/>
            <w:tag w:val="_GBC_2e446bc7579a4b2db650f2a8defc57b7"/>
            <w:id w:val="26088"/>
            <w:comboBox>
              <w:listItem w:displayText="公司本部" w:value="公司本部"/>
              <w:listItem w:displayText="控股子公司" w:value="控股子公司"/>
              <w:listItem w:displayText="全资子公司" w:value="全资子公司"/>
            </w:comboBox>
          </w:sdtPr>
          <w:sdtEndPr>
            <w:rPr>
              <w:rFonts w:hint="eastAsia" w:ascii="Times New Roman" w:hAnsi="Times New Roman"/>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tc>
          <w:tcPr>
            <w:tcW w:w="32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rFonts w:ascii="Times New Roman" w:hAnsi="Times New Roman"/>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tc>
          <w:tcPr>
            <w:tcW w:w="327"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sdt>
          <w:sdtPr>
            <w:rPr>
              <w:rFonts w:ascii="Times New Roman" w:hAnsi="Times New Roman"/>
              <w:szCs w:val="21"/>
            </w:rPr>
            <w:alias w:val="担保类型"/>
            <w:tag w:val="_GBC_affd72f534db4dbea735ffb69233d55c"/>
            <w:id w:val="26089"/>
            <w:comboBox>
              <w:listItem w:displayText="一般担保" w:value="一般担保"/>
              <w:listItem w:displayText="连带责任担保" w:value="连带责任担保"/>
            </w:comboBox>
          </w:sdtPr>
          <w:sdtEndPr>
            <w:rPr>
              <w:rFonts w:ascii="Times New Roman" w:hAnsi="Times New Roman"/>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tc>
          <w:tcPr>
            <w:tcW w:w="33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Times New Roman" w:hAnsi="Times New Roman"/>
                <w:bCs/>
                <w:szCs w:val="21"/>
              </w:rPr>
            </w:pPr>
          </w:p>
        </w:tc>
        <w:sdt>
          <w:sdtPr>
            <w:rPr>
              <w:rFonts w:hint="eastAsia" w:ascii="Times New Roman" w:hAnsi="Times New Roman"/>
              <w:bCs/>
              <w:szCs w:val="21"/>
            </w:rPr>
            <w:alias w:val="担保是否已经履行完毕"/>
            <w:tag w:val="_GBC_61f81248895641f4b3a03b6d7bf72a1b"/>
            <w:id w:val="26090"/>
            <w:comboBox>
              <w:listItem w:displayText="是" w:value="true"/>
              <w:listItem w:displayText="否" w:value="false"/>
            </w:comboBox>
          </w:sdtPr>
          <w:sdtEndPr>
            <w:rPr>
              <w:rFonts w:hint="eastAsia" w:ascii="Times New Roman" w:hAnsi="Times New Roman"/>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sdt>
          <w:sdtPr>
            <w:rPr>
              <w:rFonts w:hint="eastAsia" w:ascii="Times New Roman" w:hAnsi="Times New Roman"/>
              <w:bCs/>
              <w:szCs w:val="21"/>
            </w:rPr>
            <w:alias w:val="担保是否逾期"/>
            <w:tag w:val="_GBC_c6b9d1f792064d3f8a852d307386846b"/>
            <w:id w:val="26091"/>
            <w:comboBox>
              <w:listItem w:displayText="是" w:value="true"/>
              <w:listItem w:displayText="否" w:value="false"/>
            </w:comboBox>
          </w:sdtPr>
          <w:sdtEndPr>
            <w:rPr>
              <w:rFonts w:hint="eastAsia" w:ascii="Times New Roman" w:hAnsi="Times New Roman"/>
              <w:bCs/>
              <w:szCs w:val="21"/>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rFonts w:ascii="Times New Roman" w:hAnsi="Times New Roman"/>
                <w:bCs/>
                <w:szCs w:val="21"/>
              </w:rPr>
            </w:pPr>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sdt>
          <w:sdtPr>
            <w:rPr>
              <w:rFonts w:hint="eastAsia" w:ascii="Times New Roman" w:hAnsi="Times New Roman"/>
              <w:bCs/>
              <w:szCs w:val="21"/>
            </w:rPr>
            <w:alias w:val="是否为关联方担保"/>
            <w:tag w:val="_GBC_44554d74636543a7b143039de86b7494"/>
            <w:id w:val="26092"/>
            <w:comboBox>
              <w:listItem w:displayText="是" w:value="true"/>
              <w:listItem w:displayText="否" w:value="false"/>
            </w:comboBox>
          </w:sdtPr>
          <w:sdtEndPr>
            <w:rPr>
              <w:rFonts w:hint="eastAsia" w:ascii="Times New Roman" w:hAnsi="Times New Roman"/>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sdt>
          <w:sdtPr>
            <w:rPr>
              <w:rFonts w:ascii="Times New Roman" w:hAnsi="Times New Roman"/>
              <w:szCs w:val="21"/>
            </w:rPr>
            <w:alias w:val="担保中关联方与本公司关系"/>
            <w:tag w:val="_GBC_e5957983376e4a2f82b346d338d10f40"/>
            <w:id w:val="26093"/>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Times New Roman" w:hAnsi="Times New Roman"/>
              <w:szCs w:val="21"/>
            </w:rPr>
          </w:sdtEndPr>
          <w:sdtContent>
            <w:tc>
              <w:tcPr>
                <w:tcW w:w="322" w:type="pct"/>
                <w:tcBorders>
                  <w:top w:val="single" w:color="auto" w:sz="4" w:space="0"/>
                  <w:left w:val="single" w:color="auto" w:sz="4" w:space="0"/>
                  <w:bottom w:val="single" w:color="auto" w:sz="4" w:space="0"/>
                </w:tcBorders>
                <w:shd w:val="clear" w:color="auto" w:fill="auto"/>
              </w:tcPr>
              <w:p>
                <w:pPr>
                  <w:autoSpaceDE w:val="0"/>
                  <w:autoSpaceDN w:val="0"/>
                  <w:adjustRightInd w:val="0"/>
                  <w:jc w:val="center"/>
                  <w:rPr>
                    <w:rFonts w:ascii="Times New Roman" w:hAnsi="Times New Roman"/>
                    <w:color w:val="FFC000"/>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6" w:type="pct"/>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sdt>
          <w:sdtPr>
            <w:rPr>
              <w:rFonts w:hint="eastAsia" w:ascii="Times New Roman" w:hAnsi="Times New Roman"/>
              <w:bCs/>
              <w:szCs w:val="21"/>
            </w:rPr>
            <w:alias w:val="担保方与上市公司的关联关系"/>
            <w:tag w:val="_GBC_2e446bc7579a4b2db650f2a8defc57b7"/>
            <w:id w:val="26094"/>
            <w:comboBox>
              <w:listItem w:displayText="公司本部" w:value="公司本部"/>
              <w:listItem w:displayText="控股子公司" w:value="控股子公司"/>
              <w:listItem w:displayText="全资子公司" w:value="全资子公司"/>
            </w:comboBox>
          </w:sdtPr>
          <w:sdtEndPr>
            <w:rPr>
              <w:rFonts w:hint="eastAsia" w:ascii="Times New Roman" w:hAnsi="Times New Roman"/>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tc>
          <w:tcPr>
            <w:tcW w:w="32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rFonts w:ascii="Times New Roman" w:hAnsi="Times New Roman"/>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tc>
          <w:tcPr>
            <w:tcW w:w="327"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sdt>
          <w:sdtPr>
            <w:rPr>
              <w:rFonts w:ascii="Times New Roman" w:hAnsi="Times New Roman"/>
              <w:szCs w:val="21"/>
            </w:rPr>
            <w:alias w:val="担保类型"/>
            <w:tag w:val="_GBC_affd72f534db4dbea735ffb69233d55c"/>
            <w:id w:val="26095"/>
            <w:comboBox>
              <w:listItem w:displayText="一般担保" w:value="一般担保"/>
              <w:listItem w:displayText="连带责任担保" w:value="连带责任担保"/>
            </w:comboBox>
          </w:sdtPr>
          <w:sdtEndPr>
            <w:rPr>
              <w:rFonts w:ascii="Times New Roman" w:hAnsi="Times New Roman"/>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tc>
          <w:tcPr>
            <w:tcW w:w="33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Times New Roman" w:hAnsi="Times New Roman"/>
                <w:bCs/>
                <w:szCs w:val="21"/>
              </w:rPr>
            </w:pPr>
          </w:p>
        </w:tc>
        <w:sdt>
          <w:sdtPr>
            <w:rPr>
              <w:rFonts w:hint="eastAsia" w:ascii="Times New Roman" w:hAnsi="Times New Roman"/>
              <w:bCs/>
              <w:szCs w:val="21"/>
            </w:rPr>
            <w:alias w:val="担保是否已经履行完毕"/>
            <w:tag w:val="_GBC_61f81248895641f4b3a03b6d7bf72a1b"/>
            <w:id w:val="26096"/>
            <w:comboBox>
              <w:listItem w:displayText="是" w:value="true"/>
              <w:listItem w:displayText="否" w:value="false"/>
            </w:comboBox>
          </w:sdtPr>
          <w:sdtEndPr>
            <w:rPr>
              <w:rFonts w:hint="eastAsia" w:ascii="Times New Roman" w:hAnsi="Times New Roman"/>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sdt>
          <w:sdtPr>
            <w:rPr>
              <w:rFonts w:hint="eastAsia" w:ascii="Times New Roman" w:hAnsi="Times New Roman"/>
              <w:bCs/>
              <w:szCs w:val="21"/>
            </w:rPr>
            <w:alias w:val="担保是否逾期"/>
            <w:tag w:val="_GBC_c6b9d1f792064d3f8a852d307386846b"/>
            <w:id w:val="26097"/>
            <w:comboBox>
              <w:listItem w:displayText="是" w:value="true"/>
              <w:listItem w:displayText="否" w:value="false"/>
            </w:comboBox>
          </w:sdtPr>
          <w:sdtEndPr>
            <w:rPr>
              <w:rFonts w:hint="eastAsia" w:ascii="Times New Roman" w:hAnsi="Times New Roman"/>
              <w:bCs/>
              <w:szCs w:val="21"/>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rFonts w:ascii="Times New Roman" w:hAnsi="Times New Roman"/>
                <w:bCs/>
                <w:szCs w:val="21"/>
              </w:rPr>
            </w:pPr>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p>
        </w:tc>
        <w:sdt>
          <w:sdtPr>
            <w:rPr>
              <w:rFonts w:hint="eastAsia" w:ascii="Times New Roman" w:hAnsi="Times New Roman"/>
              <w:bCs/>
              <w:szCs w:val="21"/>
            </w:rPr>
            <w:alias w:val="是否为关联方担保"/>
            <w:tag w:val="_GBC_44554d74636543a7b143039de86b7494"/>
            <w:id w:val="26098"/>
            <w:comboBox>
              <w:listItem w:displayText="是" w:value="true"/>
              <w:listItem w:displayText="否" w:value="false"/>
            </w:comboBox>
          </w:sdtPr>
          <w:sdtEndPr>
            <w:rPr>
              <w:rFonts w:hint="eastAsia" w:ascii="Times New Roman" w:hAnsi="Times New Roman"/>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color w:val="FFC000"/>
                    <w:szCs w:val="21"/>
                  </w:rPr>
                </w:pPr>
                <w:r>
                  <w:rPr>
                    <w:rFonts w:hint="eastAsia" w:ascii="Times New Roman" w:hAnsi="Times New Roman"/>
                  </w:rPr>
                  <w:t>　</w:t>
                </w:r>
              </w:p>
            </w:tc>
          </w:sdtContent>
        </w:sdt>
        <w:sdt>
          <w:sdtPr>
            <w:rPr>
              <w:rFonts w:ascii="Times New Roman" w:hAnsi="Times New Roman"/>
              <w:szCs w:val="21"/>
            </w:rPr>
            <w:alias w:val="担保中关联方与本公司关系"/>
            <w:tag w:val="_GBC_e5957983376e4a2f82b346d338d10f40"/>
            <w:id w:val="26099"/>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Times New Roman" w:hAnsi="Times New Roman"/>
              <w:szCs w:val="21"/>
            </w:rPr>
          </w:sdtEndPr>
          <w:sdtContent>
            <w:tc>
              <w:tcPr>
                <w:tcW w:w="322" w:type="pct"/>
                <w:tcBorders>
                  <w:top w:val="single" w:color="auto" w:sz="4" w:space="0"/>
                  <w:left w:val="single" w:color="auto" w:sz="4" w:space="0"/>
                  <w:bottom w:val="single" w:color="auto" w:sz="4" w:space="0"/>
                </w:tcBorders>
                <w:shd w:val="clear" w:color="auto" w:fill="auto"/>
              </w:tcPr>
              <w:p>
                <w:pPr>
                  <w:autoSpaceDE w:val="0"/>
                  <w:autoSpaceDN w:val="0"/>
                  <w:adjustRightInd w:val="0"/>
                  <w:jc w:val="center"/>
                  <w:rPr>
                    <w:rFonts w:ascii="Times New Roman" w:hAnsi="Times New Roman"/>
                    <w:color w:val="FFC000"/>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r>
              <w:rPr>
                <w:rFonts w:hint="eastAsia" w:ascii="Times New Roman" w:hAnsi="Times New Roman"/>
                <w:szCs w:val="21"/>
              </w:rPr>
              <w:t>报告期内担保发生额合计（不包括对子公司的担保）</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r>
              <w:rPr>
                <w:rFonts w:hint="eastAsia" w:ascii="Times New Roman" w:hAnsi="Times New Roman"/>
                <w:szCs w:val="21"/>
              </w:rPr>
              <w:t>报告期末担保余额合计（</w:t>
            </w:r>
            <w:r>
              <w:rPr>
                <w:rFonts w:ascii="Times New Roman" w:hAnsi="Times New Roman"/>
                <w:szCs w:val="21"/>
              </w:rPr>
              <w:t>A</w:t>
            </w:r>
            <w:r>
              <w:rPr>
                <w:rFonts w:hint="eastAsia" w:ascii="Times New Roman" w:hAnsi="Times New Roman"/>
                <w:szCs w:val="21"/>
              </w:rPr>
              <w:t>）（不包括对子公司的担保）</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imes New Roman" w:hAnsi="Times New Roman"/>
            </w:rPr>
            <w:tag w:val="_PLD_0209e1df4d9c45da9415f0566332a134"/>
            <w:id w:val="26100"/>
          </w:sdtPr>
          <w:sdtEndPr>
            <w:rPr>
              <w:rFonts w:ascii="Times New Roman" w:hAnsi="Times New Roman"/>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imes New Roman" w:hAnsi="Times New Roman"/>
                    <w:szCs w:val="21"/>
                  </w:rPr>
                </w:pPr>
                <w:r>
                  <w:rPr>
                    <w:rFonts w:hint="eastAsia" w:ascii="Times New Roman" w:hAnsi="Times New Roman"/>
                    <w:szCs w:val="21"/>
                  </w:rPr>
                  <w:t>公司及其子公司对子公司的担保情况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imes New Roman" w:hAnsi="Times New Roman"/>
                <w:color w:val="FF0000"/>
                <w:szCs w:val="21"/>
              </w:rPr>
            </w:pPr>
            <w:r>
              <w:rPr>
                <w:rFonts w:hint="eastAsia" w:ascii="Times New Roman" w:hAnsi="Times New Roman"/>
                <w:szCs w:val="21"/>
              </w:rPr>
              <w:t>报告期内对子公司担保发生额合计</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hint="default" w:ascii="Times New Roman" w:hAnsi="Times New Roman" w:eastAsia="宋体"/>
                <w:szCs w:val="21"/>
                <w:lang w:val="en-US" w:eastAsia="zh-CN"/>
              </w:rPr>
            </w:pPr>
            <w:r>
              <w:rPr>
                <w:rFonts w:hint="eastAsia" w:ascii="Times New Roman" w:hAnsi="Times New Roman"/>
                <w:szCs w:val="21"/>
                <w:lang w:val="en-US" w:eastAsia="zh-CN"/>
              </w:rPr>
              <w:t>2,500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imes New Roman" w:hAnsi="Times New Roman"/>
                <w:color w:val="FF0000"/>
                <w:szCs w:val="21"/>
              </w:rPr>
            </w:pPr>
            <w:r>
              <w:rPr>
                <w:rFonts w:hint="eastAsia" w:ascii="Times New Roman" w:hAnsi="Times New Roman"/>
                <w:szCs w:val="21"/>
              </w:rPr>
              <w:t>报告期末对子公司担保余额合计（</w:t>
            </w:r>
            <w:r>
              <w:rPr>
                <w:rFonts w:ascii="Times New Roman" w:hAnsi="Times New Roman"/>
                <w:szCs w:val="21"/>
              </w:rPr>
              <w:t>B</w:t>
            </w:r>
            <w:r>
              <w:rPr>
                <w:rFonts w:hint="eastAsia"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hint="default" w:ascii="Times New Roman" w:hAnsi="Times New Roman" w:eastAsia="宋体"/>
                <w:szCs w:val="21"/>
                <w:lang w:val="en-US" w:eastAsia="zh-CN"/>
              </w:rPr>
            </w:pPr>
            <w:r>
              <w:rPr>
                <w:rFonts w:hint="eastAsia" w:ascii="Times New Roman" w:hAnsi="Times New Roman"/>
                <w:szCs w:val="21"/>
                <w:lang w:val="en-US" w:eastAsia="zh-CN"/>
              </w:rPr>
              <w:t>2,400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imes New Roman" w:hAnsi="Times New Roman"/>
            </w:rPr>
            <w:tag w:val="_PLD_b5d1fceb6fbd4fadb84d698d3eb35967"/>
            <w:id w:val="26101"/>
          </w:sdtPr>
          <w:sdtEndPr>
            <w:rPr>
              <w:rFonts w:ascii="Times New Roman" w:hAnsi="Times New Roman"/>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imes New Roman" w:hAnsi="Times New Roman"/>
                    <w:szCs w:val="21"/>
                  </w:rPr>
                </w:pPr>
                <w:r>
                  <w:rPr>
                    <w:rFonts w:hint="eastAsia" w:ascii="Times New Roman" w:hAnsi="Times New Roman"/>
                    <w:szCs w:val="21"/>
                  </w:rPr>
                  <w:t>公司担保总额情况（包括对子公司的担保）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70"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imes New Roman" w:hAnsi="Times New Roman"/>
                <w:szCs w:val="21"/>
              </w:rPr>
            </w:pPr>
            <w:r>
              <w:rPr>
                <w:rFonts w:hint="eastAsia" w:ascii="Times New Roman" w:hAnsi="Times New Roman"/>
                <w:szCs w:val="21"/>
              </w:rPr>
              <w:t>担保总额（</w:t>
            </w:r>
            <w:r>
              <w:rPr>
                <w:rFonts w:ascii="Times New Roman" w:hAnsi="Times New Roman"/>
                <w:szCs w:val="21"/>
              </w:rPr>
              <w:t>A+B</w:t>
            </w:r>
            <w:r>
              <w:rPr>
                <w:rFonts w:hint="eastAsia"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hint="default" w:ascii="Times New Roman" w:hAnsi="Times New Roman" w:eastAsia="宋体"/>
                <w:szCs w:val="21"/>
                <w:lang w:val="en-US" w:eastAsia="zh-CN"/>
              </w:rPr>
            </w:pPr>
            <w:r>
              <w:rPr>
                <w:rFonts w:hint="eastAsia" w:ascii="Times New Roman" w:hAnsi="Times New Roman"/>
                <w:szCs w:val="21"/>
                <w:lang w:val="en-US" w:eastAsia="zh-CN"/>
              </w:rPr>
              <w:t>2,400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imes New Roman" w:hAnsi="Times New Roman"/>
                <w:szCs w:val="21"/>
              </w:rPr>
            </w:pPr>
            <w:r>
              <w:rPr>
                <w:rFonts w:hint="eastAsia" w:ascii="Times New Roman" w:hAnsi="Times New Roman"/>
                <w:szCs w:val="21"/>
              </w:rPr>
              <w:t>担保总额占公司净资产的比例</w:t>
            </w:r>
            <w:r>
              <w:rPr>
                <w:rFonts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hint="eastAsia" w:ascii="Times New Roman" w:hAnsi="Times New Roman" w:eastAsia="宋体"/>
                <w:szCs w:val="21"/>
                <w:lang w:eastAsia="zh-CN"/>
              </w:rPr>
            </w:pPr>
            <w:r>
              <w:rPr>
                <w:rFonts w:hint="eastAsia" w:ascii="Times New Roman" w:hAnsi="Times New Roman"/>
                <w:szCs w:val="21"/>
                <w:lang w:eastAsia="zh-CN"/>
              </w:rPr>
              <w:t>1.13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imes New Roman" w:hAnsi="Times New Roman"/>
            </w:rPr>
            <w:tag w:val="_PLD_5975855d5ef9445cb4cf0cccb044de3a"/>
            <w:id w:val="26102"/>
          </w:sdtPr>
          <w:sdtEndPr>
            <w:rPr>
              <w:rFonts w:ascii="Times New Roman" w:hAnsi="Times New Roman"/>
            </w:rPr>
          </w:sdtEndPr>
          <w:sdtContent>
            <w:tc>
              <w:tcPr>
                <w:tcW w:w="5000" w:type="pct"/>
                <w:gridSpan w:val="16"/>
                <w:tcBorders>
                  <w:top w:val="single" w:color="auto" w:sz="4" w:space="0"/>
                  <w:bottom w:val="single" w:color="auto" w:sz="4" w:space="0"/>
                </w:tcBorders>
                <w:shd w:val="clear" w:color="auto" w:fill="auto"/>
              </w:tcPr>
              <w:p>
                <w:pPr>
                  <w:pStyle w:val="15"/>
                  <w:autoSpaceDE w:val="0"/>
                  <w:autoSpaceDN w:val="0"/>
                  <w:adjustRightInd w:val="0"/>
                  <w:ind w:right="84" w:rightChars="40"/>
                  <w:rPr>
                    <w:rFonts w:ascii="Times New Roman" w:hAnsi="Times New Roman"/>
                  </w:rPr>
                </w:pPr>
                <w:r>
                  <w:rPr>
                    <w:rFonts w:hint="eastAsia" w:ascii="Times New Roman" w:hAnsi="Times New Roman"/>
                  </w:rPr>
                  <w:t>其中：</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r>
              <w:rPr>
                <w:rFonts w:hint="eastAsia" w:ascii="Times New Roman" w:hAnsi="Times New Roman"/>
                <w:szCs w:val="21"/>
              </w:rPr>
              <w:t>为股东、实际控制人及其关联方提供担保的金额（</w:t>
            </w:r>
            <w:r>
              <w:rPr>
                <w:rFonts w:ascii="Times New Roman" w:hAnsi="Times New Roman"/>
                <w:szCs w:val="21"/>
              </w:rPr>
              <w:t>C</w:t>
            </w:r>
            <w:r>
              <w:rPr>
                <w:rFonts w:hint="eastAsia"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r>
              <w:rPr>
                <w:rFonts w:hint="eastAsia" w:ascii="Times New Roman" w:hAnsi="Times New Roman"/>
                <w:szCs w:val="21"/>
              </w:rPr>
              <w:t>直接或间接为资产负债率超过</w:t>
            </w:r>
            <w:r>
              <w:rPr>
                <w:rFonts w:ascii="Times New Roman" w:hAnsi="Times New Roman"/>
                <w:szCs w:val="21"/>
              </w:rPr>
              <w:t>70</w:t>
            </w:r>
            <w:r>
              <w:rPr>
                <w:rFonts w:hint="eastAsia" w:ascii="Times New Roman" w:hAnsi="Times New Roman"/>
                <w:szCs w:val="21"/>
              </w:rPr>
              <w:t>%的被担保对象提供的债务担保金额（</w:t>
            </w:r>
            <w:r>
              <w:rPr>
                <w:rFonts w:ascii="Times New Roman" w:hAnsi="Times New Roman"/>
                <w:szCs w:val="21"/>
              </w:rPr>
              <w:t>D</w:t>
            </w:r>
            <w:r>
              <w:rPr>
                <w:rFonts w:hint="eastAsia"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r>
              <w:rPr>
                <w:rFonts w:hint="eastAsia" w:ascii="Times New Roman" w:hAnsi="Times New Roman"/>
                <w:szCs w:val="21"/>
              </w:rPr>
              <w:t>担保总额超过净资产</w:t>
            </w:r>
            <w:r>
              <w:rPr>
                <w:rFonts w:ascii="Times New Roman" w:hAnsi="Times New Roman"/>
                <w:szCs w:val="21"/>
              </w:rPr>
              <w:t>50</w:t>
            </w:r>
            <w:r>
              <w:rPr>
                <w:rFonts w:hint="eastAsia" w:ascii="Times New Roman" w:hAnsi="Times New Roman"/>
                <w:szCs w:val="21"/>
              </w:rPr>
              <w:t>%部分的金额（</w:t>
            </w:r>
            <w:r>
              <w:rPr>
                <w:rFonts w:ascii="Times New Roman" w:hAnsi="Times New Roman"/>
                <w:szCs w:val="21"/>
              </w:rPr>
              <w:t>E</w:t>
            </w:r>
            <w:r>
              <w:rPr>
                <w:rFonts w:hint="eastAsia"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Times New Roman" w:hAnsi="Times New Roman"/>
                <w:szCs w:val="21"/>
              </w:rPr>
            </w:pPr>
            <w:r>
              <w:rPr>
                <w:rFonts w:hint="eastAsia" w:ascii="Times New Roman" w:hAnsi="Times New Roman"/>
                <w:szCs w:val="21"/>
              </w:rPr>
              <w:t>上述三项担保金额合计（</w:t>
            </w:r>
            <w:r>
              <w:rPr>
                <w:rFonts w:ascii="Times New Roman" w:hAnsi="Times New Roman"/>
                <w:szCs w:val="21"/>
              </w:rPr>
              <w:t>C+D+E</w:t>
            </w:r>
            <w:r>
              <w:rPr>
                <w:rFonts w:hint="eastAsia" w:ascii="Times New Roman" w:hAnsi="Times New Roman"/>
                <w:szCs w:val="21"/>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vAlign w:val="center"/>
          </w:tcPr>
          <w:p>
            <w:pPr>
              <w:pStyle w:val="15"/>
              <w:autoSpaceDE w:val="0"/>
              <w:autoSpaceDN w:val="0"/>
              <w:adjustRightInd w:val="0"/>
              <w:rPr>
                <w:rFonts w:ascii="Times New Roman" w:hAnsi="Times New Roman"/>
              </w:rPr>
            </w:pPr>
            <w:r>
              <w:rPr>
                <w:rFonts w:hint="eastAsia" w:ascii="Times New Roman" w:hAnsi="Times New Roman"/>
              </w:rPr>
              <w:t>未到期担保可能承担连带清偿责任说明</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4"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imes New Roman" w:hAnsi="Times New Roman"/>
                <w:szCs w:val="21"/>
              </w:rPr>
            </w:pPr>
            <w:r>
              <w:rPr>
                <w:rFonts w:hint="eastAsia" w:ascii="Times New Roman" w:hAnsi="Times New Roman"/>
                <w:szCs w:val="21"/>
              </w:rPr>
              <w:t>担保情况说明</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rFonts w:ascii="Times New Roman" w:hAnsi="Times New Roman"/>
                <w:szCs w:val="21"/>
              </w:rPr>
            </w:pPr>
          </w:p>
        </w:tc>
      </w:tr>
      <w:bookmarkEnd w:id="113"/>
    </w:tbl>
    <w:p/>
    <w:p>
      <w:pPr>
        <w:rPr>
          <w:rFonts w:asciiTheme="minorEastAsia" w:hAnsiTheme="minorEastAsia" w:eastAsiaTheme="minorEastAsia"/>
          <w:szCs w:val="21"/>
        </w:rPr>
        <w:sectPr>
          <w:pgSz w:w="16838" w:h="11906" w:orient="landscape"/>
          <w:pgMar w:top="1797" w:right="1525" w:bottom="1276" w:left="1440" w:header="855" w:footer="992" w:gutter="0"/>
          <w:cols w:space="425" w:num="1"/>
          <w:docGrid w:linePitch="312" w:charSpace="0"/>
        </w:sectPr>
      </w:pPr>
    </w:p>
    <w:p>
      <w:pPr>
        <w:rPr>
          <w:rFonts w:asciiTheme="minorEastAsia" w:hAnsiTheme="minorEastAsia" w:eastAsiaTheme="minorEastAsia"/>
          <w:szCs w:val="21"/>
        </w:rPr>
      </w:pPr>
    </w:p>
    <w:p>
      <w:pPr>
        <w:pStyle w:val="4"/>
        <w:numPr>
          <w:ilvl w:val="0"/>
          <w:numId w:val="44"/>
        </w:numPr>
        <w:rPr>
          <w:szCs w:val="21"/>
        </w:rPr>
      </w:pPr>
      <w:r>
        <w:rPr>
          <w:rFonts w:hint="eastAsia"/>
          <w:szCs w:val="21"/>
        </w:rPr>
        <w:t>委托他人进行现金资产管理的情况</w:t>
      </w:r>
    </w:p>
    <w:p>
      <w:pPr>
        <w:pStyle w:val="5"/>
        <w:numPr>
          <w:ilvl w:val="0"/>
          <w:numId w:val="46"/>
        </w:numPr>
      </w:pPr>
      <w:r>
        <w:rPr>
          <w:rFonts w:hint="eastAsia"/>
        </w:rPr>
        <w:t>委托理财情况</w:t>
      </w:r>
    </w:p>
    <w:p>
      <w:pPr>
        <w:pStyle w:val="6"/>
        <w:numPr>
          <w:ilvl w:val="0"/>
          <w:numId w:val="47"/>
        </w:numPr>
        <w:ind w:left="465"/>
      </w:pPr>
      <w:r>
        <w:t>委托理财总体情况</w:t>
      </w:r>
    </w:p>
    <w:sdt>
      <w:sdtPr>
        <w:rPr>
          <w:rFonts w:hint="eastAsia"/>
        </w:rPr>
        <w:alias w:val="是否适用：委托理财总体情况[双击切换]"/>
        <w:tag w:val="_GBC_939edce711f74cc3bede852019388a3e"/>
        <w:id w:val="26103"/>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b/>
        </w:rPr>
      </w:pPr>
      <w:r>
        <w:rPr>
          <w:rFonts w:hint="eastAsia"/>
          <w:b/>
        </w:rPr>
        <w:t>其他情况</w:t>
      </w:r>
    </w:p>
    <w:sdt>
      <w:sdtPr>
        <w:rPr>
          <w:rFonts w:hint="eastAsia"/>
        </w:rPr>
        <w:alias w:val="是否适用：委托理财总体其他情况[双击切换]"/>
        <w:tag w:val="_GBC_4fb72032e5bd4642bf5eb2d83d5ca874"/>
        <w:id w:val="26104"/>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6"/>
        <w:numPr>
          <w:ilvl w:val="0"/>
          <w:numId w:val="47"/>
        </w:numPr>
        <w:ind w:left="465"/>
      </w:pPr>
      <w:r>
        <w:t>单项委托理财情况</w:t>
      </w:r>
    </w:p>
    <w:sdt>
      <w:sdtPr>
        <w:rPr>
          <w:rFonts w:hint="eastAsia"/>
        </w:rPr>
        <w:alias w:val="是否适用：单项委托理财情况[双击切换]"/>
        <w:tag w:val="_GBC_049960b74e79480d8781c2d7d6a997dc"/>
        <w:id w:val="26105"/>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rPr>
          <w:b/>
        </w:rPr>
      </w:pPr>
      <w:r>
        <w:rPr>
          <w:rFonts w:hint="eastAsia"/>
          <w:b/>
        </w:rPr>
        <w:t>其他情况</w:t>
      </w:r>
    </w:p>
    <w:sdt>
      <w:sdtPr>
        <w:rPr>
          <w:rFonts w:hint="eastAsia"/>
        </w:rPr>
        <w:alias w:val="是否适用：单项委托理财其他情况[双击切换]"/>
        <w:tag w:val="_GBC_627c77e5ab674442a3b768741f653602"/>
        <w:id w:val="26106"/>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6"/>
        <w:numPr>
          <w:ilvl w:val="0"/>
          <w:numId w:val="47"/>
        </w:numPr>
        <w:ind w:left="465"/>
      </w:pPr>
      <w:r>
        <w:t>委托理财减值准备</w:t>
      </w:r>
    </w:p>
    <w:sdt>
      <w:sdtPr>
        <w:rPr>
          <w:rFonts w:hint="eastAsia"/>
        </w:rPr>
        <w:alias w:val="是否适用：委托理财减值准备[双击切换]"/>
        <w:tag w:val="_GBC_8db4f6600a6746739610ffaaa34abeac"/>
        <w:id w:val="26107"/>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5"/>
        <w:numPr>
          <w:ilvl w:val="0"/>
          <w:numId w:val="46"/>
        </w:numPr>
      </w:pPr>
      <w:r>
        <w:t>委托贷款情况</w:t>
      </w:r>
    </w:p>
    <w:p>
      <w:pPr>
        <w:pStyle w:val="6"/>
        <w:numPr>
          <w:ilvl w:val="0"/>
          <w:numId w:val="48"/>
        </w:numPr>
        <w:ind w:left="465"/>
      </w:pPr>
      <w:r>
        <w:t>委托贷款总体情况</w:t>
      </w:r>
    </w:p>
    <w:sdt>
      <w:sdtPr>
        <w:rPr>
          <w:rFonts w:hint="eastAsia"/>
        </w:rPr>
        <w:alias w:val="是否适用：委托贷款总体情况[双击切换]"/>
        <w:tag w:val="_GBC_6f663504a9e74d5c978e23554b4b84e4"/>
        <w:id w:val="26108"/>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b/>
        </w:rPr>
      </w:pPr>
      <w:r>
        <w:rPr>
          <w:rFonts w:hint="eastAsia"/>
          <w:b/>
        </w:rPr>
        <w:t>其他情况</w:t>
      </w:r>
    </w:p>
    <w:sdt>
      <w:sdtPr>
        <w:rPr>
          <w:rFonts w:hint="eastAsia"/>
        </w:rPr>
        <w:alias w:val="是否适用：委托贷款总体其他情况[双击切换]"/>
        <w:tag w:val="_GBC_a071e3ce40374c6bb1b2f2dc2158413e"/>
        <w:id w:val="26109"/>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6"/>
        <w:numPr>
          <w:ilvl w:val="0"/>
          <w:numId w:val="48"/>
        </w:numPr>
        <w:ind w:left="465"/>
      </w:pPr>
      <w:r>
        <w:t>单项委托贷款情况</w:t>
      </w:r>
    </w:p>
    <w:sdt>
      <w:sdtPr>
        <w:rPr>
          <w:rFonts w:hint="eastAsia"/>
        </w:rPr>
        <w:alias w:val="是否适用：单项委托贷款情况[双击切换]"/>
        <w:tag w:val="_GBC_30b7c4837f704dff80c05190f23d6f3e"/>
        <w:id w:val="26110"/>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rPr>
          <w:b/>
        </w:rPr>
      </w:pPr>
      <w:r>
        <w:rPr>
          <w:rFonts w:hint="eastAsia"/>
          <w:b/>
        </w:rPr>
        <w:t>其他情况</w:t>
      </w:r>
    </w:p>
    <w:sdt>
      <w:sdtPr>
        <w:rPr>
          <w:rFonts w:hint="eastAsia"/>
        </w:rPr>
        <w:alias w:val="是否适用：单项委托贷款其他情况[双击切换]"/>
        <w:tag w:val="_GBC_7fbd63dcaf8a4899bcd830951796a261"/>
        <w:id w:val="26111"/>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6"/>
        <w:numPr>
          <w:ilvl w:val="0"/>
          <w:numId w:val="48"/>
        </w:numPr>
        <w:ind w:left="465"/>
      </w:pPr>
      <w:r>
        <w:t>委托贷款减值</w:t>
      </w:r>
      <w:r>
        <w:rPr>
          <w:rFonts w:hint="eastAsia"/>
        </w:rPr>
        <w:t>准备</w:t>
      </w:r>
    </w:p>
    <w:sdt>
      <w:sdtPr>
        <w:rPr>
          <w:rFonts w:hint="eastAsia"/>
        </w:rPr>
        <w:alias w:val="是否适用：委托贷款减值准备[双击切换]"/>
        <w:tag w:val="_GBC_72dc10eff44f4851bd80447a1199a033"/>
        <w:id w:val="26112"/>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5"/>
        <w:numPr>
          <w:ilvl w:val="0"/>
          <w:numId w:val="46"/>
        </w:numPr>
      </w:pPr>
      <w:r>
        <w:t>其他</w:t>
      </w:r>
      <w:r>
        <w:rPr>
          <w:rFonts w:hint="eastAsia"/>
        </w:rPr>
        <w:t>情况</w:t>
      </w:r>
    </w:p>
    <w:sdt>
      <w:sdtPr>
        <w:rPr>
          <w:rFonts w:hint="eastAsia"/>
        </w:rPr>
        <w:alias w:val="是否适用：委托他人进行现金资产管理的其他情况[双击切换]"/>
        <w:tag w:val="_GBC_c408f1ecbaff4ed08e4dcfbbac8e0ccd"/>
        <w:id w:val="26113"/>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
        <w:numPr>
          <w:ilvl w:val="0"/>
          <w:numId w:val="44"/>
        </w:numPr>
        <w:rPr>
          <w:szCs w:val="21"/>
        </w:rPr>
      </w:pPr>
      <w:r>
        <w:rPr>
          <w:szCs w:val="21"/>
        </w:rPr>
        <w:t>其他重大合同</w:t>
      </w:r>
    </w:p>
    <w:sdt>
      <w:sdtPr>
        <w:rPr>
          <w:rFonts w:hint="eastAsia"/>
          <w:szCs w:val="21"/>
        </w:rPr>
        <w:alias w:val="是否适用：其他重大合同[双击切换]"/>
        <w:tag w:val="_GBC_541dd80939ae4bafb641675f942c4c14"/>
        <w:id w:val="26114"/>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36"/>
        </w:numPr>
        <w:ind w:left="450" w:hanging="450"/>
        <w:rPr>
          <w:rFonts w:ascii="宋体" w:hAnsi="宋体" w:cs="宋体"/>
          <w:kern w:val="0"/>
          <w:szCs w:val="24"/>
        </w:rPr>
      </w:pPr>
      <w:bookmarkStart w:id="114" w:name="_Hlk155626801"/>
      <w:r>
        <w:rPr>
          <w:rFonts w:hint="eastAsia" w:ascii="宋体" w:hAnsi="宋体" w:cs="宋体"/>
          <w:kern w:val="0"/>
          <w:szCs w:val="24"/>
        </w:rPr>
        <w:t>募集资金使用进展说明</w:t>
      </w:r>
    </w:p>
    <w:sdt>
      <w:sdtPr>
        <w:rPr>
          <w:szCs w:val="21"/>
        </w:rPr>
        <w:alias w:val="是否适用：募集资金使用进展说明[双击切换]"/>
        <w:tag w:val="_GBC_944ecce3b64e422f9226836bcadfd4ae"/>
        <w:id w:val="26115"/>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4"/>
        <w:numPr>
          <w:ilvl w:val="0"/>
          <w:numId w:val="49"/>
        </w:numPr>
        <w:tabs>
          <w:tab w:val="left" w:pos="360"/>
        </w:tabs>
        <w:ind w:left="450" w:hanging="450"/>
        <w:rPr>
          <w:rFonts w:ascii="宋体" w:hAnsi="宋体"/>
        </w:rPr>
      </w:pPr>
      <w:bookmarkStart w:id="115" w:name="_Hlk90391863"/>
      <w:bookmarkStart w:id="116" w:name="_Hlk151129531"/>
      <w:r>
        <w:rPr>
          <w:rFonts w:hint="eastAsia" w:ascii="宋体" w:hAnsi="宋体"/>
        </w:rPr>
        <w:t>募集资金整体使用情况</w:t>
      </w:r>
    </w:p>
    <w:sdt>
      <w:sdtPr>
        <w:rPr>
          <w:szCs w:val="21"/>
        </w:rPr>
        <w:alias w:val="是否适用：募集资金整体使用情况[双击切换]"/>
        <w:tag w:val="_GBC_54f70dd9952d4124b69c44e45c47e1a2"/>
        <w:id w:val="26116"/>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bookmarkEnd w:id="115"/>
    <w:p>
      <w:pPr>
        <w:pStyle w:val="4"/>
        <w:numPr>
          <w:ilvl w:val="0"/>
          <w:numId w:val="49"/>
        </w:numPr>
        <w:tabs>
          <w:tab w:val="left" w:pos="360"/>
        </w:tabs>
        <w:ind w:left="450" w:hanging="450"/>
        <w:rPr>
          <w:rFonts w:ascii="宋体" w:hAnsi="宋体"/>
        </w:rPr>
      </w:pPr>
      <w:bookmarkStart w:id="117" w:name="_Hlk90391869"/>
      <w:r>
        <w:rPr>
          <w:rFonts w:hint="eastAsia" w:ascii="宋体" w:hAnsi="宋体"/>
        </w:rPr>
        <w:t>募投项目</w:t>
      </w:r>
      <w:r>
        <w:rPr>
          <w:rFonts w:ascii="宋体" w:hAnsi="宋体"/>
        </w:rPr>
        <w:t>明细</w:t>
      </w:r>
    </w:p>
    <w:sdt>
      <w:sdtPr>
        <w:rPr>
          <w:szCs w:val="21"/>
        </w:rPr>
        <w:alias w:val="是否适用：募投项目明细[双击切换]"/>
        <w:tag w:val="_GBC_c3fd756c3dbd453ab1ec31cd757c8887"/>
        <w:id w:val="2611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116"/>
    <w:bookmarkEnd w:id="117"/>
    <w:p/>
    <w:p>
      <w:pPr>
        <w:pStyle w:val="4"/>
        <w:numPr>
          <w:ilvl w:val="0"/>
          <w:numId w:val="49"/>
        </w:numPr>
        <w:ind w:left="450" w:hanging="450"/>
        <w:rPr>
          <w:rFonts w:ascii="宋体" w:hAnsi="宋体"/>
          <w:szCs w:val="21"/>
        </w:rPr>
      </w:pPr>
      <w:bookmarkStart w:id="118" w:name="_Hlk90391874"/>
      <w:r>
        <w:rPr>
          <w:rFonts w:hint="eastAsia" w:ascii="宋体" w:hAnsi="宋体"/>
          <w:szCs w:val="21"/>
        </w:rPr>
        <w:t>报告期</w:t>
      </w:r>
      <w:r>
        <w:rPr>
          <w:rFonts w:ascii="宋体" w:hAnsi="宋体"/>
          <w:szCs w:val="21"/>
        </w:rPr>
        <w:t>内</w:t>
      </w:r>
      <w:r>
        <w:rPr>
          <w:rFonts w:hint="eastAsia" w:ascii="宋体" w:hAnsi="宋体"/>
          <w:szCs w:val="21"/>
        </w:rPr>
        <w:t>募投变更或终止情况</w:t>
      </w:r>
    </w:p>
    <w:sdt>
      <w:sdtPr>
        <w:rPr>
          <w:szCs w:val="21"/>
        </w:rPr>
        <w:alias w:val="是否适用：报告期内募投变更情况  [双击切换]"/>
        <w:tag w:val="_GBC_a496b8dec07640a9b943b332dce23006"/>
        <w:id w:val="2611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118"/>
    <w:p>
      <w:pPr>
        <w:rPr>
          <w:szCs w:val="21"/>
        </w:rPr>
      </w:pPr>
    </w:p>
    <w:p>
      <w:pPr>
        <w:pStyle w:val="4"/>
        <w:numPr>
          <w:ilvl w:val="0"/>
          <w:numId w:val="49"/>
        </w:numPr>
        <w:ind w:left="450" w:hanging="450"/>
        <w:rPr>
          <w:rFonts w:ascii="宋体" w:hAnsi="宋体"/>
          <w:szCs w:val="21"/>
        </w:rPr>
      </w:pPr>
      <w:r>
        <w:rPr>
          <w:rFonts w:hint="eastAsia" w:ascii="宋体" w:hAnsi="宋体"/>
          <w:szCs w:val="21"/>
        </w:rPr>
        <w:t>报告期</w:t>
      </w:r>
      <w:r>
        <w:rPr>
          <w:rFonts w:ascii="宋体" w:hAnsi="宋体"/>
          <w:szCs w:val="21"/>
        </w:rPr>
        <w:t>内</w:t>
      </w:r>
      <w:r>
        <w:rPr>
          <w:rFonts w:hint="eastAsia" w:ascii="宋体" w:hAnsi="宋体"/>
          <w:szCs w:val="21"/>
        </w:rPr>
        <w:t>募集</w:t>
      </w:r>
      <w:r>
        <w:rPr>
          <w:rFonts w:ascii="宋体" w:hAnsi="宋体"/>
          <w:szCs w:val="21"/>
        </w:rPr>
        <w:t>资金使用</w:t>
      </w:r>
      <w:r>
        <w:rPr>
          <w:rFonts w:hint="eastAsia" w:ascii="宋体" w:hAnsi="宋体"/>
          <w:szCs w:val="21"/>
        </w:rPr>
        <w:t>的</w:t>
      </w:r>
      <w:r>
        <w:rPr>
          <w:rFonts w:ascii="宋体" w:hAnsi="宋体"/>
          <w:szCs w:val="21"/>
        </w:rPr>
        <w:t>其他</w:t>
      </w:r>
      <w:r>
        <w:rPr>
          <w:rFonts w:hint="eastAsia" w:ascii="宋体" w:hAnsi="宋体"/>
          <w:szCs w:val="21"/>
        </w:rPr>
        <w:t>情况</w:t>
      </w:r>
    </w:p>
    <w:p>
      <w:pPr>
        <w:pStyle w:val="5"/>
        <w:numPr>
          <w:ilvl w:val="0"/>
          <w:numId w:val="50"/>
        </w:numPr>
        <w:ind w:left="0" w:firstLine="0"/>
        <w:rPr>
          <w:b w:val="0"/>
        </w:rPr>
      </w:pPr>
      <w:bookmarkStart w:id="119" w:name="_Hlk90391881"/>
      <w:r>
        <w:rPr>
          <w:rFonts w:hint="eastAsia"/>
          <w:b w:val="0"/>
        </w:rPr>
        <w:t>募集资金投资项目先期投入及置换情况</w:t>
      </w:r>
    </w:p>
    <w:sdt>
      <w:sdtPr>
        <w:rPr>
          <w:szCs w:val="21"/>
        </w:rPr>
        <w:alias w:val="是否适用：募集资金投资项目先期投入及置换情况[双击切换]"/>
        <w:tag w:val="_GBC_1281130bef16406c9ce534a6ddfe0052"/>
        <w:id w:val="26119"/>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119"/>
    <w:p>
      <w:pPr>
        <w:pStyle w:val="5"/>
        <w:numPr>
          <w:ilvl w:val="0"/>
          <w:numId w:val="50"/>
        </w:numPr>
        <w:ind w:left="0" w:firstLine="0"/>
        <w:rPr>
          <w:b w:val="0"/>
        </w:rPr>
      </w:pPr>
      <w:bookmarkStart w:id="120" w:name="_Hlk90391885"/>
      <w:r>
        <w:rPr>
          <w:rFonts w:hint="eastAsia"/>
          <w:b w:val="0"/>
        </w:rPr>
        <w:t>用闲置募集资金暂时补充流动资金情况</w:t>
      </w:r>
    </w:p>
    <w:sdt>
      <w:sdtPr>
        <w:rPr>
          <w:szCs w:val="21"/>
        </w:rPr>
        <w:alias w:val="是否适用：用闲置募集资金暂时补充流动资金情况[双击切换]"/>
        <w:tag w:val="_GBC_54578d1cb78b470eb743e8c3b73117f2"/>
        <w:id w:val="26120"/>
        <w:placeholder>
          <w:docPart w:val="GBC22222222222222222222222222222"/>
        </w:placeholder>
      </w:sdtPr>
      <w:sdtEndPr>
        <w:rPr>
          <w:szCs w:val="21"/>
        </w:rPr>
      </w:sdtEndPr>
      <w:sdtContent>
        <w:p>
          <w:pPr>
            <w:outlineLvl w:val="9"/>
            <w:rPr>
              <w:color w:val="333399"/>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120"/>
    <w:p>
      <w:pPr>
        <w:pStyle w:val="5"/>
        <w:numPr>
          <w:ilvl w:val="0"/>
          <w:numId w:val="50"/>
        </w:numPr>
        <w:ind w:left="0" w:firstLine="0"/>
        <w:rPr>
          <w:b w:val="0"/>
        </w:rPr>
      </w:pPr>
      <w:bookmarkStart w:id="121" w:name="_Hlk90391888"/>
      <w:r>
        <w:rPr>
          <w:rFonts w:hint="eastAsia"/>
          <w:b w:val="0"/>
        </w:rPr>
        <w:t>对闲置募集资金进行现金管理，投资相关产品情况</w:t>
      </w:r>
    </w:p>
    <w:sdt>
      <w:sdtPr>
        <w:rPr>
          <w:szCs w:val="21"/>
        </w:rPr>
        <w:alias w:val="是否适用：对闲置募集资金进行现金管理，投资相关产品情况[双击切换]"/>
        <w:tag w:val="_GBC_b8d97f06939c46e89e06d43ce3c7d0fc"/>
        <w:id w:val="2612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121"/>
    <w:p>
      <w:pPr>
        <w:pStyle w:val="5"/>
        <w:numPr>
          <w:ilvl w:val="0"/>
          <w:numId w:val="50"/>
        </w:numPr>
        <w:ind w:left="0" w:firstLine="0"/>
        <w:rPr>
          <w:b w:val="0"/>
        </w:rPr>
      </w:pPr>
      <w:bookmarkStart w:id="122" w:name="_Hlk90391891"/>
      <w:r>
        <w:rPr>
          <w:rFonts w:hint="eastAsia"/>
          <w:b w:val="0"/>
        </w:rPr>
        <w:t>用超募资金永久补充流动资金或归还银行贷款情况</w:t>
      </w:r>
    </w:p>
    <w:sdt>
      <w:sdtPr>
        <w:rPr>
          <w:szCs w:val="21"/>
        </w:rPr>
        <w:alias w:val="是否适用：用超募资金永久补充流动资金或归还银行贷款情况[双击切换]"/>
        <w:tag w:val="_GBC_16ee52e7701443139fd7d52641c8e6f2"/>
        <w:id w:val="2612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122"/>
    <w:p>
      <w:pPr>
        <w:pStyle w:val="5"/>
        <w:numPr>
          <w:ilvl w:val="0"/>
          <w:numId w:val="50"/>
        </w:numPr>
        <w:ind w:left="0" w:firstLine="0"/>
        <w:rPr>
          <w:b w:val="0"/>
        </w:rPr>
      </w:pPr>
      <w:r>
        <w:rPr>
          <w:b w:val="0"/>
        </w:rPr>
        <w:t>其他</w:t>
      </w:r>
    </w:p>
    <w:sdt>
      <w:sdtPr>
        <w:alias w:val="是否适用：募集资金使用的其他情况?[双击切换]"/>
        <w:tag w:val="_GBC_2c9cee2c8dff4905b9cdb31e6e10f017"/>
        <w:id w:val="26123"/>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114"/>
    <w:p>
      <w:pPr>
        <w:pStyle w:val="3"/>
        <w:numPr>
          <w:ilvl w:val="0"/>
          <w:numId w:val="36"/>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6124"/>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92"/>
    <w:p/>
    <w:p/>
    <w:p/>
    <w:p/>
    <w:p/>
    <w:p>
      <w:pPr>
        <w:pStyle w:val="2"/>
        <w:numPr>
          <w:ilvl w:val="0"/>
          <w:numId w:val="2"/>
        </w:numPr>
        <w:rPr>
          <w:szCs w:val="28"/>
        </w:rPr>
      </w:pPr>
      <w:bookmarkStart w:id="123" w:name="_Toc437440713"/>
      <w:bookmarkStart w:id="124" w:name="_Toc89790254"/>
      <w:bookmarkStart w:id="125" w:name="_Toc409437607"/>
      <w:r>
        <w:rPr>
          <w:rFonts w:hint="eastAsia"/>
          <w:szCs w:val="28"/>
        </w:rPr>
        <w:t>股份变动及股东情况</w:t>
      </w:r>
      <w:bookmarkEnd w:id="123"/>
      <w:bookmarkEnd w:id="124"/>
      <w:bookmarkEnd w:id="125"/>
    </w:p>
    <w:p/>
    <w:p>
      <w:pPr>
        <w:pStyle w:val="3"/>
        <w:numPr>
          <w:ilvl w:val="0"/>
          <w:numId w:val="51"/>
        </w:numPr>
      </w:pPr>
      <w:bookmarkStart w:id="126" w:name="_Toc342059476"/>
      <w:bookmarkStart w:id="127" w:name="_Toc342565989"/>
      <w:r>
        <w:t>股</w:t>
      </w:r>
      <w:r>
        <w:rPr>
          <w:rFonts w:hint="eastAsia"/>
        </w:rPr>
        <w:t>本变动情况</w:t>
      </w:r>
      <w:bookmarkEnd w:id="126"/>
      <w:bookmarkEnd w:id="127"/>
    </w:p>
    <w:p>
      <w:pPr>
        <w:pStyle w:val="4"/>
        <w:numPr>
          <w:ilvl w:val="1"/>
          <w:numId w:val="52"/>
        </w:numPr>
        <w:rPr>
          <w:szCs w:val="21"/>
        </w:rPr>
      </w:pPr>
      <w:bookmarkStart w:id="128" w:name="_Toc342565990"/>
      <w:bookmarkStart w:id="129" w:name="_Toc342059477"/>
      <w:r>
        <w:rPr>
          <w:rFonts w:hint="eastAsia"/>
          <w:szCs w:val="21"/>
        </w:rPr>
        <w:t>股份变动情况表</w:t>
      </w:r>
      <w:bookmarkEnd w:id="128"/>
      <w:bookmarkEnd w:id="129"/>
    </w:p>
    <w:p>
      <w:pPr>
        <w:pStyle w:val="5"/>
        <w:numPr>
          <w:ilvl w:val="2"/>
          <w:numId w:val="53"/>
        </w:numPr>
      </w:pPr>
      <w:r>
        <w:rPr>
          <w:rFonts w:hint="eastAsia"/>
        </w:rPr>
        <w:t>股份变动情况表</w:t>
      </w:r>
    </w:p>
    <w:p>
      <w:pPr>
        <w:rPr>
          <w:szCs w:val="21"/>
        </w:rPr>
      </w:pPr>
      <w:r>
        <w:rPr>
          <w:rFonts w:hint="eastAsia"/>
          <w:szCs w:val="21"/>
        </w:rPr>
        <w:t>报告期内，</w:t>
      </w:r>
      <w:sdt>
        <w:sdtPr>
          <w:rPr>
            <w:rFonts w:hint="eastAsia"/>
            <w:szCs w:val="21"/>
          </w:rPr>
          <w:tag w:val="_PLD_303fb4c9f7d142ca90d4294a294b610e"/>
          <w:id w:val="26125"/>
          <w:placeholder>
            <w:docPart w:val="GBC22222222222222222222222222222"/>
          </w:placeholder>
        </w:sdtPr>
        <w:sdtEndPr>
          <w:rPr>
            <w:rFonts w:hint="eastAsia"/>
            <w:szCs w:val="21"/>
          </w:rPr>
        </w:sdtEndPr>
        <w:sdtContent>
          <w:r>
            <w:rPr>
              <w:rFonts w:hint="eastAsia"/>
              <w:szCs w:val="21"/>
            </w:rPr>
            <w:t>公司股份总数及股本结构未发生变化。</w:t>
          </w:r>
        </w:sdtContent>
      </w:sdt>
    </w:p>
    <w:p>
      <w:pPr>
        <w:rPr>
          <w:szCs w:val="21"/>
        </w:rPr>
      </w:pPr>
    </w:p>
    <w:p>
      <w:pPr>
        <w:pStyle w:val="5"/>
        <w:numPr>
          <w:ilvl w:val="2"/>
          <w:numId w:val="53"/>
        </w:numPr>
      </w:pPr>
      <w:r>
        <w:t>股份变动情况说明</w:t>
      </w:r>
    </w:p>
    <w:sdt>
      <w:sdtPr>
        <w:rPr>
          <w:rFonts w:hint="eastAsia"/>
          <w:szCs w:val="21"/>
        </w:rPr>
        <w:alias w:val="是否适用：普通股股份变动情况说明[双击切换]"/>
        <w:tag w:val="_GBC_b52413c1d37b456ba72aa8b8840cb9d8"/>
        <w:id w:val="26126"/>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5"/>
        <w:numPr>
          <w:ilvl w:val="2"/>
          <w:numId w:val="5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6127"/>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5"/>
        <w:numPr>
          <w:ilvl w:val="2"/>
          <w:numId w:val="5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6128"/>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4"/>
        <w:numPr>
          <w:ilvl w:val="1"/>
          <w:numId w:val="52"/>
        </w:numPr>
        <w:rPr>
          <w:szCs w:val="21"/>
        </w:rPr>
      </w:pPr>
      <w:r>
        <w:rPr>
          <w:szCs w:val="21"/>
        </w:rPr>
        <w:t>限售股份变动情况</w:t>
      </w:r>
    </w:p>
    <w:sdt>
      <w:sdtPr>
        <w:alias w:val="是否适用：限售股份变动情况表[双击切换]"/>
        <w:tag w:val="_GBC_c7cc39830d364bf68db1ac8777908a9e"/>
        <w:id w:val="2612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3"/>
        <w:numPr>
          <w:ilvl w:val="0"/>
          <w:numId w:val="51"/>
        </w:numPr>
      </w:pPr>
      <w:r>
        <w:t>证券发行与上市情况</w:t>
      </w:r>
    </w:p>
    <w:p>
      <w:pPr>
        <w:pStyle w:val="4"/>
        <w:numPr>
          <w:ilvl w:val="0"/>
          <w:numId w:val="54"/>
        </w:numPr>
      </w:pPr>
      <w:bookmarkStart w:id="130" w:name="_Hlk89954403"/>
      <w:r>
        <w:t>截至</w:t>
      </w:r>
      <w:r>
        <w:rPr>
          <w:rFonts w:hint="eastAsia"/>
        </w:rPr>
        <w:t>报告期内</w:t>
      </w:r>
      <w:r>
        <w:t>证券发行情况</w:t>
      </w:r>
    </w:p>
    <w:sdt>
      <w:sdtPr>
        <w:alias w:val="是否适用：截至报告期内证券发行情况[双击切换]"/>
        <w:tag w:val="_GBC_a9b53137ff4442baa307fbc68ebc8cbc"/>
        <w:id w:val="2613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szCs w:val="21"/>
        </w:rPr>
        <w:t>截至</w:t>
      </w:r>
      <w:r>
        <w:rPr>
          <w:rFonts w:hint="eastAsia"/>
          <w:szCs w:val="21"/>
        </w:rPr>
        <w:t>报告期内</w:t>
      </w:r>
      <w:r>
        <w:rPr>
          <w:szCs w:val="21"/>
        </w:rPr>
        <w:t>证</w:t>
      </w:r>
      <w:r>
        <w:rPr>
          <w:szCs w:val="21"/>
          <w:highlight w:val="none"/>
        </w:rPr>
        <w:t>券发行情况的说明（存</w:t>
      </w:r>
      <w:r>
        <w:rPr>
          <w:szCs w:val="21"/>
        </w:rPr>
        <w:t>续期内利率不同的债券，请分别说明）：</w:t>
      </w:r>
    </w:p>
    <w:sdt>
      <w:sdtPr>
        <w:rPr>
          <w:rFonts w:hint="eastAsia"/>
          <w:szCs w:val="21"/>
        </w:rPr>
        <w:alias w:val="是否适用：截至报告期内证券发行情况的说明[双击切换]"/>
        <w:tag w:val="_GBC_41eee01683bd43189dc24a776753e295"/>
        <w:id w:val="26131"/>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130"/>
    <w:p>
      <w:pPr>
        <w:rPr>
          <w:szCs w:val="21"/>
        </w:rPr>
      </w:pPr>
    </w:p>
    <w:p>
      <w:pPr>
        <w:pStyle w:val="4"/>
        <w:numPr>
          <w:ilvl w:val="0"/>
          <w:numId w:val="54"/>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26132"/>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54"/>
        </w:numPr>
        <w:rPr>
          <w:szCs w:val="21"/>
        </w:rPr>
      </w:pPr>
      <w:r>
        <w:rPr>
          <w:rFonts w:hint="eastAsia"/>
          <w:szCs w:val="21"/>
        </w:rPr>
        <w:t>现存的内部职工股情况</w:t>
      </w:r>
    </w:p>
    <w:sdt>
      <w:sdtPr>
        <w:alias w:val="是否适用：现存的内部职工股情况[双击切换]"/>
        <w:tag w:val="_GBC_fa5e90226e14408b891f1c5a9dbbf2c5"/>
        <w:id w:val="2613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3"/>
        <w:numPr>
          <w:ilvl w:val="0"/>
          <w:numId w:val="51"/>
        </w:numPr>
      </w:pPr>
      <w:r>
        <w:t>股东</w:t>
      </w:r>
      <w:r>
        <w:rPr>
          <w:rFonts w:hint="eastAsia"/>
        </w:rPr>
        <w:t>和实际控制人</w:t>
      </w:r>
      <w:r>
        <w:t>情况</w:t>
      </w:r>
    </w:p>
    <w:p>
      <w:pPr>
        <w:pStyle w:val="4"/>
        <w:numPr>
          <w:ilvl w:val="1"/>
          <w:numId w:val="55"/>
        </w:numPr>
        <w:tabs>
          <w:tab w:val="left" w:pos="851"/>
        </w:tabs>
        <w:ind w:left="426" w:hanging="426"/>
        <w:rPr>
          <w:szCs w:val="21"/>
        </w:rPr>
      </w:pPr>
      <w:r>
        <w:rPr>
          <w:rFonts w:hint="eastAsia"/>
          <w:szCs w:val="21"/>
        </w:rPr>
        <w:t>股东总数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4"/>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34738880649c43ac9597effd663adc10"/>
            <w:id w:val="26134"/>
          </w:sdtPr>
          <w:sdtEndPr>
            <w:rPr>
              <w:rFonts w:hint="default" w:ascii="Times New Roman" w:hAnsi="Times New Roman" w:cs="Times New Roman"/>
            </w:rPr>
          </w:sdtEndPr>
          <w:sdtContent>
            <w:tc>
              <w:tcPr>
                <w:tcW w:w="634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截至报告期末普通股股东总数(户)</w:t>
                </w:r>
              </w:p>
            </w:tc>
          </w:sdtContent>
        </w:sdt>
        <w:tc>
          <w:tcPr>
            <w:tcW w:w="2704" w:type="dxa"/>
            <w:vAlign w:val="center"/>
          </w:tcPr>
          <w:p>
            <w:pPr>
              <w:widowControl w:val="0"/>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45,651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highlight w:val="none"/>
              </w:rPr>
              <w:t>年度报告披露日前上一月末的普通股股东总数(户)</w:t>
            </w:r>
          </w:p>
        </w:tc>
        <w:tc>
          <w:tcPr>
            <w:tcW w:w="2704" w:type="dxa"/>
            <w:vAlign w:val="center"/>
          </w:tcPr>
          <w:p>
            <w:pPr>
              <w:widowControl w:val="0"/>
              <w:jc w:val="right"/>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44,799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截至报告期末表决权恢复的优先股股东总数（户）</w:t>
            </w:r>
          </w:p>
        </w:tc>
        <w:tc>
          <w:tcPr>
            <w:tcW w:w="2704" w:type="dxa"/>
            <w:vAlign w:val="center"/>
          </w:tcPr>
          <w:p>
            <w:pPr>
              <w:widowControl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4" w:type="dxa"/>
            <w:vAlign w:val="center"/>
          </w:tcPr>
          <w:p>
            <w:pPr>
              <w:widowControl w:val="0"/>
              <w:jc w:val="center"/>
              <w:rPr>
                <w:rFonts w:hint="default" w:ascii="Times New Roman" w:hAnsi="Times New Roman" w:cs="Times New Roman"/>
                <w:szCs w:val="21"/>
              </w:rPr>
            </w:pPr>
            <w:r>
              <w:rPr>
                <w:rFonts w:hint="default" w:ascii="Times New Roman" w:hAnsi="Times New Roman" w:cs="Times New Roman"/>
                <w:szCs w:val="21"/>
              </w:rPr>
              <w:t>年度报告披露日前上一月末表决权恢复的优先股股东总数（户）</w:t>
            </w:r>
          </w:p>
        </w:tc>
        <w:tc>
          <w:tcPr>
            <w:tcW w:w="2704" w:type="dxa"/>
            <w:vAlign w:val="center"/>
          </w:tcPr>
          <w:p>
            <w:pPr>
              <w:widowControl w:val="0"/>
              <w:jc w:val="righ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r>
    </w:tbl>
    <w:p>
      <w:pPr>
        <w:rPr>
          <w:szCs w:val="21"/>
        </w:rPr>
      </w:pPr>
    </w:p>
    <w:tbl>
      <w:tblPr>
        <w:tblStyle w:val="37"/>
        <w:tblpPr w:leftFromText="180" w:rightFromText="180" w:vertAnchor="text" w:horzAnchor="page" w:tblpX="1372" w:tblpY="340"/>
        <w:tblOverlap w:val="never"/>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78" w:type="dxa"/>
            <w:shd w:val="clear" w:color="auto" w:fill="auto"/>
            <w:vAlign w:val="center"/>
          </w:tcPr>
          <w:p>
            <w:pPr>
              <w:pStyle w:val="4"/>
              <w:numPr>
                <w:ilvl w:val="1"/>
                <w:numId w:val="55"/>
              </w:numPr>
              <w:ind w:left="426" w:hanging="426"/>
            </w:pPr>
            <w:bookmarkStart w:id="131" w:name="_Toc342565998"/>
            <w:bookmarkStart w:id="132" w:name="_Toc342059485"/>
            <w:r>
              <w:rPr>
                <w:rFonts w:hint="eastAsia"/>
                <w:szCs w:val="21"/>
              </w:rPr>
              <w:t>截至报告期末前十名股东、前十名流通股东（或无限售条件股东）持股情况表</w:t>
            </w:r>
          </w:p>
          <w:p>
            <w:pPr>
              <w:ind w:firstLine="3990" w:firstLineChars="1900"/>
              <w:jc w:val="right"/>
              <w:rPr>
                <w:szCs w:val="21"/>
              </w:rPr>
            </w:pPr>
            <w:r>
              <w:rPr>
                <w:bCs/>
                <w:szCs w:val="21"/>
              </w:rPr>
              <w:t>单位:</w:t>
            </w:r>
            <w:sdt>
              <w:sdtPr>
                <w:rPr>
                  <w:bCs/>
                  <w:szCs w:val="21"/>
                </w:rPr>
                <w:alias w:val="单位：前十名股东持股情况"/>
                <w:tag w:val="_GBC_b59e95c09d914c83b42ae5b68d0d6987"/>
                <w:id w:val="-915018787"/>
                <w:placeholder>
                  <w:docPart w:val="GBC33333333333333333333333333333"/>
                </w:placeholder>
                <w:comboBox>
                  <w:listItem w:displayText="股" w:value="1"/>
                  <w:listItem w:displayText="千股" w:value="1000"/>
                  <w:listItem w:displayText="万股" w:value="10000"/>
                  <w:listItem w:displayText="百万股" w:value="1000000"/>
                  <w:listItem w:displayText="亿股" w:value="100000000"/>
                </w:comboBox>
              </w:sdtPr>
              <w:sdtEndPr>
                <w:rPr>
                  <w:bCs/>
                  <w:szCs w:val="21"/>
                </w:rPr>
              </w:sdtEndPr>
              <w:sdtContent>
                <w:r>
                  <w:rPr>
                    <w:bCs/>
                    <w:szCs w:val="21"/>
                  </w:rPr>
                  <w:t>股</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132"/>
              <w:gridCol w:w="1377"/>
              <w:gridCol w:w="791"/>
              <w:gridCol w:w="859"/>
              <w:gridCol w:w="1037"/>
              <w:gridCol w:w="466"/>
              <w:gridCol w:w="11"/>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12180439b5ff4b00a01ff1f87b70f1de"/>
                  <w:id w:val="846446123"/>
                </w:sdtPr>
                <w:sdtEndPr>
                  <w:rPr>
                    <w:rFonts w:ascii="宋体" w:hAnsi="宋体"/>
                  </w:rPr>
                </w:sdtEndPr>
                <w:sdtContent>
                  <w:tc>
                    <w:tcPr>
                      <w:tcW w:w="0" w:type="auto"/>
                      <w:gridSpan w:val="9"/>
                      <w:shd w:val="clear" w:color="auto" w:fill="auto"/>
                      <w:vAlign w:val="center"/>
                    </w:tcPr>
                    <w:p>
                      <w:pPr>
                        <w:pStyle w:val="15"/>
                        <w:jc w:val="center"/>
                        <w:rPr>
                          <w:rFonts w:ascii="宋体" w:hAnsi="宋体"/>
                        </w:rPr>
                      </w:pPr>
                      <w:r>
                        <w:rPr>
                          <w:rFonts w:ascii="宋体" w:hAnsi="宋体"/>
                        </w:rPr>
                        <w:t>前十名股东持股情况</w:t>
                      </w:r>
                      <w:r>
                        <w:rPr>
                          <w:rFonts w:hint="eastAsia" w:ascii="宋体" w:hAnsi="宋体"/>
                        </w:rPr>
                        <w:t>（不含通过转融通出借股份）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4e40ad86e5ee4c0cb28f819aa3924fb2"/>
                  <w:id w:val="-841007058"/>
                </w:sdtPr>
                <w:sdtContent>
                  <w:tc>
                    <w:tcPr>
                      <w:tcW w:w="1836" w:type="dxa"/>
                      <w:vMerge w:val="restart"/>
                      <w:shd w:val="clear" w:color="auto" w:fill="auto"/>
                      <w:vAlign w:val="center"/>
                    </w:tcPr>
                    <w:p>
                      <w:pPr>
                        <w:jc w:val="center"/>
                        <w:rPr>
                          <w:szCs w:val="21"/>
                        </w:rPr>
                      </w:pPr>
                      <w:r>
                        <w:rPr>
                          <w:szCs w:val="21"/>
                        </w:rPr>
                        <w:t>股东名称</w:t>
                      </w:r>
                    </w:p>
                    <w:p>
                      <w:pPr>
                        <w:jc w:val="center"/>
                        <w:rPr>
                          <w:szCs w:val="21"/>
                        </w:rPr>
                      </w:pPr>
                      <w:r>
                        <w:rPr>
                          <w:rFonts w:hint="eastAsia"/>
                          <w:szCs w:val="21"/>
                        </w:rPr>
                        <w:t>（全称）</w:t>
                      </w:r>
                    </w:p>
                  </w:tc>
                </w:sdtContent>
              </w:sdt>
              <w:sdt>
                <w:sdtPr>
                  <w:tag w:val="_PLD_587b672a54ed4481b14f0963f010aefb"/>
                  <w:id w:val="2052337961"/>
                </w:sdtPr>
                <w:sdtContent>
                  <w:tc>
                    <w:tcPr>
                      <w:tcW w:w="1132" w:type="dxa"/>
                      <w:vMerge w:val="restart"/>
                      <w:shd w:val="clear" w:color="auto" w:fill="auto"/>
                      <w:vAlign w:val="center"/>
                    </w:tcPr>
                    <w:p>
                      <w:pPr>
                        <w:jc w:val="center"/>
                        <w:rPr>
                          <w:szCs w:val="21"/>
                        </w:rPr>
                      </w:pPr>
                      <w:r>
                        <w:rPr>
                          <w:szCs w:val="21"/>
                        </w:rPr>
                        <w:t>报告期内增减</w:t>
                      </w:r>
                    </w:p>
                  </w:tc>
                </w:sdtContent>
              </w:sdt>
              <w:sdt>
                <w:sdtPr>
                  <w:tag w:val="_PLD_580f25e9dfa24c1d91f3845b6a6a42e5"/>
                  <w:id w:val="1193110991"/>
                </w:sdtPr>
                <w:sdtContent>
                  <w:tc>
                    <w:tcPr>
                      <w:tcW w:w="1377" w:type="dxa"/>
                      <w:vMerge w:val="restart"/>
                      <w:shd w:val="clear" w:color="auto" w:fill="auto"/>
                      <w:vAlign w:val="center"/>
                    </w:tcPr>
                    <w:p>
                      <w:pPr>
                        <w:jc w:val="center"/>
                        <w:rPr>
                          <w:szCs w:val="21"/>
                        </w:rPr>
                      </w:pPr>
                      <w:r>
                        <w:rPr>
                          <w:szCs w:val="21"/>
                        </w:rPr>
                        <w:t>期末持股数量</w:t>
                      </w:r>
                    </w:p>
                  </w:tc>
                </w:sdtContent>
              </w:sdt>
              <w:sdt>
                <w:sdtPr>
                  <w:tag w:val="_PLD_e80658c5388c4bb0871489372e62334d"/>
                  <w:id w:val="96686492"/>
                </w:sdtPr>
                <w:sdtContent>
                  <w:tc>
                    <w:tcPr>
                      <w:tcW w:w="791" w:type="dxa"/>
                      <w:vMerge w:val="restart"/>
                      <w:shd w:val="clear" w:color="auto" w:fill="auto"/>
                      <w:vAlign w:val="center"/>
                    </w:tcPr>
                    <w:p>
                      <w:pPr>
                        <w:jc w:val="center"/>
                        <w:rPr>
                          <w:szCs w:val="21"/>
                        </w:rPr>
                      </w:pPr>
                      <w:r>
                        <w:rPr>
                          <w:szCs w:val="21"/>
                        </w:rPr>
                        <w:t>比例(%)</w:t>
                      </w:r>
                    </w:p>
                  </w:tc>
                </w:sdtContent>
              </w:sdt>
              <w:sdt>
                <w:sdtPr>
                  <w:rPr>
                    <w:rFonts w:ascii="宋体" w:hAnsi="宋体"/>
                  </w:rPr>
                  <w:tag w:val="_PLD_0ed52eb839784cb0ab83b1692dc8b283"/>
                  <w:id w:val="467557269"/>
                </w:sdtPr>
                <w:sdtEndPr>
                  <w:rPr>
                    <w:rFonts w:ascii="宋体" w:hAnsi="宋体"/>
                  </w:rPr>
                </w:sdtEndPr>
                <w:sdtContent>
                  <w:tc>
                    <w:tcPr>
                      <w:tcW w:w="859" w:type="dxa"/>
                      <w:vMerge w:val="restart"/>
                      <w:shd w:val="clear" w:color="auto" w:fill="auto"/>
                      <w:vAlign w:val="center"/>
                    </w:tcPr>
                    <w:p>
                      <w:pPr>
                        <w:pStyle w:val="10"/>
                        <w:rPr>
                          <w:rFonts w:ascii="宋体" w:hAnsi="宋体"/>
                          <w:bCs/>
                          <w:color w:val="00B050"/>
                        </w:rPr>
                      </w:pPr>
                      <w:r>
                        <w:rPr>
                          <w:rFonts w:ascii="宋体" w:hAnsi="宋体"/>
                          <w:bCs/>
                        </w:rPr>
                        <w:t>持有有限售条件股份数量</w:t>
                      </w:r>
                    </w:p>
                  </w:tc>
                </w:sdtContent>
              </w:sdt>
              <w:sdt>
                <w:sdtPr>
                  <w:tag w:val="_PLD_6d0fce9e7c914a578f4702348340f346"/>
                  <w:id w:val="-1135949785"/>
                </w:sdtPr>
                <w:sdtContent>
                  <w:tc>
                    <w:tcPr>
                      <w:tcW w:w="1514" w:type="dxa"/>
                      <w:gridSpan w:val="3"/>
                      <w:shd w:val="clear" w:color="auto" w:fill="auto"/>
                      <w:vAlign w:val="center"/>
                    </w:tcPr>
                    <w:p>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403290804"/>
                </w:sdtPr>
                <w:sdtContent>
                  <w:tc>
                    <w:tcPr>
                      <w:tcW w:w="1314" w:type="dxa"/>
                      <w:vMerge w:val="restart"/>
                      <w:shd w:val="clear" w:color="auto" w:fill="auto"/>
                      <w:vAlign w:val="center"/>
                    </w:tcPr>
                    <w:p>
                      <w:pPr>
                        <w:jc w:val="center"/>
                        <w:rPr>
                          <w:szCs w:val="21"/>
                        </w:rPr>
                      </w:pPr>
                      <w:r>
                        <w:rPr>
                          <w:szCs w:val="21"/>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vMerge w:val="continue"/>
                  <w:tcBorders>
                    <w:bottom w:val="single" w:color="auto" w:sz="4" w:space="0"/>
                  </w:tcBorders>
                  <w:shd w:val="clear" w:color="auto" w:fill="auto"/>
                  <w:vAlign w:val="center"/>
                </w:tcPr>
                <w:p>
                  <w:pPr>
                    <w:jc w:val="center"/>
                    <w:rPr>
                      <w:szCs w:val="21"/>
                    </w:rPr>
                  </w:pPr>
                </w:p>
              </w:tc>
              <w:tc>
                <w:tcPr>
                  <w:tcW w:w="1132" w:type="dxa"/>
                  <w:vMerge w:val="continue"/>
                  <w:tcBorders>
                    <w:bottom w:val="single" w:color="auto" w:sz="4" w:space="0"/>
                  </w:tcBorders>
                  <w:shd w:val="clear" w:color="auto" w:fill="auto"/>
                  <w:vAlign w:val="center"/>
                </w:tcPr>
                <w:p>
                  <w:pPr>
                    <w:jc w:val="center"/>
                    <w:rPr>
                      <w:szCs w:val="21"/>
                    </w:rPr>
                  </w:pPr>
                </w:p>
              </w:tc>
              <w:tc>
                <w:tcPr>
                  <w:tcW w:w="1377" w:type="dxa"/>
                  <w:vMerge w:val="continue"/>
                  <w:tcBorders>
                    <w:bottom w:val="single" w:color="auto" w:sz="4" w:space="0"/>
                  </w:tcBorders>
                  <w:shd w:val="clear" w:color="auto" w:fill="auto"/>
                  <w:vAlign w:val="center"/>
                </w:tcPr>
                <w:p>
                  <w:pPr>
                    <w:jc w:val="center"/>
                    <w:rPr>
                      <w:szCs w:val="21"/>
                    </w:rPr>
                  </w:pPr>
                </w:p>
              </w:tc>
              <w:tc>
                <w:tcPr>
                  <w:tcW w:w="791" w:type="dxa"/>
                  <w:vMerge w:val="continue"/>
                  <w:tcBorders>
                    <w:bottom w:val="single" w:color="auto" w:sz="4" w:space="0"/>
                  </w:tcBorders>
                  <w:shd w:val="clear" w:color="auto" w:fill="auto"/>
                  <w:vAlign w:val="center"/>
                </w:tcPr>
                <w:p>
                  <w:pPr>
                    <w:jc w:val="center"/>
                    <w:rPr>
                      <w:szCs w:val="21"/>
                    </w:rPr>
                  </w:pPr>
                </w:p>
              </w:tc>
              <w:tc>
                <w:tcPr>
                  <w:tcW w:w="859" w:type="dxa"/>
                  <w:vMerge w:val="continue"/>
                  <w:tcBorders>
                    <w:bottom w:val="single" w:color="auto" w:sz="4" w:space="0"/>
                  </w:tcBorders>
                  <w:shd w:val="clear" w:color="auto" w:fill="auto"/>
                  <w:vAlign w:val="center"/>
                </w:tcPr>
                <w:p>
                  <w:pPr>
                    <w:jc w:val="center"/>
                    <w:rPr>
                      <w:szCs w:val="21"/>
                    </w:rPr>
                  </w:pPr>
                </w:p>
              </w:tc>
              <w:sdt>
                <w:sdtPr>
                  <w:tag w:val="_PLD_72b090b1925c46349c7beb3ca6c0032f"/>
                  <w:id w:val="-689143455"/>
                </w:sdtPr>
                <w:sdtContent>
                  <w:tc>
                    <w:tcPr>
                      <w:tcW w:w="1037" w:type="dxa"/>
                      <w:tcBorders>
                        <w:bottom w:val="single" w:color="auto" w:sz="4" w:space="0"/>
                      </w:tcBorders>
                      <w:shd w:val="clear" w:color="auto" w:fill="auto"/>
                      <w:vAlign w:val="center"/>
                    </w:tcPr>
                    <w:p>
                      <w:pPr>
                        <w:jc w:val="center"/>
                        <w:rPr>
                          <w:szCs w:val="21"/>
                        </w:rPr>
                      </w:pPr>
                      <w:r>
                        <w:rPr>
                          <w:szCs w:val="21"/>
                        </w:rPr>
                        <w:t>股份状态</w:t>
                      </w:r>
                    </w:p>
                  </w:tc>
                </w:sdtContent>
              </w:sdt>
              <w:sdt>
                <w:sdtPr>
                  <w:tag w:val="_PLD_76e0ca0392384ff795b7613d764041da"/>
                  <w:id w:val="-853648442"/>
                </w:sdtPr>
                <w:sdtContent>
                  <w:tc>
                    <w:tcPr>
                      <w:tcW w:w="477" w:type="dxa"/>
                      <w:gridSpan w:val="2"/>
                      <w:tcBorders>
                        <w:bottom w:val="single" w:color="auto" w:sz="4" w:space="0"/>
                      </w:tcBorders>
                      <w:shd w:val="clear" w:color="auto" w:fill="auto"/>
                      <w:vAlign w:val="center"/>
                    </w:tcPr>
                    <w:p>
                      <w:pPr>
                        <w:jc w:val="center"/>
                        <w:rPr>
                          <w:szCs w:val="21"/>
                        </w:rPr>
                      </w:pPr>
                      <w:r>
                        <w:rPr>
                          <w:szCs w:val="21"/>
                        </w:rPr>
                        <w:t>数量</w:t>
                      </w:r>
                    </w:p>
                  </w:tc>
                </w:sdtContent>
              </w:sdt>
              <w:tc>
                <w:tcPr>
                  <w:tcW w:w="1314" w:type="dxa"/>
                  <w:vMerge w:val="continue"/>
                  <w:shd w:val="clear" w:color="auto" w:fill="auto"/>
                  <w:vAlign w:val="center"/>
                </w:tcPr>
                <w:p>
                  <w:pPr>
                    <w:jc w:val="center"/>
                    <w:rPr>
                      <w:szCs w:val="21"/>
                    </w:rPr>
                  </w:pPr>
                </w:p>
              </w:tc>
            </w:tr>
            <w:sdt>
              <w:sdtPr>
                <w:rPr>
                  <w:szCs w:val="21"/>
                </w:rPr>
                <w:alias w:val="前十名股东持股情况"/>
                <w:tag w:val="_TUP_dfb07f5d24d04bbbad485e33c5e2bd12"/>
                <w:id w:val="18561682"/>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广西柳州市产业投资发展集团有限公司</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183,360,652</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33.34</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18561679"/>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18561681"/>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国有法人</w:t>
                          </w:r>
                        </w:p>
                      </w:tc>
                    </w:sdtContent>
                  </w:sdt>
                </w:tr>
              </w:sdtContent>
            </w:sdt>
            <w:sdt>
              <w:sdtPr>
                <w:rPr>
                  <w:szCs w:val="21"/>
                </w:rPr>
                <w:alias w:val="前十名股东持股情况"/>
                <w:tag w:val="_TUP_dfb07f5d24d04bbbad485e33c5e2bd12"/>
                <w:id w:val="5746"/>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柳州市经发投资有限责任公司</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32,959,167</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5.99</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47"/>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48"/>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国有法人</w:t>
                          </w:r>
                        </w:p>
                      </w:tc>
                    </w:sdtContent>
                  </w:sdt>
                </w:tr>
              </w:sdtContent>
            </w:sdt>
            <w:sdt>
              <w:sdtPr>
                <w:rPr>
                  <w:szCs w:val="21"/>
                </w:rPr>
                <w:alias w:val="前十名股东持股情况"/>
                <w:tag w:val="_TUP_dfb07f5d24d04bbbad485e33c5e2bd12"/>
                <w:id w:val="5749"/>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施梁</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22,000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4,702,000</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0.85</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50"/>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51"/>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境内自然人</w:t>
                          </w:r>
                        </w:p>
                      </w:tc>
                    </w:sdtContent>
                  </w:sdt>
                </w:tr>
              </w:sdtContent>
            </w:sdt>
            <w:sdt>
              <w:sdtPr>
                <w:rPr>
                  <w:szCs w:val="21"/>
                </w:rPr>
                <w:alias w:val="前十名股东持股情况"/>
                <w:tag w:val="_TUP_dfb07f5d24d04bbbad485e33c5e2bd12"/>
                <w:id w:val="5752"/>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建信理财有限责任公司－建信理财“诚鑫”多元配置混合类最低持有2年开放式产品</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4,540,000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4,540,000</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0.83</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53"/>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54"/>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其他</w:t>
                          </w:r>
                        </w:p>
                      </w:tc>
                    </w:sdtContent>
                  </w:sdt>
                </w:tr>
              </w:sdtContent>
            </w:sdt>
            <w:sdt>
              <w:sdtPr>
                <w:rPr>
                  <w:szCs w:val="21"/>
                </w:rPr>
                <w:alias w:val="前十名股东持股情况"/>
                <w:tag w:val="_TUP_dfb07f5d24d04bbbad485e33c5e2bd12"/>
                <w:id w:val="5755"/>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柳州市元宏投资发展有限公司</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3,013,937</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0.55</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56"/>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57"/>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国有法人</w:t>
                          </w:r>
                        </w:p>
                      </w:tc>
                    </w:sdtContent>
                  </w:sdt>
                </w:tr>
              </w:sdtContent>
            </w:sdt>
            <w:sdt>
              <w:sdtPr>
                <w:rPr>
                  <w:szCs w:val="21"/>
                </w:rPr>
                <w:alias w:val="前十名股东持股情况"/>
                <w:tag w:val="_TUP_dfb07f5d24d04bbbad485e33c5e2bd12"/>
                <w:id w:val="5758"/>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阮云</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2,104,100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2,104,100</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0.38</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59"/>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60"/>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境内自然人</w:t>
                          </w:r>
                        </w:p>
                      </w:tc>
                    </w:sdtContent>
                  </w:sdt>
                </w:tr>
              </w:sdtContent>
            </w:sdt>
            <w:sdt>
              <w:sdtPr>
                <w:rPr>
                  <w:szCs w:val="21"/>
                </w:rPr>
                <w:alias w:val="前十名股东持股情况"/>
                <w:tag w:val="_TUP_dfb07f5d24d04bbbad485e33c5e2bd12"/>
                <w:id w:val="5761"/>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李毅</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-1,265,000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2,000,000</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0.36</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62"/>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63"/>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境内自然人</w:t>
                          </w:r>
                        </w:p>
                      </w:tc>
                    </w:sdtContent>
                  </w:sdt>
                </w:tr>
              </w:sdtContent>
            </w:sdt>
            <w:sdt>
              <w:sdtPr>
                <w:rPr>
                  <w:szCs w:val="21"/>
                </w:rPr>
                <w:alias w:val="前十名股东持股情况"/>
                <w:tag w:val="_TUP_dfb07f5d24d04bbbad485e33c5e2bd12"/>
                <w:id w:val="5764"/>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胡洪香</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1,700,000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1,700,000</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0.31</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65"/>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66"/>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境内自然人</w:t>
                          </w:r>
                        </w:p>
                      </w:tc>
                    </w:sdtContent>
                  </w:sdt>
                </w:tr>
              </w:sdtContent>
            </w:sdt>
            <w:sdt>
              <w:sdtPr>
                <w:rPr>
                  <w:szCs w:val="21"/>
                </w:rPr>
                <w:alias w:val="前十名股东持股情况"/>
                <w:tag w:val="_TUP_dfb07f5d24d04bbbad485e33c5e2bd12"/>
                <w:id w:val="5767"/>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孙江桥</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1,663,958</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0.30</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68"/>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69"/>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境内自然人</w:t>
                          </w:r>
                        </w:p>
                      </w:tc>
                    </w:sdtContent>
                  </w:sdt>
                </w:tr>
              </w:sdtContent>
            </w:sdt>
            <w:sdt>
              <w:sdtPr>
                <w:rPr>
                  <w:szCs w:val="21"/>
                </w:rPr>
                <w:alias w:val="前十名股东持股情况"/>
                <w:tag w:val="_TUP_dfb07f5d24d04bbbad485e33c5e2bd12"/>
                <w:id w:val="5770"/>
                <w:placeholder>
                  <w:docPart w:val="{91ee8b5e-eaee-4946-89b5-95f915f02a94}"/>
                </w:placeholder>
              </w:sdtPr>
              <w:sdtEndPr>
                <w:rPr>
                  <w:rFonts w:hint="default"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6" w:type="dxa"/>
                      <w:shd w:val="clear" w:color="auto" w:fill="auto"/>
                      <w:vAlign w:val="center"/>
                    </w:tcPr>
                    <w:p>
                      <w:pPr>
                        <w:rPr>
                          <w:szCs w:val="21"/>
                        </w:rPr>
                      </w:pPr>
                      <w:r>
                        <w:rPr>
                          <w:rFonts w:hint="eastAsia"/>
                          <w:color w:val="auto"/>
                        </w:rPr>
                        <w:t>张勇</w:t>
                      </w:r>
                    </w:p>
                  </w:tc>
                  <w:tc>
                    <w:tcPr>
                      <w:tcW w:w="1132"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tc>
                    <w:tcPr>
                      <w:tcW w:w="1377"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1,600,000</w:t>
                      </w:r>
                    </w:p>
                  </w:tc>
                  <w:tc>
                    <w:tcPr>
                      <w:tcW w:w="791"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0.29</w:t>
                      </w:r>
                    </w:p>
                  </w:tc>
                  <w:tc>
                    <w:tcPr>
                      <w:tcW w:w="859" w:type="dxa"/>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持有股份状态"/>
                      <w:tag w:val="_GBC_46a2e2b7fded452b84eec75a5e47296b"/>
                      <w:id w:val="5771"/>
                      <w:placeholder>
                        <w:docPart w:val="GBC33333333333333333333333333333"/>
                      </w:placeholder>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hint="default" w:ascii="Times New Roman" w:hAnsi="Times New Roman" w:cs="Times New Roman"/>
                        <w:szCs w:val="21"/>
                      </w:rPr>
                    </w:sdtEndPr>
                    <w:sdtContent>
                      <w:tc>
                        <w:tcPr>
                          <w:tcW w:w="1037" w:type="dxa"/>
                          <w:shd w:val="clear" w:color="auto" w:fill="auto"/>
                          <w:vAlign w:val="center"/>
                        </w:tcPr>
                        <w:p>
                          <w:pPr>
                            <w:jc w:val="center"/>
                            <w:rPr>
                              <w:rFonts w:hint="default" w:ascii="Times New Roman" w:hAnsi="Times New Roman" w:cs="Times New Roman"/>
                              <w:color w:val="FF9900"/>
                              <w:szCs w:val="21"/>
                            </w:rPr>
                          </w:pPr>
                          <w:r>
                            <w:rPr>
                              <w:rFonts w:hint="default" w:ascii="Times New Roman" w:hAnsi="Times New Roman" w:cs="Times New Roman"/>
                              <w:szCs w:val="21"/>
                            </w:rPr>
                            <w:t>无</w:t>
                          </w:r>
                        </w:p>
                      </w:tc>
                    </w:sdtContent>
                  </w:sdt>
                  <w:tc>
                    <w:tcPr>
                      <w:tcW w:w="477" w:type="dxa"/>
                      <w:gridSpan w:val="2"/>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w:t>
                      </w:r>
                    </w:p>
                  </w:tc>
                  <w:sdt>
                    <w:sdtPr>
                      <w:rPr>
                        <w:rFonts w:hint="default" w:ascii="Times New Roman" w:hAnsi="Times New Roman" w:cs="Times New Roman"/>
                        <w:szCs w:val="21"/>
                      </w:rPr>
                      <w:alias w:val="前十名股东的股东性质"/>
                      <w:tag w:val="_GBC_84391eccdbd14aa7bbd07a260ff9d747"/>
                      <w:id w:val="5772"/>
                      <w:placeholder>
                        <w:docPart w:val="GBC33333333333333333333333333333"/>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hint="default" w:ascii="Times New Roman" w:hAnsi="Times New Roman" w:cs="Times New Roman"/>
                        <w:szCs w:val="21"/>
                      </w:rPr>
                    </w:sdtEndPr>
                    <w:sdtContent>
                      <w:tc>
                        <w:tcPr>
                          <w:tcW w:w="1314" w:type="dxa"/>
                          <w:shd w:val="clear" w:color="auto" w:fill="auto"/>
                          <w:vAlign w:val="center"/>
                        </w:tcPr>
                        <w:p>
                          <w:pPr>
                            <w:rPr>
                              <w:rFonts w:hint="default" w:ascii="Times New Roman" w:hAnsi="Times New Roman" w:cs="Times New Roman"/>
                              <w:color w:val="FF9900"/>
                              <w:szCs w:val="21"/>
                            </w:rPr>
                          </w:pPr>
                          <w:r>
                            <w:rPr>
                              <w:rFonts w:hint="default" w:ascii="Times New Roman" w:hAnsi="Times New Roman" w:cs="Times New Roman"/>
                              <w:szCs w:val="21"/>
                            </w:rPr>
                            <w:t>境内自然人</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f241e5dc05a4ae7b61268f4f1627ca0"/>
                  <w:id w:val="175465768"/>
                </w:sdtPr>
                <w:sdtContent>
                  <w:tc>
                    <w:tcPr>
                      <w:tcW w:w="0" w:type="auto"/>
                      <w:gridSpan w:val="9"/>
                      <w:shd w:val="clear" w:color="auto" w:fill="auto"/>
                      <w:vAlign w:val="center"/>
                    </w:tcPr>
                    <w:p>
                      <w:pPr>
                        <w:jc w:val="center"/>
                        <w:rPr>
                          <w:color w:val="FF9900"/>
                          <w:szCs w:val="21"/>
                        </w:rPr>
                      </w:pPr>
                      <w:r>
                        <w:rPr>
                          <w:szCs w:val="21"/>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443ad39720a4d59be87cdf7b0bc4970"/>
                  <w:id w:val="212465201"/>
                </w:sdtPr>
                <w:sdtContent>
                  <w:tc>
                    <w:tcPr>
                      <w:tcW w:w="2968" w:type="dxa"/>
                      <w:gridSpan w:val="2"/>
                      <w:vMerge w:val="restart"/>
                      <w:shd w:val="clear" w:color="auto" w:fill="auto"/>
                      <w:vAlign w:val="center"/>
                    </w:tcPr>
                    <w:p>
                      <w:pPr>
                        <w:jc w:val="center"/>
                        <w:rPr>
                          <w:color w:val="FF9900"/>
                          <w:szCs w:val="21"/>
                        </w:rPr>
                      </w:pPr>
                      <w:r>
                        <w:t>股东名称</w:t>
                      </w:r>
                    </w:p>
                  </w:tc>
                </w:sdtContent>
              </w:sdt>
              <w:sdt>
                <w:sdtPr>
                  <w:tag w:val="_PLD_a7f143afa2b94466a44af03e770016b0"/>
                  <w:id w:val="341984893"/>
                </w:sdtPr>
                <w:sdtContent>
                  <w:tc>
                    <w:tcPr>
                      <w:tcW w:w="3027" w:type="dxa"/>
                      <w:gridSpan w:val="3"/>
                      <w:vMerge w:val="restart"/>
                      <w:shd w:val="clear" w:color="auto" w:fill="auto"/>
                      <w:vAlign w:val="center"/>
                    </w:tcPr>
                    <w:p>
                      <w:pPr>
                        <w:jc w:val="center"/>
                        <w:rPr>
                          <w:color w:val="FF9900"/>
                          <w:szCs w:val="21"/>
                        </w:rPr>
                      </w:pPr>
                      <w:r>
                        <w:t>持有无限售条件流通股的数量</w:t>
                      </w:r>
                    </w:p>
                  </w:tc>
                </w:sdtContent>
              </w:sdt>
              <w:sdt>
                <w:sdtPr>
                  <w:tag w:val="_PLD_fa97ca004a544042af7e1d7463bea345"/>
                  <w:id w:val="-2086517873"/>
                </w:sdtPr>
                <w:sdtContent>
                  <w:tc>
                    <w:tcPr>
                      <w:tcW w:w="2828" w:type="dxa"/>
                      <w:gridSpan w:val="4"/>
                      <w:tcBorders>
                        <w:bottom w:val="single" w:color="auto" w:sz="4" w:space="0"/>
                      </w:tcBorders>
                      <w:shd w:val="clear" w:color="auto" w:fill="auto"/>
                      <w:vAlign w:val="center"/>
                    </w:tcPr>
                    <w:p>
                      <w:pPr>
                        <w:jc w:val="center"/>
                        <w:rPr>
                          <w:color w:val="FF9900"/>
                          <w:szCs w:val="21"/>
                        </w:rPr>
                      </w:pPr>
                      <w:r>
                        <w:rPr>
                          <w:szCs w:val="21"/>
                        </w:rPr>
                        <w:t>股份种类</w:t>
                      </w:r>
                      <w:r>
                        <w:rPr>
                          <w:rFonts w:hint="eastAsia"/>
                          <w:szCs w:val="21"/>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vMerge w:val="continue"/>
                  <w:shd w:val="clear" w:color="auto" w:fill="auto"/>
                  <w:vAlign w:val="center"/>
                </w:tcPr>
                <w:p>
                  <w:pPr>
                    <w:jc w:val="center"/>
                    <w:rPr>
                      <w:color w:val="FF9900"/>
                      <w:szCs w:val="21"/>
                    </w:rPr>
                  </w:pPr>
                </w:p>
              </w:tc>
              <w:tc>
                <w:tcPr>
                  <w:tcW w:w="3027" w:type="dxa"/>
                  <w:gridSpan w:val="3"/>
                  <w:vMerge w:val="continue"/>
                  <w:shd w:val="clear" w:color="auto" w:fill="auto"/>
                  <w:vAlign w:val="center"/>
                </w:tcPr>
                <w:p>
                  <w:pPr>
                    <w:jc w:val="center"/>
                    <w:rPr>
                      <w:color w:val="FF9900"/>
                      <w:szCs w:val="21"/>
                    </w:rPr>
                  </w:pPr>
                </w:p>
              </w:tc>
              <w:sdt>
                <w:sdtPr>
                  <w:tag w:val="_PLD_e67773187f2f4233a6666596947248e8"/>
                  <w:id w:val="274297347"/>
                </w:sdtPr>
                <w:sdtContent>
                  <w:tc>
                    <w:tcPr>
                      <w:tcW w:w="1503" w:type="dxa"/>
                      <w:gridSpan w:val="2"/>
                      <w:shd w:val="clear" w:color="auto" w:fill="auto"/>
                      <w:vAlign w:val="center"/>
                    </w:tcPr>
                    <w:p>
                      <w:pPr>
                        <w:jc w:val="center"/>
                        <w:rPr>
                          <w:color w:val="008000"/>
                          <w:szCs w:val="21"/>
                        </w:rPr>
                      </w:pPr>
                      <w:r>
                        <w:rPr>
                          <w:rFonts w:hint="eastAsia"/>
                          <w:szCs w:val="21"/>
                        </w:rPr>
                        <w:t>种类</w:t>
                      </w:r>
                    </w:p>
                  </w:tc>
                </w:sdtContent>
              </w:sdt>
              <w:sdt>
                <w:sdtPr>
                  <w:tag w:val="_PLD_2f2fd5088a82440f9265e00f4e298be0"/>
                  <w:id w:val="1209067599"/>
                </w:sdtPr>
                <w:sdtContent>
                  <w:tc>
                    <w:tcPr>
                      <w:tcW w:w="0" w:type="auto"/>
                      <w:gridSpan w:val="2"/>
                      <w:shd w:val="clear" w:color="auto" w:fill="auto"/>
                      <w:vAlign w:val="center"/>
                    </w:tcPr>
                    <w:p>
                      <w:pPr>
                        <w:jc w:val="center"/>
                        <w:rPr>
                          <w:color w:val="008000"/>
                          <w:szCs w:val="21"/>
                        </w:rPr>
                      </w:pPr>
                      <w:r>
                        <w:rPr>
                          <w:rFonts w:hint="eastAsia"/>
                          <w:szCs w:val="21"/>
                        </w:rPr>
                        <w:t>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广西柳州市产业投资发展集团有限公司</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183</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360</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652</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183</w:t>
                  </w:r>
                  <w:r>
                    <w:rPr>
                      <w:rFonts w:hint="eastAsia" w:ascii="Times New Roman" w:hAnsi="Times New Roman" w:cs="Times New Roman"/>
                      <w:lang w:val="en-US" w:eastAsia="zh-CN"/>
                    </w:rPr>
                    <w:t>,</w:t>
                  </w:r>
                  <w:r>
                    <w:rPr>
                      <w:rFonts w:hint="default" w:ascii="Times New Roman" w:hAnsi="Times New Roman" w:cs="Times New Roman"/>
                    </w:rPr>
                    <w:t>360</w:t>
                  </w:r>
                  <w:r>
                    <w:rPr>
                      <w:rFonts w:hint="eastAsia" w:ascii="Times New Roman" w:hAnsi="Times New Roman" w:cs="Times New Roman"/>
                      <w:lang w:val="en-US" w:eastAsia="zh-CN"/>
                    </w:rPr>
                    <w:t>,</w:t>
                  </w:r>
                  <w:r>
                    <w:rPr>
                      <w:rFonts w:hint="default" w:ascii="Times New Roman" w:hAnsi="Times New Roman" w:cs="Times New Roman"/>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柳州市经发投资有限责任公司</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i w:val="0"/>
                      <w:iCs w:val="0"/>
                      <w:color w:val="000000"/>
                      <w:kern w:val="0"/>
                      <w:sz w:val="22"/>
                      <w:szCs w:val="22"/>
                      <w:u w:val="none"/>
                      <w:lang w:val="en-US" w:eastAsia="zh-CN" w:bidi="ar"/>
                    </w:rPr>
                    <w:t>32,959,167</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32,959,167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施梁</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470</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2000</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4</w:t>
                  </w:r>
                  <w:r>
                    <w:rPr>
                      <w:rFonts w:hint="eastAsia" w:ascii="Times New Roman" w:hAnsi="Times New Roman" w:cs="Times New Roman"/>
                      <w:lang w:val="en-US" w:eastAsia="zh-CN"/>
                    </w:rPr>
                    <w:t>,</w:t>
                  </w:r>
                  <w:r>
                    <w:rPr>
                      <w:rFonts w:hint="default" w:ascii="Times New Roman" w:hAnsi="Times New Roman" w:cs="Times New Roman"/>
                    </w:rPr>
                    <w:t>702</w:t>
                  </w:r>
                  <w:r>
                    <w:rPr>
                      <w:rFonts w:hint="eastAsia" w:ascii="Times New Roman" w:hAnsi="Times New Roman" w:cs="Times New Roman"/>
                      <w:lang w:val="en-US" w:eastAsia="zh-CN"/>
                    </w:rPr>
                    <w:t>,</w:t>
                  </w:r>
                  <w:r>
                    <w:rPr>
                      <w:rFonts w:hint="default" w:ascii="Times New Roman" w:hAnsi="Times New Roman" w:cs="Times New Roma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建信理财有限责任公司－建信理财“诚鑫”多元配置混合类最低持有2年开放式产品</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540</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4</w:t>
                  </w:r>
                  <w:r>
                    <w:rPr>
                      <w:rFonts w:hint="eastAsia" w:ascii="Times New Roman" w:hAnsi="Times New Roman" w:cs="Times New Roman"/>
                      <w:lang w:val="en-US" w:eastAsia="zh-CN"/>
                    </w:rPr>
                    <w:t>,</w:t>
                  </w:r>
                  <w:r>
                    <w:rPr>
                      <w:rFonts w:hint="default" w:ascii="Times New Roman" w:hAnsi="Times New Roman" w:cs="Times New Roman"/>
                    </w:rPr>
                    <w:t>540</w:t>
                  </w:r>
                  <w:r>
                    <w:rPr>
                      <w:rFonts w:hint="eastAsia" w:ascii="Times New Roman" w:hAnsi="Times New Roman" w:cs="Times New Roman"/>
                      <w:lang w:val="en-US" w:eastAsia="zh-CN"/>
                    </w:rPr>
                    <w:t>,</w:t>
                  </w:r>
                  <w:r>
                    <w:rPr>
                      <w:rFonts w:hint="default" w:ascii="Times New Roman" w:hAnsi="Times New Roman" w:cs="Times New Roma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柳州市元宏投资发展有限公司</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013</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937</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3</w:t>
                  </w:r>
                  <w:r>
                    <w:rPr>
                      <w:rFonts w:hint="eastAsia" w:ascii="Times New Roman" w:hAnsi="Times New Roman" w:cs="Times New Roman"/>
                      <w:lang w:val="en-US" w:eastAsia="zh-CN"/>
                    </w:rPr>
                    <w:t>,</w:t>
                  </w:r>
                  <w:r>
                    <w:rPr>
                      <w:rFonts w:hint="default" w:ascii="Times New Roman" w:hAnsi="Times New Roman" w:cs="Times New Roman"/>
                    </w:rPr>
                    <w:t>013</w:t>
                  </w:r>
                  <w:r>
                    <w:rPr>
                      <w:rFonts w:hint="eastAsia" w:ascii="Times New Roman" w:hAnsi="Times New Roman" w:cs="Times New Roman"/>
                      <w:lang w:val="en-US" w:eastAsia="zh-CN"/>
                    </w:rPr>
                    <w:t>,</w:t>
                  </w:r>
                  <w:r>
                    <w:rPr>
                      <w:rFonts w:hint="default" w:ascii="Times New Roman" w:hAnsi="Times New Roman" w:cs="Times New Roma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阮云</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104</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100</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2</w:t>
                  </w:r>
                  <w:r>
                    <w:rPr>
                      <w:rFonts w:hint="eastAsia" w:ascii="Times New Roman" w:hAnsi="Times New Roman" w:cs="Times New Roman"/>
                      <w:lang w:val="en-US" w:eastAsia="zh-CN"/>
                    </w:rPr>
                    <w:t>,</w:t>
                  </w:r>
                  <w:r>
                    <w:rPr>
                      <w:rFonts w:hint="default" w:ascii="Times New Roman" w:hAnsi="Times New Roman" w:cs="Times New Roman"/>
                    </w:rPr>
                    <w:t>104</w:t>
                  </w:r>
                  <w:r>
                    <w:rPr>
                      <w:rFonts w:hint="eastAsia" w:ascii="Times New Roman" w:hAnsi="Times New Roman" w:cs="Times New Roman"/>
                      <w:lang w:val="en-US" w:eastAsia="zh-CN"/>
                    </w:rPr>
                    <w:t>,</w:t>
                  </w: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李毅</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2</w:t>
                  </w:r>
                  <w:r>
                    <w:rPr>
                      <w:rFonts w:hint="eastAsia" w:ascii="Times New Roman" w:hAnsi="Times New Roman" w:cs="Times New Roman"/>
                      <w:lang w:val="en-US" w:eastAsia="zh-CN"/>
                    </w:rPr>
                    <w:t>,</w:t>
                  </w:r>
                  <w:r>
                    <w:rPr>
                      <w:rFonts w:hint="default" w:ascii="Times New Roman" w:hAnsi="Times New Roman" w:cs="Times New Roman"/>
                    </w:rPr>
                    <w:t>000</w:t>
                  </w:r>
                  <w:r>
                    <w:rPr>
                      <w:rFonts w:hint="eastAsia" w:ascii="Times New Roman" w:hAnsi="Times New Roman" w:cs="Times New Roman"/>
                      <w:lang w:val="en-US" w:eastAsia="zh-CN"/>
                    </w:rPr>
                    <w:t>,</w:t>
                  </w:r>
                  <w:r>
                    <w:rPr>
                      <w:rFonts w:hint="default" w:ascii="Times New Roman" w:hAnsi="Times New Roman" w:cs="Times New Roma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胡洪香</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700</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1</w:t>
                  </w:r>
                  <w:r>
                    <w:rPr>
                      <w:rFonts w:hint="eastAsia" w:ascii="Times New Roman" w:hAnsi="Times New Roman" w:cs="Times New Roman"/>
                      <w:lang w:val="en-US" w:eastAsia="zh-CN"/>
                    </w:rPr>
                    <w:t>,</w:t>
                  </w:r>
                  <w:r>
                    <w:rPr>
                      <w:rFonts w:hint="default" w:ascii="Times New Roman" w:hAnsi="Times New Roman" w:cs="Times New Roman"/>
                    </w:rPr>
                    <w:t>700</w:t>
                  </w:r>
                  <w:r>
                    <w:rPr>
                      <w:rFonts w:hint="eastAsia" w:ascii="Times New Roman" w:hAnsi="Times New Roman" w:cs="Times New Roman"/>
                      <w:lang w:val="en-US" w:eastAsia="zh-CN"/>
                    </w:rPr>
                    <w:t>,</w:t>
                  </w:r>
                  <w:r>
                    <w:rPr>
                      <w:rFonts w:hint="default" w:ascii="Times New Roman" w:hAnsi="Times New Roman" w:cs="Times New Roma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孙江桥</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663</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958</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1</w:t>
                  </w:r>
                  <w:r>
                    <w:rPr>
                      <w:rFonts w:hint="eastAsia" w:ascii="Times New Roman" w:hAnsi="Times New Roman" w:cs="Times New Roman"/>
                      <w:lang w:val="en-US" w:eastAsia="zh-CN"/>
                    </w:rPr>
                    <w:t>,</w:t>
                  </w:r>
                  <w:r>
                    <w:rPr>
                      <w:rFonts w:hint="default" w:ascii="Times New Roman" w:hAnsi="Times New Roman" w:cs="Times New Roman"/>
                    </w:rPr>
                    <w:t>663</w:t>
                  </w:r>
                  <w:r>
                    <w:rPr>
                      <w:rFonts w:hint="eastAsia" w:ascii="Times New Roman" w:hAnsi="Times New Roman" w:cs="Times New Roman"/>
                      <w:lang w:val="en-US" w:eastAsia="zh-CN"/>
                    </w:rPr>
                    <w:t>,</w:t>
                  </w:r>
                  <w:r>
                    <w:rPr>
                      <w:rFonts w:hint="default" w:ascii="Times New Roman" w:hAnsi="Times New Roman" w:cs="Times New Roman"/>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p>
                  <w:pPr>
                    <w:rPr>
                      <w:rFonts w:hint="default" w:ascii="Times New Roman" w:hAnsi="Times New Roman" w:eastAsia="宋体" w:cs="Times New Roman"/>
                      <w:sz w:val="21"/>
                      <w:szCs w:val="21"/>
                      <w:lang w:val="en-US" w:eastAsia="zh-CN" w:bidi="ar-SA"/>
                    </w:rPr>
                  </w:pPr>
                  <w:r>
                    <w:rPr>
                      <w:rFonts w:hint="default" w:ascii="Times New Roman" w:hAnsi="Times New Roman" w:cs="Times New Roman"/>
                    </w:rPr>
                    <w:t>张勇</w:t>
                  </w:r>
                </w:p>
              </w:tc>
              <w:tc>
                <w:tcPr>
                  <w:tcW w:w="3027"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600</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w:t>
                  </w:r>
                </w:p>
              </w:tc>
              <w:tc>
                <w:tcPr>
                  <w:tcW w:w="1503" w:type="dxa"/>
                  <w:gridSpan w:val="2"/>
                  <w:shd w:val="clear" w:color="auto" w:fill="auto"/>
                  <w:vAlign w:val="center"/>
                </w:tcPr>
                <w:p>
                  <w:pPr>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bidi="ar-SA"/>
                    </w:rPr>
                    <w:t>人民币普通股</w:t>
                  </w:r>
                </w:p>
              </w:tc>
              <w:tc>
                <w:tcPr>
                  <w:tcW w:w="0" w:type="auto"/>
                  <w:gridSpan w:val="2"/>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rPr>
                    <w:t>1</w:t>
                  </w:r>
                  <w:r>
                    <w:rPr>
                      <w:rFonts w:hint="eastAsia" w:ascii="Times New Roman" w:hAnsi="Times New Roman" w:cs="Times New Roman"/>
                      <w:lang w:val="en-US" w:eastAsia="zh-CN"/>
                    </w:rPr>
                    <w:t>,</w:t>
                  </w:r>
                  <w:r>
                    <w:rPr>
                      <w:rFonts w:hint="default" w:ascii="Times New Roman" w:hAnsi="Times New Roman" w:cs="Times New Roman"/>
                    </w:rPr>
                    <w:t>600</w:t>
                  </w:r>
                  <w:r>
                    <w:rPr>
                      <w:rFonts w:hint="eastAsia" w:ascii="Times New Roman" w:hAnsi="Times New Roman" w:cs="Times New Roman"/>
                      <w:lang w:val="en-US" w:eastAsia="zh-CN"/>
                    </w:rPr>
                    <w:t>,</w:t>
                  </w:r>
                  <w:r>
                    <w:rPr>
                      <w:rFonts w:hint="default" w:ascii="Times New Roman" w:hAnsi="Times New Roman" w:cs="Times New Roma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sdt>
                  <w:sdtPr>
                    <w:rPr>
                      <w:rFonts w:hint="eastAsia"/>
                    </w:rPr>
                    <w:tag w:val="_PLD_c66ff47b026f457b94124796c616bd5e"/>
                    <w:id w:val="43494655"/>
                  </w:sdtPr>
                  <w:sdtEndPr>
                    <w:rPr>
                      <w:rFonts w:hint="eastAsia"/>
                    </w:rPr>
                  </w:sdtEndPr>
                  <w:sdtContent>
                    <w:p>
                      <w:pPr>
                        <w:rPr>
                          <w:szCs w:val="21"/>
                        </w:rPr>
                      </w:pPr>
                      <w:r>
                        <w:rPr>
                          <w:rFonts w:hint="eastAsia"/>
                        </w:rPr>
                        <w:t>前十名股东中回购专户情况说明</w:t>
                      </w:r>
                    </w:p>
                  </w:sdtContent>
                </w:sdt>
              </w:tc>
              <w:tc>
                <w:tcPr>
                  <w:tcW w:w="5855" w:type="dxa"/>
                  <w:gridSpan w:val="7"/>
                  <w:shd w:val="clear" w:color="auto" w:fill="auto"/>
                  <w:vAlign w:val="center"/>
                </w:tcPr>
                <w:p>
                  <w:pPr>
                    <w:rPr>
                      <w:szCs w:val="21"/>
                    </w:rPr>
                  </w:pPr>
                  <w:r>
                    <w:rPr>
                      <w:rFonts w:hint="eastAsia" w:ascii="Times New Roman" w:hAnsi="Times New Roman" w:cs="Times New Roman"/>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8" w:type="dxa"/>
                  <w:gridSpan w:val="2"/>
                  <w:shd w:val="clear" w:color="auto" w:fill="auto"/>
                  <w:vAlign w:val="center"/>
                </w:tcPr>
                <w:sdt>
                  <w:sdtPr>
                    <w:rPr>
                      <w:szCs w:val="21"/>
                    </w:rPr>
                    <w:tag w:val="_PLD_1e66340db1704500aa943a28a623d252"/>
                    <w:id w:val="1298179145"/>
                  </w:sdtPr>
                  <w:sdtEndPr>
                    <w:rPr>
                      <w:szCs w:val="21"/>
                    </w:rPr>
                  </w:sdtEndPr>
                  <w:sdtContent>
                    <w:p>
                      <w:r>
                        <w:rPr>
                          <w:szCs w:val="21"/>
                        </w:rPr>
                        <w:t>上述股东</w:t>
                      </w:r>
                      <w:r>
                        <w:rPr>
                          <w:rFonts w:hint="eastAsia"/>
                          <w:szCs w:val="21"/>
                        </w:rPr>
                        <w:t>委托表决权、受托表决权、放弃表决权</w:t>
                      </w:r>
                      <w:r>
                        <w:rPr>
                          <w:szCs w:val="21"/>
                        </w:rPr>
                        <w:t>的说明</w:t>
                      </w:r>
                    </w:p>
                  </w:sdtContent>
                </w:sdt>
              </w:tc>
              <w:tc>
                <w:tcPr>
                  <w:tcW w:w="5855" w:type="dxa"/>
                  <w:gridSpan w:val="7"/>
                  <w:shd w:val="clear" w:color="auto" w:fill="auto"/>
                  <w:vAlign w:val="center"/>
                </w:tcPr>
                <w:p>
                  <w:pPr>
                    <w:rPr>
                      <w:szCs w:val="21"/>
                    </w:rPr>
                  </w:pPr>
                  <w:r>
                    <w:rPr>
                      <w:rFonts w:hint="eastAsia" w:ascii="Times New Roman" w:hAnsi="Times New Roman" w:cs="Times New Roman"/>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66d0f4474a24a38863b52183edf8612"/>
                  <w:id w:val="2060898345"/>
                </w:sdtPr>
                <w:sdtContent>
                  <w:tc>
                    <w:tcPr>
                      <w:tcW w:w="2968" w:type="dxa"/>
                      <w:gridSpan w:val="2"/>
                      <w:shd w:val="clear" w:color="auto" w:fill="auto"/>
                      <w:vAlign w:val="center"/>
                    </w:tcPr>
                    <w:p>
                      <w:pPr>
                        <w:rPr>
                          <w:szCs w:val="21"/>
                        </w:rPr>
                      </w:pPr>
                      <w:r>
                        <w:rPr>
                          <w:szCs w:val="21"/>
                        </w:rPr>
                        <w:t>上述股东关联关系或一致行动的说明</w:t>
                      </w:r>
                    </w:p>
                  </w:tc>
                </w:sdtContent>
              </w:sdt>
              <w:tc>
                <w:tcPr>
                  <w:tcW w:w="5855" w:type="dxa"/>
                  <w:gridSpan w:val="7"/>
                  <w:shd w:val="clear" w:color="auto" w:fill="auto"/>
                  <w:vAlign w:val="center"/>
                </w:tcPr>
                <w:p>
                  <w:pPr>
                    <w:jc w:val="both"/>
                    <w:rPr>
                      <w:rFonts w:ascii="Times New Roman" w:hAnsi="Times New Roman" w:cs="Times New Roman"/>
                      <w:szCs w:val="21"/>
                    </w:rPr>
                  </w:pPr>
                  <w:r>
                    <w:rPr>
                      <w:rFonts w:hint="eastAsia" w:ascii="Times New Roman" w:hAnsi="Times New Roman" w:cs="Times New Roman"/>
                      <w:szCs w:val="21"/>
                    </w:rPr>
                    <w:t>1</w:t>
                  </w:r>
                  <w:r>
                    <w:rPr>
                      <w:rFonts w:hint="eastAsia" w:ascii="Times New Roman" w:cs="Times New Roman"/>
                      <w:szCs w:val="21"/>
                    </w:rPr>
                    <w:t>、</w:t>
                  </w:r>
                  <w:r>
                    <w:rPr>
                      <w:rFonts w:ascii="Times New Roman" w:cs="Times New Roman"/>
                      <w:szCs w:val="21"/>
                    </w:rPr>
                    <w:t>截至本报告期末，公司前</w:t>
                  </w:r>
                  <w:r>
                    <w:rPr>
                      <w:rFonts w:ascii="Times New Roman" w:hAnsi="Times New Roman" w:cs="Times New Roman"/>
                      <w:szCs w:val="21"/>
                    </w:rPr>
                    <w:t>10</w:t>
                  </w:r>
                  <w:r>
                    <w:rPr>
                      <w:rFonts w:ascii="Times New Roman" w:cs="Times New Roman"/>
                      <w:szCs w:val="21"/>
                    </w:rPr>
                    <w:t>名股东中，广西柳州市产业投资发展集团有限公司、柳州市经发投资有限责任公司、柳州市元宏投资发展有限公司的实际控制人均为柳州市人民政府国有资产监督管理委员会；</w:t>
                  </w:r>
                </w:p>
                <w:p>
                  <w:pPr>
                    <w:jc w:val="both"/>
                    <w:rPr>
                      <w:szCs w:val="21"/>
                    </w:rPr>
                  </w:pPr>
                  <w:r>
                    <w:rPr>
                      <w:rFonts w:ascii="Times New Roman" w:hAnsi="Times New Roman" w:cs="Times New Roman"/>
                      <w:szCs w:val="21"/>
                    </w:rPr>
                    <w:t>2</w:t>
                  </w:r>
                  <w:r>
                    <w:rPr>
                      <w:rFonts w:ascii="Times New Roman" w:cs="Times New Roman"/>
                      <w:szCs w:val="21"/>
                    </w:rPr>
                    <w:t>、除此之外，公司未知其他股东之间的关联关系。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41b3b4967bb4d8793e8815a2738c7d6"/>
                  <w:id w:val="301968679"/>
                </w:sdtPr>
                <w:sdtContent>
                  <w:tc>
                    <w:tcPr>
                      <w:tcW w:w="2968" w:type="dxa"/>
                      <w:gridSpan w:val="2"/>
                      <w:shd w:val="clear" w:color="auto" w:fill="auto"/>
                      <w:vAlign w:val="center"/>
                    </w:tcPr>
                    <w:p>
                      <w:pPr>
                        <w:rPr>
                          <w:szCs w:val="21"/>
                        </w:rPr>
                      </w:pPr>
                      <w:r>
                        <w:rPr>
                          <w:rFonts w:hint="eastAsia"/>
                          <w:szCs w:val="21"/>
                        </w:rPr>
                        <w:t>表决权恢复的优先股股东及持股数量的说明</w:t>
                      </w:r>
                    </w:p>
                  </w:tc>
                </w:sdtContent>
              </w:sdt>
              <w:tc>
                <w:tcPr>
                  <w:tcW w:w="5855" w:type="dxa"/>
                  <w:gridSpan w:val="7"/>
                  <w:shd w:val="clear" w:color="auto" w:fill="auto"/>
                  <w:vAlign w:val="center"/>
                </w:tcPr>
                <w:p>
                  <w:pPr>
                    <w:rPr>
                      <w:szCs w:val="21"/>
                    </w:rPr>
                  </w:pPr>
                  <w:r>
                    <w:rPr>
                      <w:rFonts w:hint="eastAsia" w:ascii="Times New Roman" w:hAnsi="Times New Roman" w:cs="Times New Roman"/>
                      <w:szCs w:val="21"/>
                      <w:lang w:val="en-US" w:eastAsia="zh-CN"/>
                    </w:rPr>
                    <w:t>无</w:t>
                  </w:r>
                </w:p>
              </w:tc>
            </w:tr>
          </w:tbl>
          <w:p>
            <w:pPr>
              <w:rPr>
                <w:szCs w:val="21"/>
              </w:rPr>
            </w:pPr>
          </w:p>
          <w:p>
            <w:pPr>
              <w:jc w:val="center"/>
              <w:rPr>
                <w:rFonts w:hint="default" w:ascii="Times New Roman" w:hAnsi="Times New Roman" w:cs="Times New Roman"/>
                <w:color w:val="FF9900"/>
                <w:szCs w:val="21"/>
              </w:rPr>
            </w:pPr>
          </w:p>
        </w:tc>
      </w:tr>
      <w:bookmarkEnd w:id="131"/>
      <w:bookmarkEnd w:id="132"/>
    </w:tbl>
    <w:p>
      <w:pPr>
        <w:rPr>
          <w:szCs w:val="21"/>
        </w:rPr>
      </w:pPr>
      <w:bookmarkStart w:id="133" w:name="_Hlk27487213"/>
    </w:p>
    <w:p>
      <w:pPr>
        <w:rPr>
          <w:szCs w:val="21"/>
        </w:rPr>
      </w:pPr>
      <w:bookmarkStart w:id="134" w:name="_Hlk155094173"/>
      <w:r>
        <w:rPr>
          <w:szCs w:val="21"/>
        </w:rPr>
        <w:t>前十名股东</w:t>
      </w:r>
      <w:r>
        <w:rPr>
          <w:rFonts w:hint="eastAsia"/>
          <w:szCs w:val="21"/>
        </w:rPr>
        <w:t>参与转融通业务出借股份情况</w:t>
      </w:r>
    </w:p>
    <w:sdt>
      <w:sdtPr>
        <w:rPr>
          <w:bCs/>
          <w:szCs w:val="21"/>
        </w:rPr>
        <w:alias w:val="是否适用：前十名股东参与转融通业务出借股份情况[双击切换]"/>
        <w:tag w:val="_GBC_2d74b1abb153475cb0679c2ab4305c0d"/>
        <w:id w:val="26166"/>
        <w:placeholder>
          <w:docPart w:val="GBC22222222222222222222222222222"/>
        </w:placeholder>
      </w:sdtPr>
      <w:sdtEndPr>
        <w:rPr>
          <w:bCs/>
          <w:szCs w:val="21"/>
        </w:rPr>
      </w:sdtEndPr>
      <w:sdtContent>
        <w:p>
          <w:pPr>
            <w:outlineLvl w:val="9"/>
            <w:rPr>
              <w:bCs/>
              <w:szCs w:val="21"/>
            </w:rPr>
          </w:pPr>
          <w:r>
            <w:rPr>
              <w:bCs/>
              <w:szCs w:val="21"/>
            </w:rPr>
            <w:fldChar w:fldCharType="begin"/>
          </w:r>
          <w:r>
            <w:rPr>
              <w:rFonts w:hint="eastAsia"/>
              <w:bCs/>
              <w:szCs w:val="21"/>
              <w:lang w:eastAsia="zh-CN"/>
            </w:rPr>
            <w:instrText xml:space="preserve"> 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outlineLvl w:val="9"/>
        <w:rPr>
          <w:bCs/>
          <w:szCs w:val="21"/>
        </w:rPr>
      </w:pPr>
    </w:p>
    <w:bookmarkEnd w:id="134"/>
    <w:p>
      <w:pPr>
        <w:rPr>
          <w:szCs w:val="21"/>
        </w:rPr>
      </w:pPr>
      <w:bookmarkStart w:id="135" w:name="_Hlk155094189"/>
      <w:r>
        <w:rPr>
          <w:szCs w:val="21"/>
        </w:rPr>
        <w:t>前十名股东</w:t>
      </w:r>
      <w:r>
        <w:rPr>
          <w:rFonts w:hint="eastAsia"/>
          <w:szCs w:val="21"/>
        </w:rPr>
        <w:t>较上期发生变化</w:t>
      </w:r>
    </w:p>
    <w:sdt>
      <w:sdtPr>
        <w:rPr>
          <w:rFonts w:hint="eastAsia"/>
          <w:szCs w:val="21"/>
        </w:rPr>
        <w:alias w:val="是否适用：前十名股东较上期发生变化[双击切换]"/>
        <w:tag w:val="_GBC_610830f75bf04d59a67019ded47646e5"/>
        <w:id w:val="26167"/>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bookmarkEnd w:id="135"/>
    <w:p>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6168"/>
        <w:placeholder>
          <w:docPart w:val="GBC22222222222222222222222222222"/>
        </w:placeholder>
      </w:sdtPr>
      <w:sdtEndPr>
        <w:rPr>
          <w:bCs/>
          <w:szCs w:val="21"/>
        </w:rPr>
      </w:sdtEndPr>
      <w:sdtContent>
        <w:p>
          <w:pPr>
            <w:rPr>
              <w:bCs/>
              <w:szCs w:val="21"/>
            </w:rPr>
          </w:pPr>
          <w:r>
            <w:rPr>
              <w:bCs/>
              <w:szCs w:val="21"/>
            </w:rPr>
            <w:fldChar w:fldCharType="begin"/>
          </w:r>
          <w:r>
            <w:rPr>
              <w:rFonts w:hint="eastAsia"/>
              <w:bCs/>
              <w:szCs w:val="21"/>
              <w:lang w:eastAsia="zh-CN"/>
            </w:rPr>
            <w:instrText xml:space="preserve">MACROBUTTON  SnrToggleCheckbox □适用 </w:instrText>
          </w:r>
          <w:r>
            <w:rPr>
              <w:bCs/>
              <w:szCs w:val="21"/>
            </w:rPr>
            <w:fldChar w:fldCharType="end"/>
          </w:r>
          <w:r>
            <w:rPr>
              <w:bCs/>
              <w:szCs w:val="21"/>
            </w:rPr>
            <w:fldChar w:fldCharType="begin"/>
          </w:r>
          <w:r>
            <w:rPr>
              <w:rFonts w:hint="eastAsia"/>
              <w:bCs/>
              <w:szCs w:val="21"/>
              <w:lang w:eastAsia="zh-CN"/>
            </w:rPr>
            <w:instrText xml:space="preserve"> MACROBUTTON  SnrToggleCheckbox √不适用 </w:instrText>
          </w:r>
          <w:r>
            <w:rPr>
              <w:bCs/>
              <w:szCs w:val="21"/>
            </w:rPr>
            <w:fldChar w:fldCharType="end"/>
          </w:r>
        </w:p>
      </w:sdtContent>
    </w:sdt>
    <w:p>
      <w:pPr>
        <w:outlineLvl w:val="9"/>
        <w:rPr>
          <w:bCs/>
          <w:szCs w:val="21"/>
        </w:rPr>
      </w:pPr>
    </w:p>
    <w:bookmarkEnd w:id="133"/>
    <w:p>
      <w:pPr>
        <w:pStyle w:val="4"/>
        <w:numPr>
          <w:ilvl w:val="1"/>
          <w:numId w:val="55"/>
        </w:numPr>
        <w:ind w:left="426" w:hanging="426"/>
        <w:rPr>
          <w:szCs w:val="21"/>
        </w:rPr>
      </w:pPr>
      <w:bookmarkStart w:id="136" w:name="_Hlk89352705"/>
      <w:bookmarkEnd w:id="136"/>
      <w:r>
        <w:rPr>
          <w:szCs w:val="21"/>
        </w:rPr>
        <w:t>战略投资者或一般法人因配售新股成为前10名股东</w:t>
      </w:r>
    </w:p>
    <w:sdt>
      <w:sdtPr>
        <w:alias w:val="是否适用：战略投资者或一般法人因配售新股成为前10名股东[双击切换]"/>
        <w:tag w:val="_GBC_f3c63aafb8134fdcbdeb39fd33c2cd8d"/>
        <w:id w:val="2616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3"/>
        <w:numPr>
          <w:ilvl w:val="0"/>
          <w:numId w:val="51"/>
        </w:numPr>
      </w:pPr>
      <w:r>
        <w:rPr>
          <w:rFonts w:hint="eastAsia"/>
        </w:rPr>
        <w:t>控股股东及实际控制人情况</w:t>
      </w:r>
    </w:p>
    <w:p>
      <w:pPr>
        <w:pStyle w:val="4"/>
        <w:numPr>
          <w:ilvl w:val="0"/>
          <w:numId w:val="56"/>
        </w:numPr>
      </w:pPr>
      <w:r>
        <w:t>控股股东情况</w:t>
      </w:r>
    </w:p>
    <w:p>
      <w:pPr>
        <w:pStyle w:val="5"/>
        <w:numPr>
          <w:ilvl w:val="0"/>
          <w:numId w:val="57"/>
        </w:numPr>
      </w:pPr>
      <w:r>
        <w:t>法人</w:t>
      </w:r>
    </w:p>
    <w:sdt>
      <w:sdtPr>
        <w:alias w:val="是否适用：法人_控股股东情况[双击切换]"/>
        <w:tag w:val="_GBC_eab2d7c8478645dbae996b49d203b0d9"/>
        <w:id w:val="2617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7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e1d45d230e0e4c06bc451af63b51d4e2"/>
            <w:id w:val="26171"/>
          </w:sdtPr>
          <w:sdtContent>
            <w:tc>
              <w:tcPr>
                <w:tcW w:w="2036" w:type="dxa"/>
              </w:tcPr>
              <w:p>
                <w:pPr>
                  <w:widowControl w:val="0"/>
                  <w:jc w:val="both"/>
                  <w:rPr>
                    <w:szCs w:val="21"/>
                  </w:rPr>
                </w:pPr>
                <w:r>
                  <w:rPr>
                    <w:rFonts w:hint="eastAsia"/>
                    <w:szCs w:val="21"/>
                  </w:rPr>
                  <w:t>名称</w:t>
                </w:r>
              </w:p>
            </w:tc>
          </w:sdtContent>
        </w:sdt>
        <w:tc>
          <w:tcPr>
            <w:tcW w:w="7013" w:type="dxa"/>
            <w:vAlign w:val="center"/>
          </w:tcPr>
          <w:sdt>
            <w:sdtPr>
              <w:rPr>
                <w:rFonts w:hint="eastAsia" w:ascii="Times New Roman" w:hAnsi="Times New Roman" w:cs="Times New Roman"/>
                <w:sz w:val="20"/>
                <w:szCs w:val="21"/>
              </w:rPr>
              <w:alias w:val="法人控股股东名称"/>
              <w:tag w:val="_GBC_b9697fb9b1e247b58382e6e5a1fdba0f"/>
              <w:id w:val="26172"/>
            </w:sdtPr>
            <w:sdtEndPr>
              <w:rPr>
                <w:rFonts w:hint="eastAsia" w:ascii="Times New Roman" w:hAnsi="Times New Roman" w:cs="Times New Roman"/>
                <w:sz w:val="20"/>
                <w:szCs w:val="21"/>
              </w:rPr>
            </w:sdtEndPr>
            <w:sdtContent>
              <w:p>
                <w:pPr>
                  <w:widowControl w:val="0"/>
                  <w:jc w:val="both"/>
                  <w:rPr>
                    <w:rFonts w:hint="eastAsia" w:ascii="Times New Roman" w:hAnsi="Times New Roman" w:cs="Times New Roman"/>
                    <w:sz w:val="20"/>
                    <w:szCs w:val="21"/>
                  </w:rPr>
                </w:pPr>
                <w:r>
                  <w:rPr>
                    <w:rFonts w:hint="eastAsia" w:ascii="Times New Roman" w:hAnsi="Times New Roman"/>
                    <w:szCs w:val="21"/>
                  </w:rPr>
                  <w:t>广西柳州市产业投资发展集团有限公司</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2036" w:type="dxa"/>
          </w:tcPr>
          <w:p>
            <w:pPr>
              <w:widowControl w:val="0"/>
              <w:jc w:val="both"/>
              <w:rPr>
                <w:szCs w:val="21"/>
              </w:rPr>
            </w:pPr>
            <w:r>
              <w:rPr>
                <w:rFonts w:hint="eastAsia"/>
                <w:szCs w:val="21"/>
              </w:rPr>
              <w:t>单位负责人或法定代表人</w:t>
            </w:r>
          </w:p>
        </w:tc>
        <w:tc>
          <w:tcPr>
            <w:tcW w:w="7013" w:type="dxa"/>
            <w:vAlign w:val="center"/>
          </w:tcPr>
          <w:p>
            <w:pPr>
              <w:widowControl w:val="0"/>
              <w:jc w:val="both"/>
              <w:rPr>
                <w:szCs w:val="21"/>
              </w:rPr>
            </w:pPr>
            <w:r>
              <w:rPr>
                <w:rFonts w:hint="eastAsia"/>
              </w:rPr>
              <w:t>周云祥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6" w:type="dxa"/>
          </w:tcPr>
          <w:p>
            <w:pPr>
              <w:widowControl w:val="0"/>
              <w:jc w:val="both"/>
              <w:rPr>
                <w:szCs w:val="21"/>
              </w:rPr>
            </w:pPr>
            <w:r>
              <w:rPr>
                <w:rFonts w:hint="eastAsia"/>
                <w:szCs w:val="21"/>
              </w:rPr>
              <w:t>成立日期</w:t>
            </w:r>
          </w:p>
        </w:tc>
        <w:tc>
          <w:tcPr>
            <w:tcW w:w="7013" w:type="dxa"/>
            <w:vAlign w:val="center"/>
          </w:tcPr>
          <w:p>
            <w:pPr>
              <w:widowControl w:val="0"/>
              <w:jc w:val="both"/>
              <w:rPr>
                <w:szCs w:val="21"/>
              </w:rPr>
            </w:pPr>
            <w:r>
              <w:rPr>
                <w:rFonts w:ascii="Times New Roman" w:hAnsi="Times New Roman" w:cs="Times New Roman"/>
              </w:rPr>
              <w:t>2009年8月28日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36" w:type="dxa"/>
            <w:vAlign w:val="center"/>
          </w:tcPr>
          <w:p>
            <w:pPr>
              <w:widowControl w:val="0"/>
              <w:jc w:val="left"/>
              <w:rPr>
                <w:szCs w:val="21"/>
              </w:rPr>
            </w:pPr>
            <w:r>
              <w:rPr>
                <w:rFonts w:hint="eastAsia"/>
                <w:szCs w:val="21"/>
              </w:rPr>
              <w:t>主要经营业务</w:t>
            </w:r>
          </w:p>
        </w:tc>
        <w:tc>
          <w:tcPr>
            <w:tcW w:w="7013" w:type="dxa"/>
            <w:vAlign w:val="center"/>
          </w:tcPr>
          <w:p>
            <w:pPr>
              <w:widowControl w:val="0"/>
              <w:jc w:val="both"/>
              <w:rPr>
                <w:szCs w:val="21"/>
              </w:rPr>
            </w:pPr>
            <w:r>
              <w:rPr>
                <w:rFonts w:hint="eastAsia"/>
              </w:rPr>
              <w:t>经营范围包含：许可项目：建设工程施工。（依法须经批准的项目，经相关部门批准后方可开展经营活动，具体经营项目以相关部门批准文件或许可证件为准）一般项目：以自有资金从事投资活动；企业总部管理；社会经济咨询服务；非居住房地产租赁；住房租赁；私募股权投资基金管理、创业投资基金管理服务（须在中国证券投资基金业协会完成登记备案后方可从事经营活动）；土地整治服务；园区管理服务；租赁服务（不含许可类租赁服务）；私募证券投资基金管理服务（须在中国证券投资基金业协会完成登记备案后方可从事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036" w:type="dxa"/>
          </w:tcPr>
          <w:p>
            <w:pPr>
              <w:widowControl w:val="0"/>
              <w:jc w:val="both"/>
              <w:rPr>
                <w:szCs w:val="21"/>
              </w:rPr>
            </w:pPr>
            <w:r>
              <w:rPr>
                <w:rFonts w:hint="eastAsia"/>
                <w:szCs w:val="21"/>
              </w:rPr>
              <w:t>报告期内控股和参股的其他境内外上市公司的股权情况</w:t>
            </w:r>
          </w:p>
        </w:tc>
        <w:tc>
          <w:tcPr>
            <w:tcW w:w="7013" w:type="dxa"/>
            <w:vAlign w:val="center"/>
          </w:tcPr>
          <w:p>
            <w:pPr>
              <w:widowControl w:val="0"/>
              <w:jc w:val="both"/>
              <w:rPr>
                <w:szCs w:val="21"/>
              </w:rPr>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36" w:type="dxa"/>
          </w:tcPr>
          <w:p>
            <w:pPr>
              <w:widowControl w:val="0"/>
              <w:jc w:val="both"/>
            </w:pPr>
            <w:r>
              <w:rPr>
                <w:rFonts w:hint="eastAsia"/>
              </w:rPr>
              <w:t>其他情况说明</w:t>
            </w:r>
          </w:p>
        </w:tc>
        <w:tc>
          <w:tcPr>
            <w:tcW w:w="7013" w:type="dxa"/>
            <w:vAlign w:val="center"/>
          </w:tcPr>
          <w:p>
            <w:pPr>
              <w:widowControl w:val="0"/>
              <w:jc w:val="both"/>
            </w:pPr>
            <w:r>
              <w:t>无</w:t>
            </w:r>
          </w:p>
        </w:tc>
      </w:tr>
    </w:tbl>
    <w:p/>
    <w:p>
      <w:pPr>
        <w:pStyle w:val="5"/>
        <w:numPr>
          <w:ilvl w:val="0"/>
          <w:numId w:val="57"/>
        </w:numPr>
      </w:pPr>
      <w:r>
        <w:t>自然人</w:t>
      </w:r>
    </w:p>
    <w:sdt>
      <w:sdtPr>
        <w:alias w:val="是否适用：自然人_控股股东情况[双击切换]"/>
        <w:tag w:val="_GBC_050e33c59070475b9b048117126cc6ba"/>
        <w:id w:val="2617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0"/>
          <w:numId w:val="57"/>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26174"/>
        <w:placeholder>
          <w:docPart w:val="GBC22222222222222222222222222222"/>
        </w:placeholder>
      </w:sdtPr>
      <w:sdtEndPr>
        <w:rPr>
          <w:rFonts w:hint="eastAsia"/>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5"/>
        <w:numPr>
          <w:ilvl w:val="0"/>
          <w:numId w:val="57"/>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26175"/>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5"/>
        <w:numPr>
          <w:ilvl w:val="0"/>
          <w:numId w:val="57"/>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26176"/>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26177"/>
        <w:placeholder>
          <w:docPart w:val="GBC22222222222222222222222222222"/>
        </w:placeholder>
        <w:picture/>
      </w:sdtPr>
      <w:sdtEndPr>
        <w:rPr>
          <w:rFonts w:hint="eastAsia"/>
          <w:szCs w:val="21"/>
        </w:rPr>
      </w:sdtEndPr>
      <w:sdtContent>
        <w:p>
          <w:pPr>
            <w:jc w:val="center"/>
            <w:rPr>
              <w:szCs w:val="21"/>
            </w:rPr>
          </w:pPr>
          <w:r>
            <w:rPr>
              <w:rFonts w:hint="eastAsia"/>
              <w:szCs w:val="21"/>
            </w:rPr>
            <w:drawing>
              <wp:inline distT="0" distB="0" distL="0" distR="0">
                <wp:extent cx="3771900" cy="2503170"/>
                <wp:effectExtent l="0" t="0" r="0" b="11430"/>
                <wp:docPr id="2" name="图片 1" descr="E:\2、年报\2023年报\控股股东关系图.png控股股东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2、年报\2023年报\控股股东关系图.png控股股东关系图"/>
                        <pic:cNvPicPr>
                          <a:picLocks noChangeAspect="1" noChangeArrowheads="1"/>
                        </pic:cNvPicPr>
                      </pic:nvPicPr>
                      <pic:blipFill>
                        <a:blip r:embed="rId7"/>
                        <a:srcRect/>
                        <a:stretch>
                          <a:fillRect/>
                        </a:stretch>
                      </pic:blipFill>
                      <pic:spPr>
                        <a:xfrm>
                          <a:off x="0" y="0"/>
                          <a:ext cx="3771900" cy="2503170"/>
                        </a:xfrm>
                        <a:prstGeom prst="rect">
                          <a:avLst/>
                        </a:prstGeom>
                        <a:noFill/>
                        <a:ln w="9525">
                          <a:noFill/>
                          <a:miter lim="800000"/>
                          <a:headEnd/>
                          <a:tailEnd/>
                        </a:ln>
                      </pic:spPr>
                    </pic:pic>
                  </a:graphicData>
                </a:graphic>
              </wp:inline>
            </w:drawing>
          </w:r>
        </w:p>
      </w:sdtContent>
    </w:sdt>
    <w:p>
      <w:pPr>
        <w:rPr>
          <w:szCs w:val="21"/>
        </w:rPr>
      </w:pPr>
    </w:p>
    <w:p>
      <w:pPr>
        <w:rPr>
          <w:szCs w:val="21"/>
        </w:rPr>
      </w:pPr>
    </w:p>
    <w:p>
      <w:pPr>
        <w:pStyle w:val="4"/>
        <w:numPr>
          <w:ilvl w:val="0"/>
          <w:numId w:val="56"/>
        </w:numPr>
      </w:pPr>
      <w:r>
        <w:rPr>
          <w:rFonts w:hint="eastAsia"/>
        </w:rPr>
        <w:t>实际控制人情况</w:t>
      </w:r>
    </w:p>
    <w:p>
      <w:pPr>
        <w:pStyle w:val="5"/>
        <w:numPr>
          <w:ilvl w:val="0"/>
          <w:numId w:val="58"/>
        </w:numPr>
      </w:pPr>
      <w:r>
        <w:rPr>
          <w:rFonts w:hint="eastAsia"/>
        </w:rPr>
        <w:t>法人</w:t>
      </w:r>
    </w:p>
    <w:sdt>
      <w:sdtPr>
        <w:alias w:val="是否适用：法人_实际控制人情况[双击切换]"/>
        <w:tag w:val="_GBC_6cb3195cd6c545489bd6151d0ee57d58"/>
        <w:id w:val="2617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sdt>
          <w:sdtPr>
            <w:tag w:val="_PLD_9fd7942883b74d698fa4ca37d86c3d17"/>
            <w:id w:val="26179"/>
          </w:sdtPr>
          <w:sdtContent>
            <w:tc>
              <w:tcPr>
                <w:tcW w:w="1881" w:type="pct"/>
              </w:tcPr>
              <w:p>
                <w:pPr>
                  <w:widowControl w:val="0"/>
                  <w:jc w:val="both"/>
                  <w:rPr>
                    <w:szCs w:val="21"/>
                  </w:rPr>
                </w:pPr>
                <w:r>
                  <w:rPr>
                    <w:szCs w:val="21"/>
                  </w:rPr>
                  <w:t>名称</w:t>
                </w:r>
              </w:p>
            </w:tc>
          </w:sdtContent>
        </w:sdt>
        <w:sdt>
          <w:sdtPr>
            <w:rPr>
              <w:rFonts w:hint="eastAsia" w:ascii="Times New Roman" w:hAnsi="Times New Roman"/>
              <w:szCs w:val="21"/>
            </w:rPr>
            <w:alias w:val="法人实际控制人名称"/>
            <w:tag w:val="_GBC_09078fe67bb948e3b338136f227f90f6"/>
            <w:id w:val="26180"/>
          </w:sdtPr>
          <w:sdtEndPr>
            <w:rPr>
              <w:rFonts w:hint="eastAsia" w:ascii="Times New Roman" w:hAnsi="Times New Roman"/>
              <w:szCs w:val="21"/>
            </w:rPr>
          </w:sdtEndPr>
          <w:sdtContent>
            <w:tc>
              <w:tcPr>
                <w:tcW w:w="3119" w:type="pct"/>
              </w:tcPr>
              <w:p>
                <w:pPr>
                  <w:widowControl w:val="0"/>
                  <w:jc w:val="both"/>
                  <w:rPr>
                    <w:szCs w:val="21"/>
                  </w:rPr>
                </w:pPr>
                <w:r>
                  <w:rPr>
                    <w:rFonts w:hint="eastAsia" w:ascii="Times New Roman" w:hAnsi="Times New Roman"/>
                    <w:color w:val="auto"/>
                    <w:szCs w:val="21"/>
                  </w:rPr>
                  <w:t>柳州市人民政府国有资产监督管理委员会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881" w:type="pct"/>
          </w:tcPr>
          <w:p>
            <w:pPr>
              <w:widowControl w:val="0"/>
              <w:jc w:val="both"/>
              <w:rPr>
                <w:rFonts w:hint="default" w:ascii="Times New Roman" w:hAnsi="Times New Roman" w:cs="Times New Roman"/>
              </w:rPr>
            </w:pPr>
            <w:r>
              <w:rPr>
                <w:rFonts w:hint="default" w:ascii="Times New Roman" w:hAnsi="Times New Roman" w:cs="Times New Roman"/>
              </w:rPr>
              <w:t>单位负责人或法定代表人</w:t>
            </w:r>
          </w:p>
        </w:tc>
        <w:tc>
          <w:tcPr>
            <w:tcW w:w="3119" w:type="pct"/>
          </w:tcPr>
          <w:p>
            <w:pPr>
              <w:widowControl w:val="0"/>
              <w:jc w:val="both"/>
              <w:rPr>
                <w:rFonts w:hint="default" w:ascii="Times New Roman" w:hAnsi="Times New Roman" w:cs="Times New Roman"/>
              </w:rPr>
            </w:pPr>
            <w:r>
              <w:rPr>
                <w:rFonts w:hint="default" w:ascii="Times New Roman" w:hAnsi="Times New Roman" w:cs="Times New Roman"/>
              </w:rPr>
              <w:t>于澄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1881" w:type="pct"/>
          </w:tcPr>
          <w:p>
            <w:pPr>
              <w:widowControl w:val="0"/>
              <w:jc w:val="both"/>
              <w:rPr>
                <w:szCs w:val="21"/>
              </w:rPr>
            </w:pPr>
            <w:r>
              <w:rPr>
                <w:szCs w:val="21"/>
              </w:rPr>
              <w:t>成立日期</w:t>
            </w:r>
          </w:p>
        </w:tc>
        <w:tc>
          <w:tcPr>
            <w:tcW w:w="3119" w:type="pct"/>
          </w:tcPr>
          <w:p>
            <w:pPr>
              <w:widowControl w:val="0"/>
              <w:jc w:val="both"/>
              <w:rPr>
                <w:szCs w:val="21"/>
              </w:rPr>
            </w:pPr>
            <w:r>
              <w:rPr>
                <w:rFonts w:hint="default" w:ascii="Times New Roman" w:hAnsi="Times New Roman" w:cs="Times New Roman"/>
              </w:rPr>
              <w:t>2004年10月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881" w:type="pct"/>
          </w:tcPr>
          <w:p>
            <w:pPr>
              <w:widowControl w:val="0"/>
              <w:jc w:val="both"/>
              <w:rPr>
                <w:szCs w:val="21"/>
              </w:rPr>
            </w:pPr>
            <w:r>
              <w:rPr>
                <w:szCs w:val="21"/>
              </w:rPr>
              <w:t>主要经营业务</w:t>
            </w:r>
          </w:p>
        </w:tc>
        <w:tc>
          <w:tcPr>
            <w:tcW w:w="3119" w:type="pct"/>
          </w:tcPr>
          <w:p>
            <w:pPr>
              <w:widowControl w:val="0"/>
              <w:jc w:val="both"/>
              <w:rPr>
                <w:szCs w:val="21"/>
              </w:rPr>
            </w:pPr>
            <w:r>
              <w:t>国有资产的监督和管理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trPr>
        <w:tc>
          <w:tcPr>
            <w:tcW w:w="1881" w:type="pct"/>
          </w:tcPr>
          <w:p>
            <w:pPr>
              <w:widowControl w:val="0"/>
              <w:jc w:val="both"/>
              <w:rPr>
                <w:szCs w:val="21"/>
              </w:rPr>
            </w:pPr>
            <w:r>
              <w:rPr>
                <w:szCs w:val="21"/>
              </w:rPr>
              <w:t>报告期内控股和参股的其他境内外上市公司的股权情况</w:t>
            </w:r>
          </w:p>
        </w:tc>
        <w:tc>
          <w:tcPr>
            <w:tcW w:w="3119" w:type="pct"/>
            <w:vAlign w:val="center"/>
          </w:tcPr>
          <w:p>
            <w:pPr>
              <w:widowControl w:val="0"/>
              <w:jc w:val="left"/>
              <w:rPr>
                <w:szCs w:val="21"/>
              </w:rPr>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881" w:type="pct"/>
          </w:tcPr>
          <w:p>
            <w:pPr>
              <w:widowControl w:val="0"/>
              <w:jc w:val="both"/>
              <w:rPr>
                <w:szCs w:val="21"/>
              </w:rPr>
            </w:pPr>
            <w:r>
              <w:rPr>
                <w:rFonts w:hint="eastAsia"/>
              </w:rPr>
              <w:t>其他情况说明</w:t>
            </w:r>
          </w:p>
        </w:tc>
        <w:tc>
          <w:tcPr>
            <w:tcW w:w="3119" w:type="pct"/>
          </w:tcPr>
          <w:p>
            <w:pPr>
              <w:widowControl w:val="0"/>
              <w:jc w:val="both"/>
              <w:rPr>
                <w:szCs w:val="21"/>
              </w:rPr>
            </w:pPr>
            <w:r>
              <w:t>无</w:t>
            </w:r>
          </w:p>
        </w:tc>
      </w:tr>
    </w:tbl>
    <w:p/>
    <w:p/>
    <w:p>
      <w:pPr>
        <w:pStyle w:val="5"/>
        <w:numPr>
          <w:ilvl w:val="0"/>
          <w:numId w:val="58"/>
        </w:numPr>
      </w:pPr>
      <w:r>
        <w:rPr>
          <w:rFonts w:hint="eastAsia"/>
        </w:rPr>
        <w:t>自然人</w:t>
      </w:r>
    </w:p>
    <w:sdt>
      <w:sdtPr>
        <w:alias w:val="是否适用：自然人_实际控制人情况[双击切换]"/>
        <w:tag w:val="_GBC_359229fa8cca4506ac3cec3de8b5e99b"/>
        <w:id w:val="26181"/>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5"/>
        <w:numPr>
          <w:ilvl w:val="0"/>
          <w:numId w:val="58"/>
        </w:numPr>
      </w:pPr>
      <w:r>
        <w:t>公司不存在实际控制人情况的特别说明</w:t>
      </w:r>
    </w:p>
    <w:sdt>
      <w:sdtPr>
        <w:rPr>
          <w:rFonts w:hint="eastAsia"/>
        </w:rPr>
        <w:alias w:val="是否适用：公司不存在实际控制人情况的特别说明[双击切换]"/>
        <w:tag w:val="_GBC_7380ff5e0fc6471583dc22db2252e039"/>
        <w:id w:val="26182"/>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5"/>
        <w:numPr>
          <w:ilvl w:val="0"/>
          <w:numId w:val="58"/>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26183"/>
        <w:placeholder>
          <w:docPart w:val="GBC22222222222222222222222222222"/>
        </w:placeholder>
      </w:sdtPr>
      <w:sdtEndPr>
        <w:rPr>
          <w:rFonts w:hint="eastAsia"/>
        </w:rPr>
      </w:sdtEnd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5"/>
        <w:numPr>
          <w:ilvl w:val="0"/>
          <w:numId w:val="58"/>
        </w:numPr>
      </w:pPr>
      <w:r>
        <w:t>公司与实际控制人之间的产权及控制关系的方框图</w:t>
      </w:r>
    </w:p>
    <w:sdt>
      <w:sdtPr>
        <w:alias w:val="是否适用：公司与实际控制人之间的产权及控制关系的方框图[双击切换]"/>
        <w:tag w:val="_GBC_8ddc5ba6a04141dc94582029460f81bd"/>
        <w:id w:val="26184"/>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jc w:val="center"/>
      </w:pPr>
      <w:sdt>
        <w:sdtPr>
          <w:rPr>
            <w:rFonts w:hint="eastAsia"/>
          </w:rPr>
          <w:alias w:val="图片：公司与实际控制人之间的产权及控制关系的方框图"/>
          <w:tag w:val="_GBC_538f0b25ae684717a3c8362262a5a004"/>
          <w:id w:val="26185"/>
          <w:placeholder>
            <w:docPart w:val="{200b9ad2-b452-4e0b-b62d-1ad7c720b803}"/>
          </w:placeholder>
          <w:picture/>
        </w:sdtPr>
        <w:sdtEndPr>
          <w:rPr>
            <w:rFonts w:hint="eastAsia"/>
          </w:rPr>
        </w:sdtEndPr>
        <w:sdtContent>
          <w:r>
            <w:rPr>
              <w:rFonts w:hint="eastAsia"/>
            </w:rPr>
            <w:drawing>
              <wp:inline distT="0" distB="0" distL="0" distR="0">
                <wp:extent cx="5537200" cy="2901950"/>
                <wp:effectExtent l="0" t="0" r="6350" b="12700"/>
                <wp:docPr id="4" name="图片 1" descr="E:\2、年报\2023年报\控制关系图2023.png控制关系图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2、年报\2023年报\控制关系图2023.png控制关系图2023"/>
                        <pic:cNvPicPr>
                          <a:picLocks noChangeAspect="1" noChangeArrowheads="1"/>
                        </pic:cNvPicPr>
                      </pic:nvPicPr>
                      <pic:blipFill>
                        <a:blip r:embed="rId8"/>
                        <a:srcRect/>
                        <a:stretch>
                          <a:fillRect/>
                        </a:stretch>
                      </pic:blipFill>
                      <pic:spPr>
                        <a:xfrm>
                          <a:off x="0" y="0"/>
                          <a:ext cx="5537200" cy="2901950"/>
                        </a:xfrm>
                        <a:prstGeom prst="rect">
                          <a:avLst/>
                        </a:prstGeom>
                        <a:noFill/>
                        <a:ln>
                          <a:noFill/>
                        </a:ln>
                      </pic:spPr>
                    </pic:pic>
                  </a:graphicData>
                </a:graphic>
              </wp:inline>
            </w:drawing>
          </w:r>
        </w:sdtContent>
      </w:sdt>
    </w:p>
    <w:p/>
    <w:p>
      <w:pPr>
        <w:pStyle w:val="5"/>
        <w:numPr>
          <w:ilvl w:val="0"/>
          <w:numId w:val="5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6186"/>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4"/>
        <w:numPr>
          <w:ilvl w:val="0"/>
          <w:numId w:val="56"/>
        </w:numPr>
      </w:pPr>
      <w:r>
        <w:t>控股股东及实际控制人其他情况介绍</w:t>
      </w:r>
    </w:p>
    <w:sdt>
      <w:sdtPr>
        <w:rPr>
          <w:rFonts w:hint="eastAsia"/>
        </w:rPr>
        <w:alias w:val="是否适用：控股股东及实际控制人其他情况介绍[双击切换]"/>
        <w:tag w:val="_GBC_f45ea2fa04e04b71a116fba6ba3bff32"/>
        <w:id w:val="26187"/>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3"/>
        <w:numPr>
          <w:ilvl w:val="0"/>
          <w:numId w:val="51"/>
        </w:numPr>
      </w:pPr>
      <w:bookmarkStart w:id="137" w:name="_Hlk89353035"/>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26188"/>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137"/>
    <w:p>
      <w:pPr>
        <w:pStyle w:val="3"/>
        <w:numPr>
          <w:ilvl w:val="0"/>
          <w:numId w:val="51"/>
        </w:numPr>
      </w:pPr>
      <w:r>
        <w:rPr>
          <w:rFonts w:hint="eastAsia"/>
        </w:rPr>
        <w:t>其他持股在百分之十以上的法人股东</w:t>
      </w:r>
    </w:p>
    <w:sdt>
      <w:sdtPr>
        <w:alias w:val="是否适用：其他持股在百分之十以上的法人股东[双击切换]"/>
        <w:tag w:val="_GBC_7c5d05f2d72d4d3c9ef6e9b93777b39f"/>
        <w:id w:val="2618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3"/>
        <w:numPr>
          <w:ilvl w:val="0"/>
          <w:numId w:val="51"/>
        </w:numPr>
      </w:pPr>
      <w:r>
        <w:rPr>
          <w:rFonts w:hint="eastAsia"/>
        </w:rPr>
        <w:t>股份限制减持情况说明</w:t>
      </w:r>
    </w:p>
    <w:p>
      <w:pPr>
        <w:ind w:firstLine="105" w:firstLineChars="50"/>
        <w:outlineLvl w:val="9"/>
      </w:pPr>
      <w:sdt>
        <w:sdtPr>
          <w:rPr>
            <w:rFonts w:hint="eastAsia"/>
          </w:rPr>
          <w:alias w:val="是否适用：股份限制减持情况说明[双击切换]"/>
          <w:tag w:val="_GBC_38db60098ddc4e12bffd328b521e0c35"/>
          <w:id w:val="26190"/>
          <w:placeholder>
            <w:docPart w:val="GBC22222222222222222222222222222"/>
          </w:placeholder>
        </w:sdtPr>
        <w:sdtEndPr>
          <w:rPr>
            <w:rFonts w:hint="default"/>
          </w:rPr>
        </w:sdtEnd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
      <w:pPr>
        <w:pStyle w:val="3"/>
        <w:numPr>
          <w:ilvl w:val="0"/>
          <w:numId w:val="51"/>
        </w:numPr>
      </w:pPr>
      <w:bookmarkStart w:id="138" w:name="_Hlk90042255"/>
      <w:bookmarkStart w:id="139" w:name="_Hlk89353439"/>
      <w:r>
        <w:rPr>
          <w:rFonts w:hint="eastAsia"/>
        </w:rPr>
        <w:t>股份回购在报告期的具体实施情况</w:t>
      </w:r>
    </w:p>
    <w:sdt>
      <w:sdtPr>
        <w:rPr>
          <w:rFonts w:hint="eastAsia"/>
        </w:rPr>
        <w:alias w:val="是否适用：股份回购在报告期的具体实施情况[双击切换]"/>
        <w:tag w:val="_GBC_382f884c74d74cfd9a74c18c52645b0e"/>
        <w:id w:val="26191"/>
        <w:placeholder>
          <w:docPart w:val="GBC22222222222222222222222222222"/>
        </w:placeholder>
      </w:sdtPr>
      <w:sdtEndPr>
        <w:rPr>
          <w:rFonts w:hint="eastAsia"/>
        </w:rPr>
      </w:sdtEndPr>
      <w:sdtContent>
        <w:p>
          <w:pPr>
            <w:pStyle w:val="87"/>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138"/>
    <w:bookmarkEnd w:id="139"/>
    <w:p/>
    <w:p>
      <w:pPr>
        <w:pStyle w:val="2"/>
        <w:numPr>
          <w:ilvl w:val="0"/>
          <w:numId w:val="2"/>
        </w:numPr>
      </w:pPr>
      <w:bookmarkStart w:id="140" w:name="_Toc437440714"/>
      <w:bookmarkStart w:id="141" w:name="_Toc409437608"/>
      <w:bookmarkStart w:id="142" w:name="_Toc89790255"/>
      <w:r>
        <w:rPr>
          <w:rFonts w:hint="eastAsia"/>
        </w:rPr>
        <w:t>优先股相关情况</w:t>
      </w:r>
      <w:bookmarkEnd w:id="140"/>
      <w:bookmarkEnd w:id="141"/>
      <w:bookmarkEnd w:id="142"/>
    </w:p>
    <w:sdt>
      <w:sdtPr>
        <w:rPr>
          <w:szCs w:val="21"/>
        </w:rPr>
        <w:alias w:val="是否适用：优先股相关情况[双击切换]"/>
        <w:tag w:val="_GBC_0076278996ac412e9bff14977615c2e3"/>
        <w:id w:val="26192"/>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Start w:id="143" w:name="_Toc342566003"/>
        </w:p>
      </w:sdtContent>
    </w:sdt>
    <w:p/>
    <w:bookmarkEnd w:id="143"/>
    <w:p>
      <w:pPr>
        <w:pStyle w:val="2"/>
        <w:numPr>
          <w:ilvl w:val="0"/>
          <w:numId w:val="2"/>
        </w:numPr>
        <w:rPr>
          <w:bCs w:val="0"/>
          <w:szCs w:val="28"/>
        </w:rPr>
      </w:pPr>
      <w:bookmarkStart w:id="144" w:name="_Toc89790256"/>
      <w:bookmarkStart w:id="145" w:name="_Toc437440717"/>
      <w:bookmarkStart w:id="146" w:name="_Hlk90555499"/>
      <w:r>
        <w:rPr>
          <w:rFonts w:hint="eastAsia"/>
          <w:bCs w:val="0"/>
          <w:szCs w:val="28"/>
        </w:rPr>
        <w:t>债券相关情况</w:t>
      </w:r>
      <w:bookmarkEnd w:id="144"/>
      <w:bookmarkEnd w:id="145"/>
    </w:p>
    <w:p>
      <w:pPr>
        <w:pStyle w:val="3"/>
        <w:numPr>
          <w:ilvl w:val="0"/>
          <w:numId w:val="59"/>
        </w:numPr>
        <w:ind w:left="425" w:hanging="425"/>
        <w:rPr>
          <w:rFonts w:ascii="宋体" w:hAnsi="宋体"/>
        </w:rPr>
      </w:pPr>
      <w:bookmarkStart w:id="147" w:name="_Hlk89353982"/>
      <w:bookmarkStart w:id="148" w:name="_Hlk89955979"/>
      <w:bookmarkStart w:id="149" w:name="_Hlk90042478"/>
      <w:r>
        <w:rPr>
          <w:rFonts w:hint="eastAsia" w:ascii="宋体" w:hAnsi="宋体"/>
        </w:rPr>
        <w:t>企业债券、公司债券和非金融企业债务融资工具</w:t>
      </w:r>
    </w:p>
    <w:sdt>
      <w:sdtPr>
        <w:rPr>
          <w:szCs w:val="21"/>
        </w:rPr>
        <w:alias w:val="是否适用：债券相关情况[双击切换]"/>
        <w:tag w:val="_GBC_804ac0b5f8c94edbbb148299204e0a43"/>
        <w:id w:val="26193"/>
        <w:placeholder>
          <w:docPart w:val="GBC22222222222222222222222222222"/>
        </w:placeholder>
      </w:sdtPr>
      <w:sdtEndPr>
        <w:rPr>
          <w:szCs w:val="21"/>
        </w:rPr>
      </w:sdtEndPr>
      <w:sdtContent>
        <w:p>
          <w:pPr>
            <w:rPr>
              <w:szCs w:val="21"/>
            </w:rPr>
          </w:pPr>
          <w:bookmarkStart w:id="150" w:name="_Hlk73352152"/>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End w:id="147"/>
          <w:bookmarkEnd w:id="150"/>
        </w:p>
      </w:sdtContent>
    </w:sdt>
    <w:p>
      <w:pPr>
        <w:outlineLvl w:val="9"/>
        <w:rPr>
          <w:szCs w:val="21"/>
        </w:rPr>
      </w:pPr>
    </w:p>
    <w:bookmarkEnd w:id="148"/>
    <w:p>
      <w:pPr>
        <w:pStyle w:val="3"/>
        <w:numPr>
          <w:ilvl w:val="0"/>
          <w:numId w:val="59"/>
        </w:numPr>
        <w:ind w:left="425" w:hanging="425"/>
        <w:rPr>
          <w:rFonts w:ascii="宋体" w:hAnsi="宋体"/>
        </w:rPr>
      </w:pPr>
      <w:r>
        <w:rPr>
          <w:rFonts w:hint="eastAsia" w:ascii="宋体" w:hAnsi="宋体"/>
        </w:rPr>
        <w:t>可转换公司债券情况</w:t>
      </w:r>
    </w:p>
    <w:sdt>
      <w:sdtPr>
        <w:rPr>
          <w:rFonts w:hint="eastAsia"/>
        </w:rPr>
        <w:alias w:val="是否适用：可转换公司债券情况[双击切换]"/>
        <w:tag w:val="_GBC_9680c57d3e6a4ee9b01aefbd4b8545db"/>
        <w:id w:val="26194"/>
        <w:placeholder>
          <w:docPart w:val="GBC22222222222222222222222222222"/>
        </w:placeholder>
      </w:sdtPr>
      <w:sdtEndPr>
        <w:rPr>
          <w:rFonts w:hint="eastAsia"/>
        </w:rPr>
      </w:sdtEnd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line="360" w:lineRule="exact"/>
        <w:ind w:right="5"/>
      </w:pPr>
    </w:p>
    <w:bookmarkEnd w:id="146"/>
    <w:bookmarkEnd w:id="149"/>
    <w:p>
      <w:pPr>
        <w:spacing w:line="360" w:lineRule="exact"/>
        <w:ind w:right="5"/>
      </w:pPr>
    </w:p>
    <w:p>
      <w:pPr>
        <w:pStyle w:val="2"/>
        <w:numPr>
          <w:ilvl w:val="0"/>
          <w:numId w:val="2"/>
        </w:numPr>
        <w:rPr>
          <w:bCs w:val="0"/>
          <w:szCs w:val="28"/>
        </w:rPr>
      </w:pPr>
      <w:bookmarkStart w:id="151" w:name="_Toc89790257"/>
      <w:bookmarkStart w:id="152" w:name="_Toc407111364"/>
      <w:r>
        <w:rPr>
          <w:bCs w:val="0"/>
          <w:szCs w:val="28"/>
        </w:rPr>
        <w:t>财务报告</w:t>
      </w:r>
      <w:bookmarkEnd w:id="151"/>
      <w:bookmarkEnd w:id="152"/>
    </w:p>
    <w:p>
      <w:pPr>
        <w:pStyle w:val="3"/>
        <w:numPr>
          <w:ilvl w:val="0"/>
          <w:numId w:val="60"/>
        </w:numPr>
        <w:rPr>
          <w:rFonts w:ascii="宋体" w:hAnsi="宋体"/>
        </w:rPr>
      </w:pPr>
      <w:r>
        <w:rPr>
          <w:rFonts w:hint="eastAsia"/>
        </w:rPr>
        <w:t>审计</w:t>
      </w:r>
      <w:r>
        <w:rPr>
          <w:rFonts w:hint="eastAsia" w:ascii="宋体" w:hAnsi="宋体"/>
        </w:rPr>
        <w:t>报告</w:t>
      </w:r>
    </w:p>
    <w:sdt>
      <w:sdtPr>
        <w:alias w:val="是否适用：审计报告[双击切换]"/>
        <w:tag w:val="_GBC_8a37b9861aa34a8d89cae86ad0133ffb"/>
        <w:id w:val="26195"/>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26196"/>
        <w:placeholder>
          <w:docPart w:val="GBC22222222222222222222222222222"/>
        </w:placeholder>
      </w:sdtPr>
      <w:sdtEndPr>
        <w:rPr>
          <w:rFonts w:hint="eastAsia"/>
        </w:rPr>
      </w:sdtEndPr>
      <w:sdtContent>
        <w:p>
          <w:pPr>
            <w:widowControl w:val="0"/>
            <w:spacing w:line="400" w:lineRule="exact"/>
            <w:ind w:firstLine="420" w:firstLineChars="200"/>
            <w:jc w:val="center"/>
            <w:rPr>
              <w:rFonts w:ascii="宋体" w:hAnsi="宋体" w:eastAsia="宋体" w:cs="Times New Roman"/>
              <w:i/>
              <w:iCs/>
              <w:kern w:val="2"/>
              <w:sz w:val="24"/>
            </w:rPr>
          </w:pPr>
          <w:r>
            <w:rPr>
              <w:rFonts w:ascii="Arial" w:hAnsi="Arial" w:cs="Arial"/>
              <w:b/>
              <w:kern w:val="2"/>
              <w:sz w:val="28"/>
              <w:szCs w:val="28"/>
            </w:rPr>
            <w:t xml:space="preserve">审 计 报 </w:t>
          </w:r>
          <w:bookmarkStart w:id="374" w:name="_GoBack"/>
          <w:bookmarkEnd w:id="374"/>
          <w:r>
            <w:rPr>
              <w:rFonts w:ascii="Arial" w:hAnsi="Arial" w:cs="Arial"/>
              <w:b/>
              <w:kern w:val="2"/>
              <w:sz w:val="28"/>
              <w:szCs w:val="28"/>
            </w:rPr>
            <w:t>告</w:t>
          </w:r>
        </w:p>
        <w:p>
          <w:pPr>
            <w:widowControl w:val="0"/>
            <w:adjustRightInd w:val="0"/>
            <w:snapToGrid w:val="0"/>
            <w:spacing w:line="380" w:lineRule="atLeast"/>
            <w:jc w:val="right"/>
            <w:rPr>
              <w:rFonts w:ascii="Arial" w:hAnsi="Arial" w:eastAsia="宋体" w:cs="Arial"/>
              <w:b/>
              <w:bCs/>
              <w:kern w:val="2"/>
              <w:sz w:val="24"/>
              <w:szCs w:val="24"/>
              <w:lang w:val="en-US"/>
            </w:rPr>
          </w:pPr>
          <w:r>
            <w:rPr>
              <w:rFonts w:hint="eastAsia" w:ascii="Arial" w:hAnsi="Arial" w:eastAsia="宋体" w:cs="Arial"/>
              <w:b/>
              <w:bCs/>
              <w:kern w:val="2"/>
              <w:sz w:val="24"/>
              <w:szCs w:val="24"/>
              <w:lang w:val="en-US"/>
            </w:rPr>
            <w:t>中喜特审2024S00355号</w:t>
          </w:r>
        </w:p>
        <w:p>
          <w:pPr>
            <w:widowControl w:val="0"/>
            <w:adjustRightInd w:val="0"/>
            <w:snapToGrid w:val="0"/>
            <w:spacing w:line="380" w:lineRule="atLeast"/>
            <w:ind w:right="25" w:rightChars="12"/>
            <w:jc w:val="both"/>
            <w:rPr>
              <w:rFonts w:ascii="Arial" w:hAnsi="Arial" w:eastAsia="宋体" w:cs="Arial"/>
              <w:sz w:val="21"/>
              <w:szCs w:val="21"/>
              <w:lang w:val="en-GB"/>
            </w:rPr>
          </w:pPr>
          <w:r>
            <w:rPr>
              <w:rFonts w:hint="eastAsia" w:ascii="Arial" w:hAnsi="Arial" w:eastAsia="宋体" w:cs="Arial"/>
              <w:b/>
              <w:sz w:val="21"/>
              <w:szCs w:val="21"/>
              <w:lang w:val="en-GB"/>
            </w:rPr>
            <w:t>柳州两面针股份有限公司</w:t>
          </w:r>
          <w:r>
            <w:rPr>
              <w:rFonts w:ascii="Arial" w:hAnsi="Arial" w:eastAsia="宋体" w:cs="Arial"/>
              <w:b/>
              <w:sz w:val="21"/>
              <w:szCs w:val="21"/>
              <w:lang w:val="en-GB"/>
            </w:rPr>
            <w:t>全体股东：</w:t>
          </w:r>
        </w:p>
        <w:p>
          <w:pPr>
            <w:adjustRightInd w:val="0"/>
            <w:snapToGrid w:val="0"/>
            <w:spacing w:line="480" w:lineRule="exact"/>
            <w:ind w:firstLine="422" w:firstLineChars="200"/>
            <w:jc w:val="both"/>
            <w:outlineLvl w:val="0"/>
            <w:rPr>
              <w:rFonts w:ascii="Arial" w:hAnsi="Arial" w:eastAsia="宋体" w:cs="Arial"/>
              <w:b/>
              <w:sz w:val="21"/>
              <w:szCs w:val="21"/>
              <w:lang w:val="en-GB"/>
            </w:rPr>
          </w:pPr>
          <w:r>
            <w:rPr>
              <w:rFonts w:ascii="Arial" w:hAnsi="Arial" w:eastAsia="宋体" w:cs="Arial"/>
              <w:b/>
              <w:sz w:val="21"/>
              <w:szCs w:val="21"/>
              <w:lang w:val="en-GB"/>
            </w:rPr>
            <w:t>一、审计意见</w:t>
          </w:r>
        </w:p>
        <w:p>
          <w:pPr>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我们审计了后附的</w:t>
          </w:r>
          <w:r>
            <w:rPr>
              <w:rFonts w:hint="eastAsia" w:ascii="Arial" w:hAnsi="Arial" w:eastAsia="宋体" w:cs="Arial"/>
              <w:kern w:val="28"/>
              <w:sz w:val="21"/>
              <w:szCs w:val="21"/>
              <w:lang w:val="en-GB"/>
            </w:rPr>
            <w:t>柳州两面针股份有限公司</w:t>
          </w:r>
          <w:r>
            <w:rPr>
              <w:rFonts w:ascii="Arial" w:hAnsi="Arial" w:eastAsia="宋体" w:cs="Arial"/>
              <w:kern w:val="28"/>
              <w:sz w:val="21"/>
              <w:szCs w:val="21"/>
              <w:lang w:val="en-GB"/>
            </w:rPr>
            <w:t>（以下简称“</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公司”）财务报表，包括2023年12月31日的合并及母公司资产负债表，2023年度的合并及母公司利润表、合并及母公司现金流量表、合并及母公司股东权益变动表以及相关财务报表附注。</w:t>
          </w:r>
        </w:p>
        <w:p>
          <w:pPr>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我们认为，后附的财务报表在所有重大方面按照企业会计准则的规定编制，公允反映了</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公司2023年12月31日合并及母公司的财务状况以及2023年度的合并及母公司经营成果和现金流量。</w:t>
          </w:r>
        </w:p>
        <w:p>
          <w:pPr>
            <w:adjustRightInd w:val="0"/>
            <w:snapToGrid w:val="0"/>
            <w:spacing w:line="480" w:lineRule="exact"/>
            <w:ind w:firstLine="422" w:firstLineChars="200"/>
            <w:jc w:val="both"/>
            <w:outlineLvl w:val="0"/>
            <w:rPr>
              <w:rFonts w:ascii="Arial" w:hAnsi="Arial" w:eastAsia="宋体" w:cs="Arial"/>
              <w:b/>
              <w:sz w:val="21"/>
              <w:szCs w:val="21"/>
              <w:lang w:val="en-GB"/>
            </w:rPr>
          </w:pPr>
          <w:r>
            <w:rPr>
              <w:rFonts w:ascii="Arial" w:hAnsi="Arial" w:eastAsia="宋体" w:cs="Arial"/>
              <w:b/>
              <w:sz w:val="21"/>
              <w:szCs w:val="21"/>
              <w:lang w:val="en-GB"/>
            </w:rPr>
            <w:t>二、形成审计意见的基础</w:t>
          </w:r>
        </w:p>
        <w:p>
          <w:pPr>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我们按照中国注册会计师审计准则的规定执行了审计工作。审计报告的“注册会计师对财务报表审计的责任”部分进一步阐述了我们在这些准则下的责任。按照中国注册会计师职业道德守则，我们独立于</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公司，并履行了职业道德方面的其他责任。我们相信，我们获取的审计证据是充分、适当的，为发表审计意见提供了基础。</w:t>
          </w:r>
        </w:p>
        <w:p>
          <w:pPr>
            <w:adjustRightInd w:val="0"/>
            <w:snapToGrid w:val="0"/>
            <w:spacing w:line="480" w:lineRule="exact"/>
            <w:ind w:firstLine="422" w:firstLineChars="200"/>
            <w:jc w:val="both"/>
            <w:outlineLvl w:val="0"/>
            <w:rPr>
              <w:rFonts w:ascii="Arial" w:hAnsi="Arial" w:eastAsia="宋体" w:cs="Arial"/>
              <w:b/>
              <w:sz w:val="21"/>
              <w:szCs w:val="21"/>
              <w:lang w:val="en-GB"/>
            </w:rPr>
          </w:pPr>
          <w:r>
            <w:rPr>
              <w:rFonts w:ascii="Arial" w:hAnsi="Arial" w:eastAsia="宋体" w:cs="Arial"/>
              <w:b/>
              <w:sz w:val="21"/>
              <w:szCs w:val="21"/>
              <w:lang w:val="en-GB"/>
            </w:rPr>
            <w:t>三、关键审计事项</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关键审计事项是根据我们的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pPr>
            <w:widowControl w:val="0"/>
            <w:adjustRightInd w:val="0"/>
            <w:snapToGrid w:val="0"/>
            <w:spacing w:line="480" w:lineRule="exact"/>
            <w:ind w:right="27" w:rightChars="13" w:firstLine="422" w:firstLineChars="200"/>
            <w:jc w:val="both"/>
            <w:rPr>
              <w:rFonts w:ascii="Arial" w:hAnsi="Arial" w:eastAsia="宋体" w:cs="Arial"/>
              <w:b/>
              <w:kern w:val="28"/>
              <w:sz w:val="21"/>
              <w:szCs w:val="21"/>
              <w:lang w:val="en-GB"/>
            </w:rPr>
          </w:pPr>
          <w:r>
            <w:rPr>
              <w:rFonts w:ascii="Arial" w:hAnsi="Arial" w:eastAsia="宋体" w:cs="Arial"/>
              <w:b/>
              <w:kern w:val="28"/>
              <w:sz w:val="21"/>
              <w:szCs w:val="21"/>
              <w:lang w:val="en-GB"/>
            </w:rPr>
            <w:t>收入确认</w:t>
          </w:r>
        </w:p>
        <w:p>
          <w:pPr>
            <w:widowControl w:val="0"/>
            <w:adjustRightInd w:val="0"/>
            <w:snapToGrid w:val="0"/>
            <w:spacing w:line="455"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1、事项描述</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hint="eastAsia" w:ascii="Arial" w:hAnsi="Arial" w:eastAsia="宋体" w:cs="Arial"/>
              <w:sz w:val="21"/>
              <w:szCs w:val="21"/>
              <w:lang w:val="en-GB"/>
            </w:rPr>
            <w:t>由于收入是两面针公司的关键业绩指标之一，收入确认存在重大错报的固有风险，因此，我们将收入确认识别为关键审计事项</w:t>
          </w:r>
          <w:r>
            <w:rPr>
              <w:rFonts w:ascii="Arial" w:hAnsi="Arial" w:eastAsia="宋体" w:cs="Arial"/>
              <w:sz w:val="21"/>
              <w:szCs w:val="21"/>
              <w:lang w:val="en-GB"/>
            </w:rPr>
            <w:t>。</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 xml:space="preserve">2、审计应对 </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hint="eastAsia" w:ascii="Arial" w:hAnsi="Arial" w:eastAsia="宋体" w:cs="Arial"/>
              <w:sz w:val="21"/>
              <w:szCs w:val="21"/>
              <w:lang w:val="en-GB"/>
            </w:rPr>
            <w:t>针对两面针公司收入确认，我们执行了以下主要程序</w:t>
          </w:r>
          <w:r>
            <w:rPr>
              <w:rFonts w:ascii="Arial" w:hAnsi="Arial" w:eastAsia="宋体" w:cs="Arial"/>
              <w:sz w:val="21"/>
              <w:szCs w:val="21"/>
              <w:lang w:val="en-GB"/>
            </w:rPr>
            <w:t xml:space="preserve">： </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（1）</w:t>
          </w:r>
          <w:r>
            <w:rPr>
              <w:rFonts w:hint="eastAsia" w:ascii="Arial" w:hAnsi="Arial" w:eastAsia="宋体" w:cs="Arial"/>
              <w:sz w:val="21"/>
              <w:szCs w:val="21"/>
              <w:lang w:val="en-GB"/>
            </w:rPr>
            <w:t>了解和评价管理层与收入确认相关的内部控制的设计，并对相关内部控制的有效性进行了测试</w:t>
          </w:r>
          <w:r>
            <w:rPr>
              <w:rFonts w:ascii="Arial" w:hAnsi="Arial" w:eastAsia="宋体" w:cs="Arial"/>
              <w:sz w:val="21"/>
              <w:szCs w:val="21"/>
              <w:lang w:val="en-GB"/>
            </w:rPr>
            <w:t>；</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（2）</w:t>
          </w:r>
          <w:r>
            <w:rPr>
              <w:rFonts w:hint="eastAsia" w:ascii="Arial" w:hAnsi="Arial" w:eastAsia="宋体" w:cs="Arial"/>
              <w:sz w:val="21"/>
              <w:szCs w:val="21"/>
              <w:lang w:val="en-GB"/>
            </w:rPr>
            <w:t>检查公司主要的销售合同，识别与收入确认相关的关键合同条款及履约义务，评价公司收入确认政策是否符合企业会计准则的要求</w:t>
          </w:r>
          <w:r>
            <w:rPr>
              <w:rFonts w:ascii="Arial" w:hAnsi="Arial" w:eastAsia="宋体" w:cs="Arial"/>
              <w:sz w:val="21"/>
              <w:szCs w:val="21"/>
              <w:lang w:val="en-GB"/>
            </w:rPr>
            <w:t>；</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（3）</w:t>
          </w:r>
          <w:r>
            <w:rPr>
              <w:rFonts w:hint="eastAsia" w:ascii="Arial" w:hAnsi="Arial" w:eastAsia="宋体" w:cs="Arial"/>
              <w:sz w:val="21"/>
              <w:szCs w:val="21"/>
              <w:lang w:val="en-GB"/>
            </w:rPr>
            <w:t>对营业收入实施分析程序，判断本期收入、毛利率变动的合理性</w:t>
          </w:r>
          <w:r>
            <w:rPr>
              <w:rFonts w:ascii="Arial" w:hAnsi="Arial" w:eastAsia="宋体" w:cs="Arial"/>
              <w:sz w:val="21"/>
              <w:szCs w:val="21"/>
              <w:lang w:val="en-GB"/>
            </w:rPr>
            <w:t>；</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（4）</w:t>
          </w:r>
          <w:r>
            <w:rPr>
              <w:rFonts w:hint="eastAsia" w:ascii="Arial" w:hAnsi="Arial" w:eastAsia="宋体" w:cs="Arial"/>
              <w:sz w:val="21"/>
              <w:szCs w:val="21"/>
              <w:lang w:val="en-GB"/>
            </w:rPr>
            <w:t>抽样检查年度销售协议、销售合同、出库单、发票、签收单或结算单等支持性文件与相应的会计记录，验证收入确认金额是否正确</w:t>
          </w:r>
          <w:r>
            <w:rPr>
              <w:rFonts w:ascii="Arial" w:hAnsi="Arial" w:eastAsia="宋体" w:cs="Arial"/>
              <w:sz w:val="21"/>
              <w:szCs w:val="21"/>
              <w:lang w:val="en-GB"/>
            </w:rPr>
            <w:t>；</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（5）</w:t>
          </w:r>
          <w:r>
            <w:rPr>
              <w:rFonts w:hint="eastAsia" w:ascii="Arial" w:hAnsi="Arial" w:eastAsia="宋体" w:cs="Arial"/>
              <w:sz w:val="21"/>
              <w:szCs w:val="21"/>
              <w:lang w:val="en-GB"/>
            </w:rPr>
            <w:t>根据收入交易的类别及重要性，选取样本对销售额及应收账款实施函证程序</w:t>
          </w:r>
          <w:r>
            <w:rPr>
              <w:rFonts w:ascii="Arial" w:hAnsi="Arial" w:eastAsia="宋体" w:cs="Arial"/>
              <w:sz w:val="21"/>
              <w:szCs w:val="21"/>
              <w:lang w:val="en-GB"/>
            </w:rPr>
            <w:t>；</w:t>
          </w:r>
        </w:p>
        <w:p>
          <w:pPr>
            <w:widowControl w:val="0"/>
            <w:adjustRightInd w:val="0"/>
            <w:snapToGrid w:val="0"/>
            <w:spacing w:line="455" w:lineRule="exact"/>
            <w:ind w:right="27" w:rightChars="13" w:firstLine="420" w:firstLineChars="200"/>
            <w:jc w:val="both"/>
            <w:rPr>
              <w:rFonts w:ascii="Arial" w:hAnsi="Arial" w:eastAsia="宋体" w:cs="Arial"/>
              <w:sz w:val="21"/>
              <w:szCs w:val="21"/>
              <w:lang w:val="en-GB"/>
            </w:rPr>
          </w:pPr>
          <w:r>
            <w:rPr>
              <w:rFonts w:ascii="Arial" w:hAnsi="Arial" w:eastAsia="宋体" w:cs="Arial"/>
              <w:sz w:val="21"/>
              <w:szCs w:val="21"/>
              <w:lang w:val="en-GB"/>
            </w:rPr>
            <w:t>（6）</w:t>
          </w:r>
          <w:r>
            <w:rPr>
              <w:rFonts w:hint="eastAsia" w:ascii="Arial" w:hAnsi="Arial" w:eastAsia="宋体" w:cs="Arial"/>
              <w:sz w:val="21"/>
              <w:szCs w:val="21"/>
              <w:lang w:val="en-GB"/>
            </w:rPr>
            <w:t>就资产负债表日前后记录的收入交易，选取样本，核对发货单及其他支持性文件，以评价收入是否被记录于恰当的会计期间。</w:t>
          </w:r>
        </w:p>
        <w:p>
          <w:pPr>
            <w:adjustRightInd w:val="0"/>
            <w:snapToGrid w:val="0"/>
            <w:spacing w:line="450" w:lineRule="atLeast"/>
            <w:ind w:firstLine="422" w:firstLineChars="200"/>
            <w:jc w:val="both"/>
            <w:outlineLvl w:val="0"/>
            <w:rPr>
              <w:rFonts w:ascii="Arial" w:hAnsi="Arial" w:eastAsia="宋体" w:cs="Arial"/>
              <w:b/>
              <w:sz w:val="21"/>
              <w:szCs w:val="21"/>
              <w:lang w:val="en-GB"/>
            </w:rPr>
          </w:pPr>
          <w:r>
            <w:rPr>
              <w:rFonts w:ascii="Arial" w:hAnsi="Arial" w:eastAsia="宋体" w:cs="Arial"/>
              <w:b/>
              <w:sz w:val="21"/>
              <w:szCs w:val="21"/>
              <w:lang w:val="en-GB"/>
            </w:rPr>
            <w:t>四、其他信息</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公司管理层（以下简称管理层）对其他信息负责。其他信息包括2023年年度报告中涵盖的信息，但不包括财务报表和我们的审计报告。</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我们对财务报表发表的审计意见不涵盖其他信息，我们也不对其他信息发表任何形式的鉴证结论。</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结合我们对财务报表的审计，我们的责任是阅读其他信息，在此过程中，考虑其他信息是否与财务报表或我们在审计过程中了解到的情况存在重大不一致或者似乎存在重大错报。</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基于我们已执行的工作，如果我们确定其他信息存在重大错报，我们应当报告该事实。在这方面，我们无任何事项需要报告。</w:t>
          </w:r>
        </w:p>
        <w:p>
          <w:pPr>
            <w:adjustRightInd w:val="0"/>
            <w:snapToGrid w:val="0"/>
            <w:spacing w:line="450" w:lineRule="atLeast"/>
            <w:ind w:firstLine="422" w:firstLineChars="200"/>
            <w:jc w:val="both"/>
            <w:outlineLvl w:val="0"/>
            <w:rPr>
              <w:rFonts w:ascii="Arial" w:hAnsi="Arial" w:eastAsia="宋体" w:cs="Arial"/>
              <w:b/>
              <w:sz w:val="21"/>
              <w:szCs w:val="21"/>
              <w:lang w:val="en-GB"/>
            </w:rPr>
          </w:pPr>
          <w:r>
            <w:rPr>
              <w:rFonts w:ascii="Arial" w:hAnsi="Arial" w:eastAsia="宋体" w:cs="Arial"/>
              <w:b/>
              <w:sz w:val="21"/>
              <w:szCs w:val="21"/>
              <w:lang w:val="en-GB"/>
            </w:rPr>
            <w:t>五、管理层和治理层对财务报表的责任</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管理层负责按照企业会计准则的规定编制财务报表，使其实现公允反映，并设计、执行和维护必要的内部控制，以使财务报表不存在由于舞弊或错误导致的重大错报。</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在编制财务报表时，管理层负责评估</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公司的持续经营能力，披露与持续经营相关的事项（如适用），并运用持续经营假设，除非管理层计划清算</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公司、终止运营或别无其他现实的选择。</w:t>
          </w:r>
        </w:p>
        <w:p>
          <w:pPr>
            <w:widowControl w:val="0"/>
            <w:adjustRightInd w:val="0"/>
            <w:snapToGrid w:val="0"/>
            <w:spacing w:line="450" w:lineRule="atLeas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治理层负责监督</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公司的财务报告过程。</w:t>
          </w:r>
        </w:p>
        <w:p>
          <w:pPr>
            <w:widowControl w:val="0"/>
            <w:adjustRightInd w:val="0"/>
            <w:snapToGrid w:val="0"/>
            <w:spacing w:line="480" w:lineRule="exact"/>
            <w:ind w:right="27" w:rightChars="13" w:firstLine="422" w:firstLineChars="200"/>
            <w:jc w:val="both"/>
            <w:rPr>
              <w:rFonts w:ascii="Arial" w:hAnsi="Arial" w:eastAsia="宋体" w:cs="Arial"/>
              <w:b/>
              <w:sz w:val="21"/>
              <w:szCs w:val="21"/>
              <w:lang w:val="en-GB"/>
            </w:rPr>
          </w:pPr>
          <w:r>
            <w:rPr>
              <w:rFonts w:ascii="Arial" w:hAnsi="Arial" w:eastAsia="宋体" w:cs="Arial"/>
              <w:b/>
              <w:sz w:val="21"/>
              <w:szCs w:val="21"/>
              <w:lang w:val="en-GB"/>
            </w:rPr>
            <w:t>六、注册会计师对财务报表审计的责任</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合并财务报表作出的经济决策，则通常认为错报是重大的。在按照审计准则执行审计工作的过程中，我们运用职业判断，并保持职业怀疑。同时，我们也执行以下工作：</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（二）了解与审计相关的内部控制，以设计恰当的审计程序。</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（三）评价管理层选用会计政策的恰当性和作出会计估计及相关披露的合理性。</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（四）对管理层使用持续经营假设的恰当性得出结论。同时，根据获取的审计证据，就可能导致对</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持续经营能力产生重大疑虑的事项或情况是否存在重大不确定性得出结论。如果我们得出结论认为存在重大不确定性，审计准则要求我们在审计报告中提请报表使用者注意合并财务报表中的相关披露；如果披露不充分，我们应当发表非无保留意见。我们的结论基于截至审计报告日可获得的信息。然而，未来的事项或情况可能导致</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公司不能持续经营。</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（五）评价财务报表的总体列报、结构和内容（包括披露），并评价财务报表</w:t>
          </w:r>
        </w:p>
        <w:p>
          <w:pPr>
            <w:widowControl w:val="0"/>
            <w:adjustRightInd w:val="0"/>
            <w:snapToGrid w:val="0"/>
            <w:spacing w:line="480" w:lineRule="exact"/>
            <w:ind w:right="27" w:rightChars="13"/>
            <w:jc w:val="both"/>
            <w:rPr>
              <w:rFonts w:ascii="Arial" w:hAnsi="Arial" w:eastAsia="宋体" w:cs="Arial"/>
              <w:kern w:val="28"/>
              <w:sz w:val="21"/>
              <w:szCs w:val="21"/>
              <w:lang w:val="en-GB"/>
            </w:rPr>
          </w:pPr>
          <w:r>
            <w:rPr>
              <w:rFonts w:ascii="Arial" w:hAnsi="Arial" w:eastAsia="宋体" w:cs="Arial"/>
              <w:kern w:val="28"/>
              <w:sz w:val="21"/>
              <w:szCs w:val="21"/>
              <w:lang w:val="en-GB"/>
            </w:rPr>
            <w:t>是否公允反映相关交易和事项。</w:t>
          </w: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（六）就</w:t>
          </w:r>
          <w:r>
            <w:rPr>
              <w:rFonts w:hint="eastAsia" w:ascii="Arial" w:hAnsi="Arial" w:eastAsia="宋体" w:cs="Arial"/>
              <w:kern w:val="28"/>
              <w:sz w:val="21"/>
              <w:szCs w:val="21"/>
              <w:lang w:val="en-GB"/>
            </w:rPr>
            <w:t>两面针</w:t>
          </w:r>
          <w:r>
            <w:rPr>
              <w:rFonts w:ascii="Arial" w:hAnsi="Arial" w:eastAsia="宋体" w:cs="Arial"/>
              <w:kern w:val="28"/>
              <w:sz w:val="21"/>
              <w:szCs w:val="21"/>
              <w:lang w:val="en-GB"/>
            </w:rPr>
            <w:t>公司中实体或业务活动的财务信息获取充分、适当的审计证据，以对财务报表发表审计意见。我们负责指导、监督和执行集团审计，并对审计意见承担全部责任。我们与治理层就计划的审计范围、时间安排和重大审计发现等事项进行沟通，包括沟通我们在审计中识别出的值得关注的内部控制缺陷。</w:t>
          </w:r>
        </w:p>
        <w:p>
          <w:pPr>
            <w:widowControl w:val="0"/>
            <w:adjustRightInd w:val="0"/>
            <w:snapToGrid w:val="0"/>
            <w:spacing w:line="480" w:lineRule="exact"/>
            <w:ind w:right="27" w:rightChars="13"/>
            <w:jc w:val="both"/>
            <w:rPr>
              <w:rFonts w:ascii="Arial" w:hAnsi="Arial" w:eastAsia="宋体" w:cs="Arial"/>
              <w:kern w:val="28"/>
              <w:sz w:val="21"/>
              <w:szCs w:val="21"/>
              <w:lang w:val="en-GB"/>
            </w:rPr>
          </w:pPr>
        </w:p>
        <w:p>
          <w:pPr>
            <w:widowControl w:val="0"/>
            <w:adjustRightInd w:val="0"/>
            <w:snapToGrid w:val="0"/>
            <w:spacing w:line="480" w:lineRule="exact"/>
            <w:ind w:right="27" w:rightChars="13" w:firstLine="420" w:firstLineChars="200"/>
            <w:jc w:val="both"/>
            <w:rPr>
              <w:rFonts w:ascii="Arial" w:hAnsi="Arial" w:eastAsia="宋体" w:cs="Arial"/>
              <w:kern w:val="28"/>
              <w:sz w:val="21"/>
              <w:szCs w:val="21"/>
              <w:lang w:val="en-GB"/>
            </w:rPr>
          </w:pPr>
          <w:r>
            <w:rPr>
              <w:rFonts w:ascii="Arial" w:hAnsi="Arial" w:eastAsia="宋体" w:cs="Arial"/>
              <w:kern w:val="28"/>
              <w:sz w:val="21"/>
              <w:szCs w:val="21"/>
              <w:lang w:val="en-GB"/>
            </w:rPr>
            <w:t>我们还就已遵守与独立性相关的职业道德要求向治理层提供声明，并与治理层</w:t>
          </w:r>
        </w:p>
        <w:p>
          <w:pPr>
            <w:widowControl w:val="0"/>
            <w:adjustRightInd w:val="0"/>
            <w:snapToGrid w:val="0"/>
            <w:spacing w:line="480" w:lineRule="exact"/>
            <w:ind w:right="27" w:rightChars="13"/>
            <w:jc w:val="both"/>
            <w:rPr>
              <w:rFonts w:ascii="Arial" w:hAnsi="Arial" w:eastAsia="宋体" w:cs="Arial"/>
              <w:kern w:val="28"/>
              <w:sz w:val="21"/>
              <w:szCs w:val="21"/>
              <w:lang w:val="en-GB"/>
            </w:rPr>
          </w:pPr>
          <w:r>
            <w:rPr>
              <w:rFonts w:ascii="Arial" w:hAnsi="Arial" w:eastAsia="宋体" w:cs="Arial"/>
              <w:kern w:val="28"/>
              <w:sz w:val="21"/>
              <w:szCs w:val="21"/>
              <w:lang w:val="en-GB"/>
            </w:rPr>
            <w:t>沟通可能被合理认为影响我们独立性的所有关系和其他事项，以及相关的防范措施。</w:t>
          </w:r>
        </w:p>
        <w:p>
          <w:pPr>
            <w:widowControl w:val="0"/>
            <w:adjustRightInd w:val="0"/>
            <w:snapToGrid w:val="0"/>
            <w:spacing w:line="480" w:lineRule="exact"/>
            <w:ind w:right="27" w:rightChars="13" w:firstLine="420" w:firstLineChars="200"/>
            <w:jc w:val="both"/>
            <w:rPr>
              <w:rFonts w:hint="eastAsia" w:ascii="Arial" w:hAnsi="Arial" w:eastAsia="宋体" w:cs="Arial"/>
              <w:kern w:val="28"/>
              <w:sz w:val="24"/>
              <w:szCs w:val="24"/>
              <w:lang w:val="en-GB"/>
            </w:rPr>
          </w:pPr>
          <w:r>
            <w:rPr>
              <w:rFonts w:ascii="Arial" w:hAnsi="Arial" w:eastAsia="宋体" w:cs="Arial"/>
              <w:kern w:val="28"/>
              <w:sz w:val="21"/>
              <w:szCs w:val="21"/>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widowControl w:val="0"/>
            <w:snapToGrid w:val="0"/>
            <w:spacing w:line="470" w:lineRule="exact"/>
            <w:ind w:right="27" w:rightChars="13" w:firstLine="480" w:firstLineChars="200"/>
            <w:jc w:val="both"/>
            <w:rPr>
              <w:rFonts w:ascii="Arial" w:hAnsi="Arial" w:eastAsia="宋体" w:cs="Arial"/>
              <w:kern w:val="28"/>
              <w:sz w:val="24"/>
              <w:szCs w:val="24"/>
              <w:lang w:val="en-GB"/>
            </w:rPr>
          </w:pPr>
        </w:p>
        <w:tbl>
          <w:tblPr>
            <w:tblStyle w:val="37"/>
            <w:tblW w:w="8897" w:type="dxa"/>
            <w:tblInd w:w="0" w:type="dxa"/>
            <w:tblLayout w:type="fixed"/>
            <w:tblCellMar>
              <w:top w:w="0" w:type="dxa"/>
              <w:left w:w="108" w:type="dxa"/>
              <w:bottom w:w="0" w:type="dxa"/>
              <w:right w:w="108" w:type="dxa"/>
            </w:tblCellMar>
          </w:tblPr>
          <w:tblGrid>
            <w:gridCol w:w="3936"/>
            <w:gridCol w:w="425"/>
            <w:gridCol w:w="850"/>
            <w:gridCol w:w="1276"/>
            <w:gridCol w:w="2410"/>
          </w:tblGrid>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r>
                  <w:rPr>
                    <w:rFonts w:ascii="Arial" w:hAnsi="Arial" w:eastAsia="宋体" w:cs="Arial"/>
                    <w:sz w:val="21"/>
                    <w:szCs w:val="21"/>
                    <w:lang w:val="en-GB"/>
                  </w:rPr>
                  <w:t>中喜会计师事务所（特殊普通合伙）</w:t>
                </w:r>
              </w:p>
            </w:tc>
            <w:tc>
              <w:tcPr>
                <w:tcW w:w="425" w:type="dxa"/>
                <w:noWrap w:val="0"/>
                <w:vAlign w:val="top"/>
              </w:tcPr>
              <w:p>
                <w:pPr>
                  <w:spacing w:line="360" w:lineRule="atLeast"/>
                  <w:ind w:firstLine="480"/>
                  <w:jc w:val="center"/>
                  <w:rPr>
                    <w:rFonts w:ascii="Arial" w:hAnsi="Arial" w:eastAsia="宋体" w:cs="Arial"/>
                    <w:sz w:val="21"/>
                    <w:szCs w:val="21"/>
                    <w:lang w:val="en-GB"/>
                  </w:rPr>
                </w:pPr>
              </w:p>
            </w:tc>
            <w:tc>
              <w:tcPr>
                <w:tcW w:w="2126" w:type="dxa"/>
                <w:gridSpan w:val="2"/>
                <w:noWrap w:val="0"/>
                <w:vAlign w:val="top"/>
              </w:tcPr>
              <w:p>
                <w:pPr>
                  <w:spacing w:line="360" w:lineRule="atLeast"/>
                  <w:ind w:right="-109" w:rightChars="-52"/>
                  <w:jc w:val="right"/>
                  <w:rPr>
                    <w:rFonts w:ascii="Arial" w:hAnsi="Arial" w:eastAsia="宋体" w:cs="Arial"/>
                    <w:sz w:val="21"/>
                    <w:szCs w:val="21"/>
                    <w:lang w:val="en-GB"/>
                  </w:rPr>
                </w:pPr>
                <w:r>
                  <w:rPr>
                    <w:rFonts w:ascii="Arial" w:hAnsi="Arial" w:eastAsia="宋体" w:cs="Arial"/>
                    <w:sz w:val="21"/>
                    <w:szCs w:val="21"/>
                    <w:lang w:val="en-GB"/>
                  </w:rPr>
                  <w:t>中国注册会计师：</w:t>
                </w:r>
              </w:p>
            </w:tc>
            <w:tc>
              <w:tcPr>
                <w:tcW w:w="2410" w:type="dxa"/>
                <w:tcBorders>
                  <w:bottom w:val="single" w:color="auto" w:sz="4" w:space="0"/>
                </w:tcBorders>
                <w:noWrap w:val="0"/>
                <w:vAlign w:val="top"/>
              </w:tcPr>
              <w:p>
                <w:pPr>
                  <w:spacing w:line="360" w:lineRule="atLeast"/>
                  <w:jc w:val="center"/>
                  <w:rPr>
                    <w:rFonts w:ascii="Arial" w:hAnsi="Arial" w:eastAsia="宋体" w:cs="Arial"/>
                    <w:sz w:val="21"/>
                    <w:szCs w:val="21"/>
                    <w:lang w:val="en-GB"/>
                  </w:rPr>
                </w:pPr>
                <w:r>
                  <w:rPr>
                    <w:rFonts w:ascii="Arial" w:hAnsi="Arial" w:eastAsia="宋体" w:cs="Arial"/>
                    <w:sz w:val="21"/>
                    <w:szCs w:val="21"/>
                    <w:lang w:val="en-GB"/>
                  </w:rPr>
                  <w:t>饶世旗</w:t>
                </w: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wordWrap w:val="0"/>
                  <w:spacing w:line="360" w:lineRule="atLeast"/>
                  <w:jc w:val="right"/>
                  <w:rPr>
                    <w:rFonts w:ascii="Arial" w:hAnsi="Arial" w:eastAsia="宋体" w:cs="Arial"/>
                    <w:sz w:val="21"/>
                    <w:szCs w:val="21"/>
                    <w:lang w:val="en-GB"/>
                  </w:rPr>
                </w:pPr>
                <w:r>
                  <w:rPr>
                    <w:rFonts w:ascii="Arial" w:hAnsi="Arial" w:eastAsia="宋体" w:cs="Arial"/>
                    <w:sz w:val="21"/>
                    <w:szCs w:val="21"/>
                    <w:lang w:val="en-GB"/>
                  </w:rPr>
                  <w:t>（项目合伙人）</w:t>
                </w:r>
              </w:p>
            </w:tc>
            <w:tc>
              <w:tcPr>
                <w:tcW w:w="2410" w:type="dxa"/>
                <w:tcBorders>
                  <w:top w:val="single" w:color="auto" w:sz="4" w:space="0"/>
                  <w:left w:val="nil"/>
                  <w:right w:val="nil"/>
                </w:tcBorders>
                <w:noWrap w:val="0"/>
                <w:vAlign w:val="top"/>
              </w:tcPr>
              <w:p>
                <w:pPr>
                  <w:spacing w:line="360" w:lineRule="atLeast"/>
                  <w:jc w:val="center"/>
                  <w:rPr>
                    <w:rFonts w:ascii="Arial" w:hAnsi="Arial" w:eastAsia="宋体" w:cs="Arial"/>
                    <w:sz w:val="21"/>
                    <w:szCs w:val="21"/>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ind w:right="-109" w:rightChars="-52"/>
                  <w:jc w:val="right"/>
                  <w:rPr>
                    <w:rFonts w:ascii="Arial" w:hAnsi="Arial" w:eastAsia="宋体" w:cs="Arial"/>
                    <w:sz w:val="21"/>
                    <w:szCs w:val="21"/>
                    <w:lang w:val="en-GB"/>
                  </w:rPr>
                </w:pPr>
              </w:p>
            </w:tc>
            <w:tc>
              <w:tcPr>
                <w:tcW w:w="2410" w:type="dxa"/>
                <w:tcBorders>
                  <w:left w:val="nil"/>
                  <w:bottom w:val="nil"/>
                  <w:right w:val="nil"/>
                </w:tcBorders>
                <w:noWrap w:val="0"/>
                <w:vAlign w:val="top"/>
              </w:tcPr>
              <w:p>
                <w:pPr>
                  <w:spacing w:line="360" w:lineRule="atLeast"/>
                  <w:jc w:val="center"/>
                  <w:rPr>
                    <w:rFonts w:ascii="Arial" w:hAnsi="Arial" w:eastAsia="宋体" w:cs="Arial"/>
                    <w:sz w:val="21"/>
                    <w:szCs w:val="21"/>
                    <w:u w:val="single"/>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ind w:right="-109" w:rightChars="-52"/>
                  <w:jc w:val="right"/>
                  <w:rPr>
                    <w:rFonts w:ascii="Arial" w:hAnsi="Arial" w:eastAsia="宋体" w:cs="Arial"/>
                    <w:sz w:val="21"/>
                    <w:szCs w:val="21"/>
                    <w:lang w:val="en-GB"/>
                  </w:rPr>
                </w:pPr>
              </w:p>
            </w:tc>
            <w:tc>
              <w:tcPr>
                <w:tcW w:w="2410" w:type="dxa"/>
                <w:noWrap w:val="0"/>
                <w:vAlign w:val="top"/>
              </w:tcPr>
              <w:p>
                <w:pPr>
                  <w:spacing w:line="360" w:lineRule="atLeast"/>
                  <w:jc w:val="center"/>
                  <w:rPr>
                    <w:rFonts w:ascii="Arial" w:hAnsi="Arial" w:eastAsia="宋体" w:cs="Arial"/>
                    <w:sz w:val="21"/>
                    <w:szCs w:val="21"/>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ind w:right="-109" w:rightChars="-52"/>
                  <w:jc w:val="right"/>
                  <w:rPr>
                    <w:rFonts w:ascii="Arial" w:hAnsi="Arial" w:eastAsia="宋体" w:cs="Arial"/>
                    <w:sz w:val="21"/>
                    <w:szCs w:val="21"/>
                    <w:lang w:val="en-GB"/>
                  </w:rPr>
                </w:pPr>
              </w:p>
            </w:tc>
            <w:tc>
              <w:tcPr>
                <w:tcW w:w="2410" w:type="dxa"/>
                <w:noWrap w:val="0"/>
                <w:vAlign w:val="top"/>
              </w:tcPr>
              <w:p>
                <w:pPr>
                  <w:spacing w:line="360" w:lineRule="atLeast"/>
                  <w:jc w:val="center"/>
                  <w:rPr>
                    <w:rFonts w:ascii="Arial" w:hAnsi="Arial" w:eastAsia="宋体" w:cs="Arial"/>
                    <w:sz w:val="21"/>
                    <w:szCs w:val="21"/>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ind w:right="-109" w:rightChars="-52"/>
                  <w:jc w:val="right"/>
                  <w:rPr>
                    <w:rFonts w:ascii="Arial" w:hAnsi="Arial" w:eastAsia="宋体" w:cs="Arial"/>
                    <w:sz w:val="21"/>
                    <w:szCs w:val="21"/>
                    <w:lang w:val="en-GB"/>
                  </w:rPr>
                </w:pPr>
              </w:p>
            </w:tc>
            <w:tc>
              <w:tcPr>
                <w:tcW w:w="2410" w:type="dxa"/>
                <w:noWrap w:val="0"/>
                <w:vAlign w:val="top"/>
              </w:tcPr>
              <w:p>
                <w:pPr>
                  <w:spacing w:line="360" w:lineRule="atLeast"/>
                  <w:jc w:val="center"/>
                  <w:rPr>
                    <w:rFonts w:ascii="Arial" w:hAnsi="Arial" w:eastAsia="宋体" w:cs="Arial"/>
                    <w:sz w:val="21"/>
                    <w:szCs w:val="21"/>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ind w:right="-109" w:rightChars="-52"/>
                  <w:jc w:val="right"/>
                  <w:rPr>
                    <w:rFonts w:ascii="Arial" w:hAnsi="Arial" w:eastAsia="宋体" w:cs="Arial"/>
                    <w:sz w:val="21"/>
                    <w:szCs w:val="21"/>
                    <w:lang w:val="en-GB"/>
                  </w:rPr>
                </w:pPr>
                <w:r>
                  <w:rPr>
                    <w:rFonts w:ascii="Arial" w:hAnsi="Arial" w:eastAsia="宋体" w:cs="Arial"/>
                    <w:sz w:val="21"/>
                    <w:szCs w:val="21"/>
                    <w:lang w:val="en-GB"/>
                  </w:rPr>
                  <w:t>中国注册会计师：</w:t>
                </w:r>
              </w:p>
            </w:tc>
            <w:tc>
              <w:tcPr>
                <w:tcW w:w="2410" w:type="dxa"/>
                <w:tcBorders>
                  <w:top w:val="nil"/>
                  <w:left w:val="nil"/>
                  <w:bottom w:val="single" w:color="auto" w:sz="4" w:space="0"/>
                  <w:right w:val="nil"/>
                </w:tcBorders>
                <w:noWrap w:val="0"/>
                <w:vAlign w:val="top"/>
              </w:tcPr>
              <w:p>
                <w:pPr>
                  <w:spacing w:line="360" w:lineRule="atLeast"/>
                  <w:jc w:val="center"/>
                  <w:rPr>
                    <w:rFonts w:ascii="Arial" w:hAnsi="Arial" w:eastAsia="宋体" w:cs="Arial"/>
                    <w:sz w:val="21"/>
                    <w:szCs w:val="21"/>
                    <w:lang w:val="en-GB"/>
                  </w:rPr>
                </w:pPr>
                <w:r>
                  <w:rPr>
                    <w:rFonts w:hint="eastAsia" w:ascii="Arial" w:hAnsi="Arial" w:eastAsia="宋体" w:cs="Arial"/>
                    <w:sz w:val="21"/>
                    <w:szCs w:val="21"/>
                    <w:lang w:val="en-GB"/>
                  </w:rPr>
                  <w:t>周香萍</w:t>
                </w: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jc w:val="center"/>
                  <w:rPr>
                    <w:rFonts w:ascii="Arial" w:hAnsi="Arial" w:eastAsia="宋体" w:cs="Arial"/>
                    <w:sz w:val="21"/>
                    <w:szCs w:val="21"/>
                    <w:lang w:val="en-GB"/>
                  </w:rPr>
                </w:pPr>
              </w:p>
            </w:tc>
            <w:tc>
              <w:tcPr>
                <w:tcW w:w="2410" w:type="dxa"/>
                <w:tcBorders>
                  <w:top w:val="single" w:color="auto" w:sz="4" w:space="0"/>
                  <w:left w:val="nil"/>
                  <w:bottom w:val="nil"/>
                  <w:right w:val="nil"/>
                </w:tcBorders>
                <w:noWrap w:val="0"/>
                <w:vAlign w:val="top"/>
              </w:tcPr>
              <w:p>
                <w:pPr>
                  <w:spacing w:line="360" w:lineRule="atLeast"/>
                  <w:jc w:val="center"/>
                  <w:rPr>
                    <w:rFonts w:ascii="Arial" w:hAnsi="Arial" w:eastAsia="宋体" w:cs="Arial"/>
                    <w:sz w:val="21"/>
                    <w:szCs w:val="21"/>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sz w:val="21"/>
                    <w:szCs w:val="21"/>
                    <w:lang w:val="en-GB"/>
                  </w:rPr>
                </w:pPr>
              </w:p>
            </w:tc>
            <w:tc>
              <w:tcPr>
                <w:tcW w:w="425" w:type="dxa"/>
                <w:noWrap w:val="0"/>
                <w:vAlign w:val="top"/>
              </w:tcPr>
              <w:p>
                <w:pPr>
                  <w:spacing w:line="360" w:lineRule="atLeast"/>
                  <w:jc w:val="center"/>
                  <w:rPr>
                    <w:rFonts w:ascii="Arial" w:hAnsi="Arial" w:eastAsia="宋体" w:cs="Arial"/>
                    <w:sz w:val="21"/>
                    <w:szCs w:val="21"/>
                    <w:lang w:val="en-GB"/>
                  </w:rPr>
                </w:pPr>
              </w:p>
            </w:tc>
            <w:tc>
              <w:tcPr>
                <w:tcW w:w="2126" w:type="dxa"/>
                <w:gridSpan w:val="2"/>
                <w:noWrap w:val="0"/>
                <w:vAlign w:val="top"/>
              </w:tcPr>
              <w:p>
                <w:pPr>
                  <w:spacing w:line="360" w:lineRule="atLeast"/>
                  <w:jc w:val="center"/>
                  <w:rPr>
                    <w:rFonts w:ascii="Arial" w:hAnsi="Arial" w:eastAsia="宋体" w:cs="Arial"/>
                    <w:sz w:val="21"/>
                    <w:szCs w:val="21"/>
                    <w:lang w:val="en-GB"/>
                  </w:rPr>
                </w:pPr>
              </w:p>
            </w:tc>
            <w:tc>
              <w:tcPr>
                <w:tcW w:w="2410" w:type="dxa"/>
                <w:noWrap w:val="0"/>
                <w:vAlign w:val="top"/>
              </w:tcPr>
              <w:p>
                <w:pPr>
                  <w:spacing w:line="360" w:lineRule="atLeast"/>
                  <w:jc w:val="center"/>
                  <w:rPr>
                    <w:rFonts w:ascii="Arial" w:hAnsi="Arial" w:eastAsia="宋体" w:cs="Arial"/>
                    <w:color w:val="000000"/>
                    <w:sz w:val="21"/>
                    <w:szCs w:val="21"/>
                    <w:lang w:val="en-GB"/>
                  </w:rPr>
                </w:pPr>
              </w:p>
            </w:tc>
          </w:tr>
          <w:tr>
            <w:tblPrEx>
              <w:tblCellMar>
                <w:top w:w="0" w:type="dxa"/>
                <w:left w:w="108" w:type="dxa"/>
                <w:bottom w:w="0" w:type="dxa"/>
                <w:right w:w="108" w:type="dxa"/>
              </w:tblCellMar>
            </w:tblPrEx>
            <w:trPr>
              <w:trHeight w:val="20" w:hRule="atLeast"/>
            </w:trPr>
            <w:tc>
              <w:tcPr>
                <w:tcW w:w="3936" w:type="dxa"/>
                <w:noWrap w:val="0"/>
                <w:vAlign w:val="top"/>
              </w:tcPr>
              <w:p>
                <w:pPr>
                  <w:spacing w:line="360" w:lineRule="atLeast"/>
                  <w:jc w:val="center"/>
                  <w:rPr>
                    <w:rFonts w:ascii="Arial" w:hAnsi="Arial" w:eastAsia="宋体" w:cs="Arial"/>
                    <w:color w:val="000000"/>
                    <w:sz w:val="21"/>
                    <w:szCs w:val="21"/>
                    <w:lang w:val="en-GB"/>
                  </w:rPr>
                </w:pPr>
                <w:r>
                  <w:rPr>
                    <w:rFonts w:ascii="Arial" w:hAnsi="Arial" w:eastAsia="宋体" w:cs="Arial"/>
                    <w:color w:val="000000"/>
                    <w:sz w:val="21"/>
                    <w:szCs w:val="21"/>
                    <w:lang w:val="en-GB"/>
                  </w:rPr>
                  <w:t>中国</w:t>
                </w:r>
                <w:r>
                  <w:rPr>
                    <w:rFonts w:hint="eastAsia" w:ascii="Arial" w:hAnsi="Arial" w:eastAsia="宋体" w:cs="Arial"/>
                    <w:color w:val="000000"/>
                    <w:sz w:val="21"/>
                    <w:szCs w:val="21"/>
                    <w:lang w:val="en-GB"/>
                  </w:rPr>
                  <w:t>·北京</w:t>
                </w:r>
              </w:p>
            </w:tc>
            <w:tc>
              <w:tcPr>
                <w:tcW w:w="1275" w:type="dxa"/>
                <w:gridSpan w:val="2"/>
                <w:noWrap w:val="0"/>
                <w:vAlign w:val="top"/>
              </w:tcPr>
              <w:p>
                <w:pPr>
                  <w:spacing w:line="360" w:lineRule="atLeast"/>
                  <w:jc w:val="center"/>
                  <w:rPr>
                    <w:rFonts w:ascii="Arial" w:hAnsi="Arial" w:eastAsia="宋体" w:cs="Arial"/>
                    <w:sz w:val="21"/>
                    <w:szCs w:val="21"/>
                    <w:lang w:val="en-GB"/>
                  </w:rPr>
                </w:pPr>
              </w:p>
            </w:tc>
            <w:tc>
              <w:tcPr>
                <w:tcW w:w="3686" w:type="dxa"/>
                <w:gridSpan w:val="2"/>
                <w:noWrap w:val="0"/>
                <w:vAlign w:val="bottom"/>
              </w:tcPr>
              <w:p>
                <w:pPr>
                  <w:spacing w:line="360" w:lineRule="atLeast"/>
                  <w:jc w:val="center"/>
                  <w:rPr>
                    <w:rFonts w:ascii="Arial" w:hAnsi="Arial" w:eastAsia="宋体" w:cs="Arial"/>
                    <w:sz w:val="21"/>
                    <w:szCs w:val="21"/>
                    <w:lang w:val="en-GB"/>
                  </w:rPr>
                </w:pPr>
                <w:r>
                  <w:rPr>
                    <w:rFonts w:ascii="Arial" w:hAnsi="Arial" w:eastAsia="宋体" w:cs="Arial"/>
                    <w:sz w:val="21"/>
                    <w:szCs w:val="21"/>
                    <w:lang w:val="en-GB"/>
                  </w:rPr>
                  <w:t>二〇二</w:t>
                </w:r>
                <w:r>
                  <w:rPr>
                    <w:rFonts w:hint="eastAsia" w:ascii="Arial" w:hAnsi="Arial" w:eastAsia="宋体" w:cs="Arial"/>
                    <w:sz w:val="21"/>
                    <w:szCs w:val="21"/>
                    <w:lang w:val="en-GB"/>
                  </w:rPr>
                  <w:t>四</w:t>
                </w:r>
                <w:r>
                  <w:rPr>
                    <w:rFonts w:ascii="Arial" w:hAnsi="Arial" w:eastAsia="宋体" w:cs="Arial"/>
                    <w:sz w:val="21"/>
                    <w:szCs w:val="21"/>
                    <w:lang w:val="en-GB"/>
                  </w:rPr>
                  <w:t>年</w:t>
                </w:r>
                <w:r>
                  <w:rPr>
                    <w:rFonts w:hint="eastAsia" w:ascii="Arial" w:hAnsi="Arial" w:cs="Arial"/>
                    <w:sz w:val="21"/>
                    <w:szCs w:val="21"/>
                    <w:lang w:val="en-US" w:eastAsia="zh-CN"/>
                  </w:rPr>
                  <w:t>三</w:t>
                </w:r>
                <w:r>
                  <w:rPr>
                    <w:rFonts w:ascii="Arial" w:hAnsi="Arial" w:eastAsia="宋体" w:cs="Arial"/>
                    <w:sz w:val="21"/>
                    <w:szCs w:val="21"/>
                    <w:lang w:val="en-GB"/>
                  </w:rPr>
                  <w:t>月二十</w:t>
                </w:r>
                <w:r>
                  <w:rPr>
                    <w:rFonts w:hint="eastAsia" w:ascii="Arial" w:hAnsi="Arial" w:cs="Arial"/>
                    <w:sz w:val="21"/>
                    <w:szCs w:val="21"/>
                    <w:lang w:val="en-US" w:eastAsia="zh-CN"/>
                  </w:rPr>
                  <w:t>九</w:t>
                </w:r>
                <w:r>
                  <w:rPr>
                    <w:rFonts w:ascii="Arial" w:hAnsi="Arial" w:eastAsia="宋体" w:cs="Arial"/>
                    <w:sz w:val="21"/>
                    <w:szCs w:val="21"/>
                    <w:lang w:val="en-GB"/>
                  </w:rPr>
                  <w:t>日</w:t>
                </w:r>
              </w:p>
            </w:tc>
          </w:tr>
        </w:tbl>
        <w:p/>
      </w:sdtContent>
    </w:sdt>
    <w:p/>
    <w:p/>
    <w:p/>
    <w:p/>
    <w:p/>
    <w:p/>
    <w:p/>
    <w:p/>
    <w:p/>
    <w:p/>
    <w:p/>
    <w:p>
      <w:pPr>
        <w:pStyle w:val="3"/>
        <w:numPr>
          <w:ilvl w:val="0"/>
          <w:numId w:val="60"/>
        </w:numPr>
        <w:rPr>
          <w:rFonts w:ascii="宋体" w:hAnsi="宋体"/>
        </w:rPr>
      </w:pPr>
      <w:r>
        <w:rPr>
          <w:rFonts w:hint="eastAsia" w:ascii="宋体" w:hAnsi="宋体"/>
        </w:rPr>
        <w:t>财务报表</w:t>
      </w:r>
      <w:bookmarkStart w:id="153" w:name="_Hlk24034092"/>
    </w:p>
    <w:bookmarkEnd w:id="153"/>
    <w:sdt>
      <w:sdtPr>
        <w:rPr>
          <w:rFonts w:hint="eastAsia" w:ascii="宋体" w:hAnsi="宋体" w:cs="宋体"/>
          <w:b w:val="0"/>
          <w:bCs w:val="0"/>
          <w:kern w:val="0"/>
          <w:szCs w:val="24"/>
        </w:rPr>
        <w:tag w:val="_SEC_da8537716f844d348642866e2e19ed15"/>
        <w:id w:val="26197"/>
        <w:placeholder>
          <w:docPart w:val="GBC22222222222222222222222222222"/>
        </w:placeholder>
      </w:sdtPr>
      <w:sdtEndPr>
        <w:rPr>
          <w:rFonts w:hint="default" w:ascii="宋体" w:hAnsi="宋体" w:cs="宋体"/>
          <w:b w:val="0"/>
          <w:bCs w:val="0"/>
          <w:color w:val="008000"/>
          <w:kern w:val="0"/>
          <w:szCs w:val="21"/>
          <w:u w:val="single"/>
        </w:rPr>
      </w:sdtEndPr>
      <w:sdtContent>
        <w:p>
          <w:pPr>
            <w:pStyle w:val="4"/>
            <w:jc w:val="center"/>
          </w:pPr>
          <w:r>
            <w:rPr>
              <w:rFonts w:hint="eastAsia"/>
            </w:rPr>
            <w:t>合并资产负债表</w:t>
          </w:r>
        </w:p>
        <w:p>
          <w:pPr>
            <w:jc w:val="center"/>
            <w:rPr>
              <w:rFonts w:hint="default" w:ascii="Times New Roman" w:hAnsi="Times New Roman" w:cs="Times New Roman"/>
              <w:szCs w:val="21"/>
            </w:rPr>
          </w:pPr>
          <w:r>
            <w:rPr>
              <w:rFonts w:hint="default" w:ascii="Times New Roman" w:hAnsi="Times New Roman" w:cs="Times New Roman"/>
              <w:szCs w:val="21"/>
            </w:rPr>
            <w:t>2023年12月31日</w:t>
          </w:r>
        </w:p>
        <w:p>
          <w:pPr>
            <w:rPr>
              <w:szCs w:val="21"/>
            </w:rPr>
          </w:pPr>
        </w:p>
        <w:p>
          <w:pPr>
            <w:rPr>
              <w:szCs w:val="21"/>
            </w:rPr>
          </w:pPr>
          <w:r>
            <w:rPr>
              <w:szCs w:val="21"/>
            </w:rPr>
            <w:t xml:space="preserve">编制单位: </w:t>
          </w:r>
          <w:sdt>
            <w:sdtPr>
              <w:rPr>
                <w:szCs w:val="21"/>
              </w:rPr>
              <w:alias w:val="公司法定中文名称"/>
              <w:tag w:val="_GBC_22071e1c4bb04578b94539b252cb1c67"/>
              <w:id w:val="26198"/>
              <w:placeholder>
                <w:docPart w:val="{d7559256-89bb-458b-bd49-1ae13e491af6}"/>
              </w:placeholder>
              <w:text/>
            </w:sdtPr>
            <w:sdtEndPr>
              <w:rPr>
                <w:szCs w:val="21"/>
              </w:rPr>
            </w:sdtEndPr>
            <w:sdtContent>
              <w:r>
                <w:rPr>
                  <w:szCs w:val="21"/>
                </w:rPr>
                <w:t>柳州两面针股份有限公司</w:t>
              </w:r>
            </w:sdtContent>
          </w:sdt>
        </w:p>
        <w:p>
          <w:pPr>
            <w:jc w:val="right"/>
            <w:rPr>
              <w:szCs w:val="21"/>
            </w:rPr>
          </w:pPr>
          <w:r>
            <w:rPr>
              <w:szCs w:val="21"/>
            </w:rPr>
            <w:t>单位:</w:t>
          </w:r>
          <w:sdt>
            <w:sdtPr>
              <w:rPr>
                <w:szCs w:val="21"/>
              </w:rPr>
              <w:alias w:val="单位：合并资产负债表"/>
              <w:tag w:val="_GBC_8c6918f285a44e0f8fb06fefffa27df4"/>
              <w:id w:val="26199"/>
              <w:placeholder>
                <w:docPart w:val="{d7559256-89bb-458b-bd49-1ae13e491af6}"/>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资产负债表"/>
              <w:tag w:val="_GBC_0953b26208a64010937af0b40efed509"/>
              <w:id w:val="26200"/>
              <w:placeholder>
                <w:docPart w:val="{d7559256-89bb-458b-bd49-1ae13e491af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37"/>
            <w:tblpPr w:leftFromText="180" w:rightFromText="180" w:vertAnchor="text" w:horzAnchor="page" w:tblpX="1883" w:tblpY="128"/>
            <w:tblOverlap w:val="never"/>
            <w:tblW w:w="4992"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39"/>
            <w:gridCol w:w="1128"/>
            <w:gridCol w:w="2550"/>
            <w:gridCol w:w="24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84c27050653a48c5a546a57ae8416994"/>
                <w:id w:val="3724"/>
              </w:sdtPr>
              <w:sdtEndPr>
                <w:rPr>
                  <w:rFonts w:hint="default" w:ascii="Times New Roman" w:hAnsi="Times New Roman" w:cs="Times New Roman"/>
                </w:rPr>
              </w:sdtEndPr>
              <w:sdtContent>
                <w:tc>
                  <w:tcPr>
                    <w:tcW w:w="1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w:t>
                    </w:r>
                  </w:p>
                </w:tc>
              </w:sdtContent>
            </w:sdt>
            <w:sdt>
              <w:sdtPr>
                <w:rPr>
                  <w:rFonts w:hint="default" w:ascii="Times New Roman" w:hAnsi="Times New Roman" w:cs="Times New Roman"/>
                </w:rPr>
                <w:tag w:val="_PLD_8ac07e922cfc49539af3e18b6fb1e9ef"/>
                <w:id w:val="3725"/>
              </w:sdtPr>
              <w:sdtEndPr>
                <w:rPr>
                  <w:rFonts w:hint="default" w:ascii="Times New Roman" w:hAnsi="Times New Roman" w:cs="Times New Roman"/>
                </w:rPr>
              </w:sdtEndPr>
              <w:sdtContent>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附注</w:t>
                    </w:r>
                  </w:p>
                </w:tc>
              </w:sdtContent>
            </w:sdt>
            <w:sdt>
              <w:sdtPr>
                <w:rPr>
                  <w:rFonts w:hint="default" w:ascii="Times New Roman" w:hAnsi="Times New Roman" w:cs="Times New Roman"/>
                </w:rPr>
                <w:tag w:val="_PLD_6a3e769a95b74706b81a9893b779573c"/>
                <w:id w:val="3726"/>
              </w:sdtPr>
              <w:sdtEndPr>
                <w:rPr>
                  <w:rFonts w:hint="default" w:ascii="Times New Roman" w:hAnsi="Times New Roman" w:cs="Times New Roman"/>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rPr>
                      <w:t>2023年12月31日</w:t>
                    </w:r>
                  </w:p>
                </w:tc>
              </w:sdtContent>
            </w:sdt>
            <w:sdt>
              <w:sdtPr>
                <w:rPr>
                  <w:rFonts w:hint="default" w:ascii="Times New Roman" w:hAnsi="Times New Roman" w:cs="Times New Roman"/>
                </w:rPr>
                <w:tag w:val="_PLD_3c9a89d7045e40ff9c0f81ac747711c4"/>
                <w:id w:val="3727"/>
              </w:sdtPr>
              <w:sdtEndPr>
                <w:rPr>
                  <w:rFonts w:hint="default" w:ascii="Times New Roman" w:hAnsi="Times New Roman" w:cs="Times New Roman"/>
                </w:rPr>
              </w:sdtEndPr>
              <w:sdtContent>
                <w:tc>
                  <w:tcPr>
                    <w:tcW w:w="133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2022年12月31日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ddefc78a30fc4d35a7bb6c1f0057e4ef"/>
                <w:id w:val="3728"/>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b/>
                        <w:color w:val="FF00FF"/>
                        <w:szCs w:val="21"/>
                      </w:rPr>
                    </w:pPr>
                    <w:r>
                      <w:rPr>
                        <w:rFonts w:hint="default" w:ascii="Times New Roman" w:hAnsi="Times New Roman" w:cs="Times New Roman"/>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货币资金</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1,277,823,841.14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1,209,858,525.52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结算备付金</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拆出资金</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交易性金融资产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203,156,047.64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198,523,462.44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衍生金融资产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应收票据</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eastAsia="宋体" w:cs="Times New Roman"/>
                    <w:szCs w:val="21"/>
                    <w:lang w:eastAsia="zh-CN"/>
                  </w:rPr>
                </w:pPr>
                <w:r>
                  <w:rPr>
                    <w:rFonts w:hint="default" w:ascii="Times New Roman" w:hAnsi="Times New Roman" w:cs="Times New Roman"/>
                    <w:color w:val="auto"/>
                    <w:szCs w:val="21"/>
                    <w:lang w:eastAsia="zh-CN"/>
                  </w:rPr>
                  <w:t> 10,209,048.25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4,223,921.40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应收账款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87,979,107.16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94,401,833.41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应收款项融资</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rPr>
                  <w:t>七、</w:t>
                </w:r>
                <w:r>
                  <w:rPr>
                    <w:rFonts w:hint="eastAsia" w:ascii="Times New Roman" w:hAnsi="Times New Roman"/>
                    <w:lang w:val="en-US" w:eastAsia="zh-CN"/>
                  </w:rPr>
                  <w:t>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15,690,771.21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12,393,253.29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预付款项</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rPr>
                  <w:t>七、</w:t>
                </w:r>
                <w:r>
                  <w:rPr>
                    <w:rFonts w:hint="eastAsia" w:ascii="Times New Roman" w:hAnsi="Times New Roman"/>
                    <w:lang w:val="en-US" w:eastAsia="zh-CN"/>
                  </w:rPr>
                  <w:t>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17,400,129.76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20,445,436.34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应收保费</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应收分保账款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应收分保合同准备金</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其他应收款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rPr>
                  <w:t>七、</w:t>
                </w:r>
                <w:r>
                  <w:rPr>
                    <w:rFonts w:hint="eastAsia" w:ascii="Times New Roman" w:hAnsi="Times New Roman"/>
                    <w:lang w:val="en-US" w:eastAsia="zh-CN"/>
                  </w:rPr>
                  <w:t>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14,099,403.66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11,276,613.98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其中：</w:t>
                </w:r>
                <w:r>
                  <w:rPr>
                    <w:rFonts w:hint="default" w:ascii="Times New Roman" w:hAnsi="Times New Roman" w:cs="Times New Roman"/>
                    <w:szCs w:val="21"/>
                  </w:rPr>
                  <w:t>应收利息</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szCs w:val="21"/>
                  </w:rPr>
                </w:pPr>
                <w:r>
                  <w:rPr>
                    <w:rFonts w:hint="default" w:ascii="Times New Roman" w:hAnsi="Times New Roman" w:cs="Times New Roman"/>
                    <w:szCs w:val="21"/>
                  </w:rPr>
                  <w:t>应收股利</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买入返售金融资产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存货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eastAsia="宋体" w:cs="Times New Roman"/>
                    <w:szCs w:val="21"/>
                    <w:lang w:val="en-US" w:eastAsia="zh-CN"/>
                  </w:rPr>
                </w:pPr>
                <w:r>
                  <w:rPr>
                    <w:rFonts w:ascii="Times New Roman" w:hAnsi="Times New Roman"/>
                  </w:rPr>
                  <w:t>七、</w:t>
                </w:r>
                <w:r>
                  <w:rPr>
                    <w:rFonts w:hint="eastAsia" w:ascii="Times New Roman" w:hAnsi="Times New Roman"/>
                    <w:lang w:val="en-US" w:eastAsia="zh-CN"/>
                  </w:rPr>
                  <w:t>10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252,292,080.98 </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190,584,381.62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合同资产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持有待售资产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一年内到期的非流动资产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七、12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721,993.28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181,862.42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其他流动资产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七、13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4,207,081.91</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3,866,555.74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流动资产合计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1,883,579,504.99</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1,745,755,846.16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72b86b17371840d39acb38a5d1204c0e"/>
                <w:id w:val="3729"/>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发放贷款和垫款</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债权投资</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其他债权投资</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长期应收款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七、16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1,214,525.35</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187,629.92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highlight w:val="none"/>
                  </w:rPr>
                </w:pPr>
                <w:r>
                  <w:rPr>
                    <w:rFonts w:hint="default" w:ascii="Times New Roman" w:hAnsi="Times New Roman" w:cs="Times New Roman"/>
                    <w:szCs w:val="21"/>
                    <w:highlight w:val="none"/>
                  </w:rPr>
                  <w:t>长期股权投资</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highlight w:val="none"/>
                  </w:rPr>
                </w:pPr>
                <w:r>
                  <w:rPr>
                    <w:rFonts w:ascii="Times New Roman" w:hAnsi="Times New Roman"/>
                    <w:highlight w:val="none"/>
                  </w:rPr>
                  <w:t>七、17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highlight w:val="yellow"/>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其他权益工具投资</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七、18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292,200,000.00</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292,200,000.00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其他非流动金融资产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投资性房地产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七、20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45,543,634.36</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46,702,283.23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固定资产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七、21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282,370,480.92</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282,722,294.49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在建工程</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七、22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7,843,473.38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6,534,079.88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生产性生物资产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油气资产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使用权资产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七、25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4,054,182.77</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1,325,020.94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无形资产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七、26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79,591,034.61</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76,159,074.54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开发支出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商誉</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rPr>
                  <w:t>七、2</w:t>
                </w:r>
                <w:r>
                  <w:rPr>
                    <w:rFonts w:hint="eastAsia" w:ascii="Times New Roman" w:hAnsi="Times New Roman"/>
                    <w:lang w:val="en-US" w:eastAsia="zh-CN"/>
                  </w:rPr>
                  <w:t>7</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color w:val="auto"/>
                  </w:rPr>
                </w:pPr>
                <w:r>
                  <w:rPr>
                    <w:rFonts w:hint="default" w:ascii="Times New Roman" w:hAnsi="Times New Roman" w:cs="Times New Roman"/>
                    <w:color w:val="auto"/>
                  </w:rPr>
                  <w:t>3,405,975.91</w:t>
                </w: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color w:val="auto"/>
                  </w:rPr>
                </w:pPr>
                <w:r>
                  <w:rPr>
                    <w:rFonts w:hint="default" w:ascii="Times New Roman" w:hAnsi="Times New Roman" w:cs="Times New Roman"/>
                    <w:color w:val="auto"/>
                  </w:rPr>
                  <w:t>3,405,975.91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长期待摊费用</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rPr>
                  <w:t>七、2</w:t>
                </w:r>
                <w:r>
                  <w:rPr>
                    <w:rFonts w:hint="eastAsia" w:ascii="Times New Roman" w:hAnsi="Times New Roman"/>
                    <w:lang w:val="en-US" w:eastAsia="zh-CN"/>
                  </w:rPr>
                  <w:t>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4,634,213.83</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1,894,280.49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递延所得税资产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eastAsia="宋体" w:cs="Times New Roman"/>
                    <w:szCs w:val="21"/>
                    <w:lang w:val="en-US" w:eastAsia="zh-CN"/>
                  </w:rPr>
                </w:pPr>
                <w:r>
                  <w:rPr>
                    <w:rFonts w:ascii="Times New Roman" w:hAnsi="Times New Roman"/>
                  </w:rPr>
                  <w:t>七、</w:t>
                </w:r>
                <w:r>
                  <w:rPr>
                    <w:rFonts w:hint="eastAsia" w:ascii="Times New Roman" w:hAnsi="Times New Roman"/>
                    <w:lang w:val="en-US" w:eastAsia="zh-CN"/>
                  </w:rPr>
                  <w:t>29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6,665,393.38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eastAsia" w:ascii="Times New Roman" w:hAnsi="Times New Roman" w:cs="Times New Roman"/>
                    <w:color w:val="auto"/>
                    <w:lang w:eastAsia="zh-CN"/>
                  </w:rPr>
                  <w:t>6,093,799.15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其他非流动资产</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rPr>
                  <w:t>七、3</w:t>
                </w:r>
                <w:r>
                  <w:rPr>
                    <w:rFonts w:hint="eastAsia" w:ascii="Times New Roman" w:hAnsi="Times New Roman"/>
                    <w:lang w:val="en-US" w:eastAsia="zh-CN"/>
                  </w:rPr>
                  <w:t>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10,855,301.83</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color w:val="auto"/>
                    <w:lang w:eastAsia="zh-CN"/>
                  </w:rPr>
                  <w:t>13,521,440.97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非流动资产合计</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738,378,216.34</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color w:val="auto"/>
                    <w:lang w:eastAsia="zh-CN"/>
                  </w:rPr>
                  <w:t>730,745,879.52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资产总计</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2,621,957,721.33</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color w:val="auto"/>
                    <w:lang w:eastAsia="zh-CN"/>
                  </w:rPr>
                  <w:t>2,476,501,725.68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97e1ad068b5b418999e5a3a4eadcffca"/>
                <w:id w:val="3730"/>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FF00FF"/>
                        <w:szCs w:val="21"/>
                      </w:rPr>
                    </w:pPr>
                    <w:r>
                      <w:rPr>
                        <w:rFonts w:hint="default" w:ascii="Times New Roman" w:hAnsi="Times New Roman" w:cs="Times New Roman"/>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短期借款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七、32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58,000,000.00</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向中央银行借款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拆入资金</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交易性金融负债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衍生金融负债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应付票据</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七、35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138,550.05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应付账款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七、36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260,502,170.87</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179,022,039.43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预收款项</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合同负债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七、38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eastAsia" w:ascii="Times New Roman" w:hAnsi="Times New Roman" w:cs="Times New Roman"/>
                    <w:lang w:eastAsia="zh-CN"/>
                  </w:rPr>
                  <w:t>40,303,817.62</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34,357,780.16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卖出回购金融资产款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吸收存款及同业存放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代理买卖证券款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代理承销证券款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应付职工薪酬</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七、39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5,440,172.21</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2,329,158.67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应交税费</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3,866,301.48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13,582,858.13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其他应付款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37,165,787.19</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37,583,642.56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其中：</w:t>
                </w:r>
                <w:r>
                  <w:rPr>
                    <w:rFonts w:hint="default" w:ascii="Times New Roman" w:hAnsi="Times New Roman" w:cs="Times New Roman"/>
                    <w:szCs w:val="21"/>
                  </w:rPr>
                  <w:t>应付利息</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szCs w:val="21"/>
                  </w:rPr>
                </w:pPr>
                <w:r>
                  <w:rPr>
                    <w:rFonts w:hint="default" w:ascii="Times New Roman" w:hAnsi="Times New Roman" w:cs="Times New Roman"/>
                    <w:szCs w:val="21"/>
                  </w:rPr>
                  <w:t>应付股利</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8,537,790.48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应付手续费及佣金</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应付分保账款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持有待售负债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一年内到期的非流动负债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25,667,756.84</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666,149.95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其他流动负债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七、44</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23,204,763.53</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24,826,078.80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流动负债合计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454,150,769.74</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335,506,257.75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76615034b106405f8ae606a6fc253d93"/>
                <w:id w:val="3731"/>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保险合同准备金</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长期借款</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应付债券</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其中：优先股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szCs w:val="21"/>
                  </w:rPr>
                </w:pPr>
                <w:r>
                  <w:rPr>
                    <w:rFonts w:hint="default" w:ascii="Times New Roman" w:hAnsi="Times New Roman" w:cs="Times New Roman"/>
                    <w:szCs w:val="21"/>
                  </w:rPr>
                  <w:t>永续债</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租赁负债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七、47</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r>
                  <w:rPr>
                    <w:rFonts w:hint="default" w:ascii="Times New Roman" w:hAnsi="Times New Roman" w:cs="Times New Roman"/>
                  </w:rPr>
                  <w:t>1,195,352.78</w:t>
                </w: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r>
                  <w:rPr>
                    <w:rFonts w:hint="default" w:ascii="Times New Roman" w:hAnsi="Times New Roman" w:cs="Times New Roman"/>
                  </w:rPr>
                  <w:t>643,620.53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长期应付款</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长期应付职工薪酬</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七、49</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r>
                  <w:rPr>
                    <w:rFonts w:hint="default" w:ascii="Times New Roman" w:hAnsi="Times New Roman" w:cs="Times New Roman"/>
                  </w:rPr>
                  <w:t>1,653,132.00</w:t>
                </w: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r>
                  <w:rPr>
                    <w:rFonts w:hint="default" w:ascii="Times New Roman" w:hAnsi="Times New Roman" w:cs="Times New Roman"/>
                  </w:rPr>
                  <w:t>1,312,654.00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预计负债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递延收益</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七、51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8,149,589.73</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8,707,568.15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递延所得税负债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eastAsia="宋体" w:cs="Times New Roman"/>
                    <w:szCs w:val="21"/>
                    <w:lang w:val="en-US" w:eastAsia="zh-CN"/>
                  </w:rPr>
                </w:pPr>
                <w:r>
                  <w:rPr>
                    <w:rFonts w:ascii="Times New Roman" w:hAnsi="Times New Roman"/>
                  </w:rPr>
                  <w:t>七、</w:t>
                </w:r>
                <w:r>
                  <w:rPr>
                    <w:rFonts w:hint="eastAsia" w:ascii="Times New Roman" w:hAnsi="Times New Roman"/>
                    <w:lang w:val="en-US" w:eastAsia="zh-CN"/>
                  </w:rPr>
                  <w:t>29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40,602,622.84</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38,762,186.09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其他非流动负债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非流动负债合计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51,600,697.35</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49,426,028.77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负债合计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505,751,467.09</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384,932,286.52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c6760bbd367544f58c1b02c0378c7818"/>
                <w:id w:val="3732"/>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实收资本（或股本）</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七、53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550,000,000.00</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其他权益工具</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其中：优先股</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szCs w:val="21"/>
                  </w:rPr>
                </w:pPr>
                <w:r>
                  <w:rPr>
                    <w:rFonts w:hint="default" w:ascii="Times New Roman" w:hAnsi="Times New Roman" w:cs="Times New Roman"/>
                    <w:szCs w:val="21"/>
                  </w:rPr>
                  <w:t>永续债</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资本公积</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七、55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1,184,901,870.95</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1,184,901,870.95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减：库存股</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其他综合收益</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七、57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-8,825,807.26</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-8,825,807.26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专项储备</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盈余公积</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七、59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245,699,064.65</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245,621,848.75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一般风险准备</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未分配利润</w:t>
                </w:r>
              </w:p>
            </w:tc>
            <w:tc>
              <w:tcPr>
                <w:tcW w:w="624"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七、60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eastAsia" w:ascii="Times New Roman" w:hAnsi="Times New Roman" w:cs="Times New Roman"/>
                    <w:lang w:eastAsia="zh-CN"/>
                  </w:rPr>
                  <w:t>148,075,203.88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125,345,760.90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归属于母公司所有者权益（或股东权益）合计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eastAsia" w:ascii="Times New Roman" w:hAnsi="Times New Roman" w:cs="Times New Roman"/>
                    <w:lang w:eastAsia="zh-CN"/>
                  </w:rPr>
                  <w:t>2,119,850,332.22</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2,097,043,673.34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少数股东权益</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-3,644,077.98</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-5,474,234.18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rPr>
                  <w:t>所有者权益（或股东权益）合计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2,116,206,254.24</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2,091,569,439.16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7"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负债和所有者权益（或股东权益）总计</w:t>
                </w:r>
              </w:p>
            </w:tc>
            <w:tc>
              <w:tcPr>
                <w:tcW w:w="624"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2,621,957,721.33</w:t>
                </w:r>
              </w:p>
            </w:tc>
            <w:tc>
              <w:tcPr>
                <w:tcW w:w="1337" w:type="pct"/>
                <w:tcBorders>
                  <w:top w:val="outset" w:color="auto" w:sz="6" w:space="0"/>
                  <w:left w:val="outset" w:color="auto" w:sz="6" w:space="0"/>
                  <w:bottom w:val="outset" w:color="auto" w:sz="6" w:space="0"/>
                  <w:right w:val="outset" w:color="auto" w:sz="6"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2,476,501,725.68</w:t>
                </w:r>
              </w:p>
            </w:tc>
          </w:tr>
        </w:tbl>
        <w:p/>
        <w:p>
          <w:pPr>
            <w:ind w:right="-153" w:rightChars="-7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26210"/>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26211"/>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26212"/>
              <w:placeholder>
                <w:docPart w:val="GBC22222222222222222222222222222"/>
              </w:placeholder>
              <w:text/>
            </w:sdtPr>
            <w:sdtEndPr>
              <w:rPr>
                <w:rFonts w:hint="eastAsia"/>
                <w:szCs w:val="21"/>
              </w:rPr>
            </w:sdtEndPr>
            <w:sdtContent>
              <w:r>
                <w:rPr>
                  <w:rFonts w:hint="eastAsia"/>
                  <w:szCs w:val="21"/>
                  <w:lang w:eastAsia="zh-CN"/>
                </w:rPr>
                <w:t>游发禄</w:t>
              </w:r>
            </w:sdtContent>
          </w:sdt>
        </w:p>
        <w:p/>
      </w:sdtContent>
    </w:sdt>
    <w:p/>
    <w:sdt>
      <w:sdtPr>
        <w:rPr>
          <w:rFonts w:hint="eastAsia" w:ascii="宋体" w:hAnsi="宋体" w:cs="宋体"/>
          <w:b w:val="0"/>
          <w:bCs w:val="0"/>
          <w:kern w:val="0"/>
          <w:szCs w:val="24"/>
        </w:rPr>
        <w:tag w:val="_SEC_d76935fe25d141cfbe5d3c4ac87a2e6b"/>
        <w:id w:val="26213"/>
        <w:placeholder>
          <w:docPart w:val="GBC22222222222222222222222222222"/>
        </w:placeholder>
      </w:sdtPr>
      <w:sdtEndPr>
        <w:rPr>
          <w:rFonts w:hint="eastAsia" w:ascii="宋体" w:hAnsi="宋体" w:cs="宋体"/>
          <w:b w:val="0"/>
          <w:bCs w:val="0"/>
          <w:kern w:val="0"/>
          <w:szCs w:val="21"/>
        </w:rPr>
      </w:sdtEndPr>
      <w:sdtContent>
        <w:p>
          <w:pPr>
            <w:pStyle w:val="4"/>
            <w:jc w:val="center"/>
          </w:pPr>
          <w:bookmarkStart w:id="154" w:name="_Hlk24034197"/>
          <w:r>
            <w:rPr>
              <w:rFonts w:hint="eastAsia"/>
            </w:rPr>
            <w:t>母公司</w:t>
          </w:r>
          <w:r>
            <w:t>资产负债表</w:t>
          </w:r>
        </w:p>
        <w:p>
          <w:pPr>
            <w:jc w:val="center"/>
            <w:rPr>
              <w:rFonts w:hint="default" w:ascii="Times New Roman" w:hAnsi="Times New Roman" w:cs="Times New Roman"/>
              <w:b/>
              <w:bCs/>
              <w:szCs w:val="21"/>
            </w:rPr>
          </w:pPr>
          <w:r>
            <w:rPr>
              <w:rFonts w:hint="default" w:ascii="Times New Roman" w:hAnsi="Times New Roman" w:cs="Times New Roman"/>
              <w:szCs w:val="21"/>
            </w:rPr>
            <w:t>2023年12月31日</w:t>
          </w:r>
        </w:p>
        <w:p>
          <w:pPr>
            <w:rPr>
              <w:szCs w:val="21"/>
            </w:rPr>
          </w:pPr>
          <w:r>
            <w:rPr>
              <w:szCs w:val="21"/>
            </w:rPr>
            <w:t>编制单位:</w:t>
          </w:r>
          <w:sdt>
            <w:sdtPr>
              <w:rPr>
                <w:szCs w:val="21"/>
              </w:rPr>
              <w:alias w:val="公司法定中文名称"/>
              <w:tag w:val="_GBC_476f9df1cf8d4d36868d3058a4da7d15"/>
              <w:id w:val="26214"/>
              <w:placeholder>
                <w:docPart w:val="GBC22222222222222222222222222222"/>
              </w:placeholder>
              <w:text/>
            </w:sdtPr>
            <w:sdtEndPr>
              <w:rPr>
                <w:szCs w:val="21"/>
              </w:rPr>
            </w:sdtEndPr>
            <w:sdtContent>
              <w:r>
                <w:rPr>
                  <w:rFonts w:hint="eastAsia"/>
                  <w:szCs w:val="21"/>
                  <w:lang w:eastAsia="zh-CN"/>
                </w:rPr>
                <w:t>柳州两面针股份有限公司</w:t>
              </w:r>
            </w:sdtContent>
          </w:sdt>
          <w:r>
            <w:rPr>
              <w:szCs w:val="21"/>
            </w:rPr>
            <w:t> </w:t>
          </w:r>
        </w:p>
        <w:p>
          <w:pPr>
            <w:jc w:val="right"/>
            <w:rPr>
              <w:szCs w:val="21"/>
            </w:rPr>
          </w:pPr>
          <w:r>
            <w:rPr>
              <w:szCs w:val="21"/>
            </w:rPr>
            <w:t>单位:</w:t>
          </w:r>
          <w:sdt>
            <w:sdtPr>
              <w:rPr>
                <w:szCs w:val="21"/>
              </w:rPr>
              <w:alias w:val="单位：母公司资产负债表"/>
              <w:tag w:val="_GBC_e3e6bb2b9b89482085daf4528af32780"/>
              <w:id w:val="26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26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f723b67ceca442958b85c16ecbcde6c4"/>
                <w:id w:val="10377"/>
              </w:sdtPr>
              <w:sdtEndPr>
                <w:rPr>
                  <w:rFonts w:hint="default"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w:t>
                    </w:r>
                  </w:p>
                </w:tc>
              </w:sdtContent>
            </w:sdt>
            <w:sdt>
              <w:sdtPr>
                <w:rPr>
                  <w:rFonts w:hint="default" w:ascii="Times New Roman" w:hAnsi="Times New Roman" w:cs="Times New Roman"/>
                </w:rPr>
                <w:tag w:val="_PLD_b4b39e4179664db3908076caa97ec93e"/>
                <w:id w:val="10378"/>
              </w:sdtPr>
              <w:sdtEndPr>
                <w:rPr>
                  <w:rFonts w:hint="default" w:ascii="Times New Roman" w:hAnsi="Times New Roman" w:cs="Times New Roman"/>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附注</w:t>
                    </w:r>
                  </w:p>
                </w:tc>
              </w:sdtContent>
            </w:sdt>
            <w:sdt>
              <w:sdtPr>
                <w:rPr>
                  <w:rFonts w:hint="default" w:ascii="Times New Roman" w:hAnsi="Times New Roman" w:cs="Times New Roman"/>
                </w:rPr>
                <w:tag w:val="_PLD_5c114924d291471984aab4fc4a2ab196"/>
                <w:id w:val="10379"/>
              </w:sdtPr>
              <w:sdtEndPr>
                <w:rPr>
                  <w:rFonts w:hint="default" w:ascii="Times New Roman" w:hAnsi="Times New Roman" w:cs="Times New Roman"/>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rPr>
                      <w:t>2023年12月31日</w:t>
                    </w:r>
                  </w:p>
                </w:tc>
              </w:sdtContent>
            </w:sdt>
            <w:sdt>
              <w:sdtPr>
                <w:rPr>
                  <w:rFonts w:hint="default" w:ascii="Times New Roman" w:hAnsi="Times New Roman" w:cs="Times New Roman"/>
                </w:rPr>
                <w:tag w:val="_PLD_09aa0ba5dd484fa6ad7dfbe2d2221c60"/>
                <w:id w:val="10380"/>
              </w:sdtPr>
              <w:sdtEndPr>
                <w:rPr>
                  <w:rFonts w:hint="default" w:ascii="Times New Roman" w:hAnsi="Times New Roman" w:cs="Times New Roman"/>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2022年12月31日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75b96d9020f14b08bb8885e10bb72ed3"/>
                <w:id w:val="10381"/>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b/>
                        <w:color w:val="FF00FF"/>
                        <w:szCs w:val="21"/>
                      </w:rPr>
                    </w:pPr>
                    <w:r>
                      <w:rPr>
                        <w:rFonts w:hint="default" w:ascii="Times New Roman" w:hAnsi="Times New Roman" w:cs="Times New Roman"/>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货币资金</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1,138,172,278.78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1,100,767,710.51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交易性金融资产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203,156,047.64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198,523,462.44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衍生金融资产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应收票据</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1,617,184.44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3,723,921.40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应收账款</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40,590,062.14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54,885,637.11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应收款项融资</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预付款项</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871,582.55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2,165,421.02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其他应收款</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84,541,821.28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84,990,928.21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其中：</w:t>
                </w:r>
                <w:r>
                  <w:rPr>
                    <w:rFonts w:hint="default" w:ascii="Times New Roman" w:hAnsi="Times New Roman" w:cs="Times New Roman"/>
                    <w:szCs w:val="21"/>
                  </w:rPr>
                  <w:t>应收利息</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szCs w:val="21"/>
                  </w:rPr>
                </w:pPr>
                <w:r>
                  <w:rPr>
                    <w:rFonts w:hint="default" w:ascii="Times New Roman" w:hAnsi="Times New Roman" w:cs="Times New Roman"/>
                    <w:szCs w:val="21"/>
                  </w:rPr>
                  <w:t>应收股利</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存货</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41,625,589.48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36,660,811.57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合同资产</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持有待售资产</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一年内到期的非流动资产</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其他流动资产</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2,682,216.17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3,263,945.24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流动资产合计</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1,513,256,782.48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1,484,981,837.50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df64afc7e223416b92b823e4e8fb4a3a"/>
                <w:id w:val="10382"/>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债权投资</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其他债权投资</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长期应收款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长期股权投资</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160,894,417.59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160,894,417.59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其他权益工具投资</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292,200,000.00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292,200,000.00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其他非流动金融资产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投资性房地产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26,378,965.91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27,067,494.59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固定资产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127,872,600.41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129,445,796.40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在建工程</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5,708,373.33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3,638,888.69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生产性生物资产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油气资产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使用权资产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无形资产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53,404,957.77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49,176,920.55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开发支出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商誉</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长期待摊费用</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672,734.57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614,163.54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递延所得税资产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其他非流动资产</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4,110,973.49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非流动资产合计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r>
                  <w:rPr>
                    <w:rFonts w:ascii="Times New Roman" w:hAnsi="Times New Roman"/>
                  </w:rPr>
                  <w:t> </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667,132,049.58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667,148,654.85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资产总计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2,180,388,832.06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2,152,130,492.35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097e7abf0b344d7ba64ab9a99dd2d2fa"/>
                <w:id w:val="10383"/>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FF00FF"/>
                        <w:szCs w:val="21"/>
                      </w:rPr>
                    </w:pPr>
                    <w:r>
                      <w:rPr>
                        <w:rFonts w:hint="default" w:ascii="Times New Roman" w:hAnsi="Times New Roman" w:cs="Times New Roman"/>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短期借款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58,000,000.00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交易性金融负债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衍生金融负债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应付票据</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应付账款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37,353,952.27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32,220,274.18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预收款项</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合同负债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3,074,460.19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4,118,852.35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应付职工薪酬</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2,595,660.09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1,514,482.12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应交税费</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326,005.51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3,231,043.60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其他应付款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19,034,831.31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19,219,490.73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rPr>
                  <w:t>其中：</w:t>
                </w:r>
                <w:r>
                  <w:rPr>
                    <w:rFonts w:hint="default" w:ascii="Times New Roman" w:hAnsi="Times New Roman" w:cs="Times New Roman"/>
                    <w:szCs w:val="21"/>
                  </w:rPr>
                  <w:t>应付利息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default" w:ascii="Times New Roman" w:hAnsi="Times New Roman" w:cs="Times New Roman"/>
                    <w:szCs w:val="21"/>
                  </w:rPr>
                </w:pPr>
                <w:r>
                  <w:rPr>
                    <w:rFonts w:hint="default" w:ascii="Times New Roman" w:hAnsi="Times New Roman" w:cs="Times New Roman"/>
                    <w:szCs w:val="21"/>
                  </w:rPr>
                  <w:t>应付股利</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8,537,790.48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持有待售负债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一年内到期的非流动负债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10,177,818.53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13,995,028.48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流动负债合计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130,562,727.90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104,299,171.46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5a8813ff8c984fc28cd8ddc8db922fd5"/>
                <w:id w:val="10384"/>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长期借款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应付债券</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其中：优先股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szCs w:val="21"/>
                  </w:rPr>
                </w:pPr>
                <w:r>
                  <w:rPr>
                    <w:rFonts w:hint="default" w:ascii="Times New Roman" w:hAnsi="Times New Roman" w:cs="Times New Roman"/>
                    <w:szCs w:val="21"/>
                  </w:rPr>
                  <w:t>永续债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rPr>
                </w:pPr>
                <w:r>
                  <w:rPr>
                    <w:rFonts w:hint="default" w:ascii="Times New Roman" w:hAnsi="Times New Roman" w:cs="Times New Roman"/>
                  </w:rPr>
                  <w:t>租赁负债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长期应付款</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长期应付职工薪酬</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1,653,132.00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1,312,654.00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预计负债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递延收益</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960,999.88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1,236,999.92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递延所得税负债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39,589,077.15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38,430,930.85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其他非流动负债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非流动负债合计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42,203,209.03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40,980,584.77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负债合计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172,765,936.93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145,279,756.23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7ccfdb4b1195457b8de4211feea2cac2"/>
                <w:id w:val="10385"/>
              </w:sdtPr>
              <w:sdtEndPr>
                <w:rPr>
                  <w:rFonts w:hint="default"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hint="default" w:ascii="Times New Roman" w:hAnsi="Times New Roman" w:cs="Times New Roman"/>
                        <w:color w:val="008000"/>
                        <w:szCs w:val="21"/>
                      </w:rPr>
                    </w:pPr>
                    <w:r>
                      <w:rPr>
                        <w:rFonts w:hint="default" w:ascii="Times New Roman" w:hAnsi="Times New Roman" w:cs="Times New Roman"/>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实收资本（或股本）</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550,000,000.00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其他权益工具</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其中：优先股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default" w:ascii="Times New Roman" w:hAnsi="Times New Roman" w:cs="Times New Roman"/>
                    <w:szCs w:val="21"/>
                  </w:rPr>
                </w:pPr>
                <w:r>
                  <w:rPr>
                    <w:rFonts w:hint="default" w:ascii="Times New Roman" w:hAnsi="Times New Roman" w:cs="Times New Roman"/>
                    <w:szCs w:val="21"/>
                  </w:rPr>
                  <w:t>永续债</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资本公积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579,271,389.07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579,271,389.07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减：库存股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其他综合收益</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专项储备</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盈余公积</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217,403,035.33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217,325,819.43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未分配利润</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660,948,470.73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660,253,527.62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rPr>
                  <w:t>所有者权益（或股东权益）合计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2,007,622,895.13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2,006,850,736.12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tcPr>
              <w:p>
                <w:pPr>
                  <w:rPr>
                    <w:rFonts w:hint="default"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2,180,388,832.06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2,152,130,492.35</w:t>
                </w:r>
              </w:p>
            </w:tc>
          </w:tr>
        </w:tbl>
        <w:p/>
        <w:p>
          <w:pPr>
            <w:ind w:right="-153" w:rightChars="-7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26226"/>
              <w:placeholder>
                <w:docPart w:val="GBC22222222222222222222222222222"/>
              </w:placeholder>
              <w:text/>
            </w:sdtPr>
            <w:sdtEndPr>
              <w:rPr>
                <w:rFonts w:hint="eastAsia"/>
                <w:szCs w:val="21"/>
              </w:rPr>
            </w:sdtEndPr>
            <w:sdtContent>
              <w:r>
                <w:rPr>
                  <w:rFonts w:hint="eastAsia"/>
                  <w:szCs w:val="21"/>
                  <w:lang w:eastAsia="zh-CN"/>
                </w:rPr>
                <w:t>林钻煌</w:t>
              </w:r>
              <w:r>
                <w:rPr>
                  <w:rFonts w:hint="eastAsia"/>
                  <w:szCs w:val="21"/>
                  <w:lang w:val="en-US" w:eastAsia="zh-CN"/>
                </w:rPr>
                <w:t xml:space="preserve">    </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26227"/>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26228"/>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p/>
    <w:bookmarkEnd w:id="154"/>
    <w:p>
      <w:pPr>
        <w:rPr>
          <w:color w:val="FF0000"/>
          <w:szCs w:val="21"/>
        </w:rPr>
      </w:pPr>
      <w:bookmarkStart w:id="155" w:name="_Hlk24033458"/>
      <w:bookmarkEnd w:id="155"/>
    </w:p>
    <w:sdt>
      <w:sdtPr>
        <w:rPr>
          <w:rFonts w:hint="eastAsia" w:ascii="宋体" w:hAnsi="宋体" w:cs="宋体"/>
          <w:b w:val="0"/>
          <w:bCs w:val="0"/>
          <w:kern w:val="0"/>
          <w:szCs w:val="24"/>
        </w:rPr>
        <w:tag w:val="_SEC_38d2275e2dcd4f8eb0870715a2a226c7"/>
        <w:id w:val="26229"/>
        <w:placeholder>
          <w:docPart w:val="GBC22222222222222222222222222222"/>
        </w:placeholder>
      </w:sdtPr>
      <w:sdtEndPr>
        <w:rPr>
          <w:rFonts w:hint="eastAsia" w:ascii="宋体" w:hAnsi="宋体" w:cs="宋体"/>
          <w:b w:val="0"/>
          <w:bCs w:val="0"/>
          <w:kern w:val="0"/>
          <w:szCs w:val="21"/>
        </w:rPr>
      </w:sdtEndPr>
      <w:sdtContent>
        <w:p>
          <w:pPr>
            <w:pStyle w:val="4"/>
            <w:jc w:val="center"/>
          </w:pPr>
          <w:bookmarkStart w:id="156" w:name="_Hlk24038378"/>
          <w:r>
            <w:rPr>
              <w:rFonts w:hint="eastAsia"/>
            </w:rPr>
            <w:t>合并</w:t>
          </w:r>
          <w:r>
            <w:t>利润表</w:t>
          </w:r>
        </w:p>
        <w:p>
          <w:pPr>
            <w:jc w:val="center"/>
            <w:rPr>
              <w:rFonts w:hint="default" w:ascii="Times New Roman" w:hAnsi="Times New Roman" w:cs="Times New Roman"/>
              <w:b/>
              <w:bCs/>
              <w:szCs w:val="21"/>
            </w:rPr>
          </w:pPr>
          <w:r>
            <w:rPr>
              <w:rFonts w:hint="default" w:ascii="Times New Roman" w:hAnsi="Times New Roman" w:cs="Times New Roman"/>
              <w:szCs w:val="21"/>
            </w:rPr>
            <w:t>2023年1—12月</w:t>
          </w:r>
        </w:p>
        <w:p>
          <w:pPr>
            <w:jc w:val="right"/>
            <w:rPr>
              <w:szCs w:val="21"/>
            </w:rPr>
          </w:pPr>
          <w:r>
            <w:rPr>
              <w:szCs w:val="21"/>
            </w:rPr>
            <w:t>单位:</w:t>
          </w:r>
          <w:sdt>
            <w:sdtPr>
              <w:rPr>
                <w:szCs w:val="21"/>
              </w:rPr>
              <w:alias w:val="单位：合并利润表"/>
              <w:tag w:val="_GBC_95830fead96c480388a2e386c3331383"/>
              <w:id w:val="262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利润表"/>
              <w:tag w:val="_GBC_4902a1798447427ba99922213b04b39b"/>
              <w:id w:val="262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rPr>
                  <w:rFonts w:ascii="Times New Roman" w:hAnsi="Times New Roman"/>
                </w:rPr>
                <w:tag w:val="_PLD_2e3f33fcce354b339a86add10899a6c5"/>
                <w:id w:val="7607"/>
              </w:sdtPr>
              <w:sdtEndPr>
                <w:rPr>
                  <w:rFonts w:ascii="Times New Roman" w:hAnsi="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rFonts w:ascii="Times New Roman" w:hAnsi="Times New Roman"/>
                        <w:b/>
                        <w:szCs w:val="21"/>
                      </w:rPr>
                    </w:pPr>
                    <w:r>
                      <w:rPr>
                        <w:rFonts w:ascii="Times New Roman" w:hAnsi="Times New Roman"/>
                        <w:b/>
                        <w:szCs w:val="21"/>
                      </w:rPr>
                      <w:t>项目</w:t>
                    </w:r>
                  </w:p>
                </w:tc>
              </w:sdtContent>
            </w:sdt>
            <w:sdt>
              <w:sdtPr>
                <w:rPr>
                  <w:rFonts w:ascii="Times New Roman" w:hAnsi="Times New Roman"/>
                </w:rPr>
                <w:tag w:val="_PLD_93edd7a3846d4cd58b14d043e9b33f2c"/>
                <w:id w:val="7608"/>
              </w:sdtPr>
              <w:sdtEndPr>
                <w:rPr>
                  <w:rFonts w:ascii="Times New Roman" w:hAnsi="Times New Roman"/>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b/>
                        <w:szCs w:val="21"/>
                      </w:rPr>
                    </w:pPr>
                    <w:r>
                      <w:rPr>
                        <w:rFonts w:hint="eastAsia" w:ascii="Times New Roman" w:hAnsi="Times New Roman"/>
                        <w:b/>
                        <w:szCs w:val="21"/>
                      </w:rPr>
                      <w:t>附注</w:t>
                    </w:r>
                  </w:p>
                </w:tc>
              </w:sdtContent>
            </w:sdt>
            <w:sdt>
              <w:sdtPr>
                <w:rPr>
                  <w:rFonts w:hint="default" w:ascii="Times New Roman" w:hAnsi="Times New Roman" w:cs="Times New Roman"/>
                </w:rPr>
                <w:tag w:val="_PLD_49f84cca199c45e7bc0f9fea5b73078c"/>
                <w:id w:val="7609"/>
              </w:sdtPr>
              <w:sdtEndPr>
                <w:rPr>
                  <w:rFonts w:hint="default" w:ascii="Times New Roman" w:hAnsi="Times New Roman" w:cs="Times New Roman"/>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2023年度</w:t>
                    </w:r>
                  </w:p>
                </w:tc>
              </w:sdtContent>
            </w:sdt>
            <w:sdt>
              <w:sdtPr>
                <w:rPr>
                  <w:rFonts w:hint="default" w:ascii="Times New Roman" w:hAnsi="Times New Roman" w:cs="Times New Roman"/>
                </w:rPr>
                <w:tag w:val="_PLD_8b5fde21bc974404b892a88906dec352"/>
                <w:id w:val="7610"/>
              </w:sdtPr>
              <w:sdtEndPr>
                <w:rPr>
                  <w:rFonts w:hint="default" w:ascii="Times New Roman" w:hAnsi="Times New Roman" w:cs="Times New Roman"/>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2022年度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一、营业总收入</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995,136,283.16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669,192,032.18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其中：营业收入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995,136,283.16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669,192,032.18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olor w:val="000000"/>
                    <w:szCs w:val="21"/>
                  </w:rPr>
                </w:pPr>
                <w:r>
                  <w:rPr>
                    <w:rFonts w:hint="eastAsia" w:ascii="Times New Roman" w:hAnsi="Times New Roman"/>
                    <w:szCs w:val="21"/>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已赚保费</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手续费及佣金收入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二、营业总成本</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993,753,698.88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688,030,279.40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其中：营业成本</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829,055,747.38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561,707,022.90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利息支出</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手续费及佣金支出</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退保金</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赔付支出净额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提取保险责任准备金净额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保单红利支出</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分保费用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税金及附加</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7,456,091.11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7,370,865.37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销售费用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七、63</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105,641,459.55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82,347,444.50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管理费用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72,622,698.58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63,225,343.55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研发费用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15,705,583.61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12,442,485.48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财务费用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-36,727,881.35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-39,062,882.40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其中：利息费用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1,740,963.59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1,409,582.62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ascii="Times New Roman" w:hAnsi="Times New Roman"/>
                  </w:rPr>
                </w:pPr>
                <w:r>
                  <w:rPr>
                    <w:rFonts w:hint="eastAsia" w:ascii="Times New Roman" w:hAnsi="Times New Roman"/>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38,022,884.12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39,268,653.80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rPr>
                  <w:t>加：</w:t>
                </w:r>
                <w:r>
                  <w:rPr>
                    <w:rFonts w:hint="eastAsia" w:ascii="Times New Roman" w:hAnsi="Times New Roman"/>
                    <w:szCs w:val="21"/>
                  </w:rPr>
                  <w:t>其他收益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6,596,332.00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4,278,310.89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七、68</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19,557,373.14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Times New Roman" w:hAnsi="Times New Roman"/>
                  </w:rPr>
                </w:pPr>
                <w:r>
                  <w:rPr>
                    <w:rFonts w:hint="eastAsia" w:ascii="Times New Roman" w:hAnsi="Times New Roman"/>
                  </w:rPr>
                  <w:t>以摊余成本计量的金融资产终止确认收益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汇兑收益（损失以“－”号填列）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净敞口套期收益（损失以“</w:t>
                </w:r>
                <w:r>
                  <w:rPr>
                    <w:rFonts w:ascii="Times New Roman" w:hAnsi="Times New Roman"/>
                  </w:rPr>
                  <w:t>-”号填列）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olor w:val="000000"/>
                    <w:szCs w:val="21"/>
                  </w:rPr>
                </w:pPr>
                <w:r>
                  <w:rPr>
                    <w:rFonts w:hint="eastAsia" w:ascii="Times New Roman" w:hAnsi="Times New Roman"/>
                    <w:szCs w:val="21"/>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七、70</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4,632,585.20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-49,163,642.77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信用减值损失（损失以“</w:t>
                </w:r>
                <w:r>
                  <w:rPr>
                    <w:rFonts w:ascii="Times New Roman" w:hAnsi="Times New Roman"/>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185,734.00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-3,999,074.95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资产减值损失</w:t>
                </w:r>
                <w:r>
                  <w:rPr>
                    <w:rFonts w:hint="eastAsia" w:ascii="Times New Roman" w:hAnsi="Times New Roman"/>
                  </w:rPr>
                  <w:t>（损失以“</w:t>
                </w:r>
                <w:r>
                  <w:rPr>
                    <w:rFonts w:ascii="Times New Roman" w:hAnsi="Times New Roman"/>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-3,140,942.13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-2,540,845.52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三、营业利润（亏损以“－”号填列）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30,755,319.17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-50,706,126.43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szCs w:val="21"/>
                  </w:rPr>
                  <w:t>加：营业外收入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1,341,100.07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730,445.26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szCs w:val="21"/>
                  </w:rPr>
                  <w:t>减：营业外支出</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1,803,031.13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608,135.02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四、利润总额（亏损总额以</w:t>
                </w:r>
                <w:r>
                  <w:rPr>
                    <w:rFonts w:ascii="Times New Roman" w:hAnsi="Times New Roman"/>
                    <w:szCs w:val="21"/>
                  </w:rPr>
                  <w:t>“</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30,293,388.11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-50,583,816.19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olor w:val="000000"/>
                    <w:szCs w:val="21"/>
                  </w:rPr>
                </w:pPr>
                <w:r>
                  <w:rPr>
                    <w:rFonts w:hint="eastAsia" w:ascii="Times New Roman" w:hAnsi="Times New Roman"/>
                    <w:szCs w:val="21"/>
                  </w:rPr>
                  <w:t>减：所得税费用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5,656,573.03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-11,937,544.42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0000"/>
                    <w:szCs w:val="21"/>
                  </w:rPr>
                </w:pPr>
                <w:r>
                  <w:rPr>
                    <w:rFonts w:hint="eastAsia" w:ascii="Times New Roman" w:hAnsi="Times New Roman"/>
                    <w:szCs w:val="21"/>
                  </w:rPr>
                  <w:t>五、净利润（净亏损以</w:t>
                </w:r>
                <w:r>
                  <w:rPr>
                    <w:rFonts w:ascii="Times New Roman" w:hAnsi="Times New Roman"/>
                    <w:szCs w:val="21"/>
                  </w:rPr>
                  <w:t>“</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24,636,815.08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-38,646,271.77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9445f61075384ccaafee7a9aff738d9c"/>
                <w:id w:val="7611"/>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（一）</w:t>
                    </w:r>
                    <w:r>
                      <w:rPr>
                        <w:rFonts w:hint="default" w:ascii="Times New Roman" w:hAnsi="Times New Roman" w:cs="Times New Roman"/>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1.持续经营净利润（净亏损以“－”号填列）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24,636,815.08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-38,646,271.77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2.终止经营净利润（净亏损以“－”号填列）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5703d86636cb476dab82350c9f6475fc"/>
                <w:id w:val="7612"/>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（二）</w:t>
                    </w:r>
                    <w:r>
                      <w:rPr>
                        <w:rFonts w:hint="default" w:ascii="Times New Roman" w:hAnsi="Times New Roman" w:cs="Times New Roman"/>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rPr>
                  <w:t>1.</w:t>
                </w:r>
                <w:r>
                  <w:rPr>
                    <w:rFonts w:hint="eastAsia" w:ascii="Times New Roman" w:hAnsi="Times New Roman"/>
                    <w:szCs w:val="21"/>
                  </w:rPr>
                  <w:t>归属于母</w:t>
                </w:r>
                <w:r>
                  <w:rPr>
                    <w:rFonts w:hint="eastAsia" w:ascii="Times New Roman" w:hAnsi="Times New Roman"/>
                  </w:rPr>
                  <w:t>公司</w:t>
                </w:r>
                <w:r>
                  <w:rPr>
                    <w:rFonts w:hint="eastAsia" w:ascii="Times New Roman" w:hAnsi="Times New Roman"/>
                    <w:szCs w:val="21"/>
                  </w:rPr>
                  <w:t>股东的净利润（净亏损以“</w:t>
                </w:r>
                <w:r>
                  <w:rPr>
                    <w:rFonts w:ascii="Times New Roman" w:hAnsi="Times New Roman"/>
                    <w:szCs w:val="21"/>
                  </w:rPr>
                  <w:t>-”号填列）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22,806,658.88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-38,589,058.32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rPr>
                  <w:t>2.</w:t>
                </w:r>
                <w:r>
                  <w:rPr>
                    <w:rFonts w:hint="eastAsia" w:ascii="Times New Roman" w:hAnsi="Times New Roman"/>
                    <w:szCs w:val="21"/>
                  </w:rPr>
                  <w:t>少数股东损益（净亏损以“</w:t>
                </w:r>
                <w:r>
                  <w:rPr>
                    <w:rFonts w:ascii="Times New Roman" w:hAnsi="Times New Roman"/>
                    <w:szCs w:val="21"/>
                  </w:rPr>
                  <w:t>-”号填列）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1,830,156.20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-57,213.45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szCs w:val="21"/>
                  </w:rPr>
                </w:pPr>
                <w:r>
                  <w:rPr>
                    <w:rFonts w:hint="eastAsia" w:ascii="Times New Roman" w:hAnsi="Times New Roman"/>
                    <w:szCs w:val="21"/>
                  </w:rPr>
                  <w:t>六、其他综合收益的税后净额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szCs w:val="21"/>
                  </w:rPr>
                  <w:t>（一）归属母公司所有者的其他综合收益的税后净额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．不能重分类进损益的其他综合收益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rPr>
                  <w:t>（1）</w:t>
                </w:r>
                <w:r>
                  <w:rPr>
                    <w:rFonts w:ascii="Times New Roman" w:hAnsi="Times New Roman"/>
                    <w:szCs w:val="21"/>
                  </w:rPr>
                  <w:t>重新计量设定受益计划变动额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rPr>
                  <w:t>（2）</w:t>
                </w:r>
                <w:r>
                  <w:rPr>
                    <w:rFonts w:ascii="Times New Roman" w:hAnsi="Times New Roman"/>
                  </w:rPr>
                  <w:t>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（3）</w:t>
                </w:r>
                <w:r>
                  <w:rPr>
                    <w:rFonts w:ascii="Times New Roman" w:hAnsi="Times New Roman"/>
                  </w:rPr>
                  <w:t>其他权益工具投资公允价值变动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（4）</w:t>
                </w:r>
                <w:r>
                  <w:rPr>
                    <w:rFonts w:ascii="Times New Roman" w:hAnsi="Times New Roman"/>
                  </w:rPr>
                  <w:t>企业自身信用风险公允价值变动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szCs w:val="21"/>
                  </w:rPr>
                  <w:t>2</w:t>
                </w:r>
                <w:r>
                  <w:rPr>
                    <w:rFonts w:hint="eastAsia" w:ascii="Times New Roman" w:hAnsi="Times New Roman"/>
                    <w:szCs w:val="21"/>
                  </w:rPr>
                  <w:t>．将重分类进损益的其他综合收益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rPr>
                  <w:t>（1）</w:t>
                </w:r>
                <w:r>
                  <w:rPr>
                    <w:rFonts w:ascii="Times New Roman" w:hAnsi="Times New Roman"/>
                  </w:rPr>
                  <w:t>权益法下可转损益的其他综合收益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（2）</w:t>
                </w:r>
                <w:r>
                  <w:rPr>
                    <w:rFonts w:ascii="Times New Roman" w:hAnsi="Times New Roman"/>
                  </w:rPr>
                  <w:t>其他债权投资公允价值变动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（3）</w:t>
                </w:r>
                <w:r>
                  <w:rPr>
                    <w:rFonts w:ascii="Times New Roman" w:hAnsi="Times New Roman"/>
                  </w:rPr>
                  <w:t>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（4）</w:t>
                </w:r>
                <w:r>
                  <w:rPr>
                    <w:rFonts w:ascii="Times New Roman" w:hAnsi="Times New Roman"/>
                  </w:rPr>
                  <w:t>其他债权投资信用减值准备</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（5）</w:t>
                </w:r>
                <w:r>
                  <w:rPr>
                    <w:rFonts w:ascii="Times New Roman" w:hAnsi="Times New Roman"/>
                  </w:rPr>
                  <w:t>现金流量套期储备</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（6）</w:t>
                </w:r>
                <w:r>
                  <w:rPr>
                    <w:rFonts w:ascii="Times New Roman" w:hAnsi="Times New Roman"/>
                  </w:rPr>
                  <w:t>外币财务报表折算差额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rPr>
                </w:pPr>
                <w:r>
                  <w:rPr>
                    <w:rFonts w:hint="eastAsia" w:ascii="Times New Roman" w:hAnsi="Times New Roman"/>
                  </w:rPr>
                  <w:t>（7）</w:t>
                </w:r>
                <w:r>
                  <w:rPr>
                    <w:rFonts w:ascii="Times New Roman" w:hAnsi="Times New Roman"/>
                  </w:rPr>
                  <w:t>其他</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ascii="Times New Roman" w:hAnsi="Times New Roman"/>
                    <w:szCs w:val="21"/>
                  </w:rPr>
                  <w:t>（二）</w:t>
                </w:r>
                <w:r>
                  <w:rPr>
                    <w:rFonts w:hint="eastAsia" w:ascii="Times New Roman" w:hAnsi="Times New Roman"/>
                    <w:szCs w:val="21"/>
                  </w:rPr>
                  <w:t>归属于少数股东的其他综合收益的税后净额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szCs w:val="21"/>
                  </w:rPr>
                </w:pPr>
                <w:r>
                  <w:rPr>
                    <w:rFonts w:hint="eastAsia" w:ascii="Times New Roman" w:hAnsi="Times New Roman"/>
                    <w:szCs w:val="21"/>
                  </w:rPr>
                  <w:t>七、综合收益总额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24,636,815.08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eastAsia" w:ascii="Times New Roman" w:hAnsi="Times New Roman" w:cs="Times New Roman"/>
                    <w:color w:val="auto"/>
                    <w:lang w:eastAsia="zh-CN"/>
                  </w:rPr>
                </w:pPr>
                <w:r>
                  <w:rPr>
                    <w:rFonts w:hint="eastAsia" w:ascii="Times New Roman" w:hAnsi="Times New Roman" w:cs="Times New Roman"/>
                    <w:color w:val="auto"/>
                    <w:highlight w:val="none"/>
                    <w:lang w:eastAsia="zh-CN"/>
                  </w:rPr>
                  <w:t>-38,646,271.77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ascii="Times New Roman" w:hAnsi="Times New Roman"/>
                    <w:szCs w:val="21"/>
                  </w:rPr>
                  <w:t>（一）</w:t>
                </w:r>
                <w:r>
                  <w:rPr>
                    <w:rFonts w:hint="eastAsia" w:ascii="Times New Roman" w:hAnsi="Times New Roman"/>
                    <w:szCs w:val="21"/>
                  </w:rPr>
                  <w:t>归属于母公司所有者的综合收益总额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22,806,658.88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-38,589,058.32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ascii="Times New Roman" w:hAnsi="Times New Roman"/>
                    <w:szCs w:val="21"/>
                  </w:rPr>
                  <w:t>（二）</w:t>
                </w:r>
                <w:r>
                  <w:rPr>
                    <w:rFonts w:hint="eastAsia" w:ascii="Times New Roman" w:hAnsi="Times New Roman"/>
                    <w:szCs w:val="21"/>
                  </w:rPr>
                  <w:t>归属于少数股东的综合收益总额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1,830,156.20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-57,213.45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rPr>
                <w:tag w:val="_PLD_6e9655fe2b7c48e3964f7a74f9c6deea"/>
                <w:id w:val="7613"/>
              </w:sdtPr>
              <w:sdtEndPr>
                <w:rPr>
                  <w:rFonts w:ascii="Times New Roman" w:hAnsi="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olor w:val="008000"/>
                        <w:szCs w:val="21"/>
                      </w:rPr>
                    </w:pPr>
                    <w:r>
                      <w:rPr>
                        <w:rFonts w:hint="eastAsia" w:ascii="Times New Roman" w:hAnsi="Times New Roman"/>
                        <w:szCs w:val="21"/>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ascii="Times New Roman" w:hAnsi="Times New Roman"/>
                    <w:szCs w:val="21"/>
                  </w:rPr>
                  <w:t>（一）基本每股收益</w:t>
                </w:r>
                <w:r>
                  <w:rPr>
                    <w:rFonts w:hint="eastAsia" w:ascii="Times New Roman" w:hAnsi="Times New Roman"/>
                    <w:szCs w:val="21"/>
                  </w:rPr>
                  <w:t>(元/股)</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0.04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ascii="Times New Roman" w:hAnsi="Times New Roman"/>
                    <w:szCs w:val="21"/>
                  </w:rPr>
                  <w:t>（二）稀释每股收益</w:t>
                </w:r>
                <w:r>
                  <w:rPr>
                    <w:rFonts w:hint="eastAsia" w:ascii="Times New Roman" w:hAnsi="Times New Roman"/>
                    <w:szCs w:val="21"/>
                  </w:rPr>
                  <w:t>(元/股)</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color w:val="auto"/>
                  </w:rPr>
                </w:pPr>
                <w:r>
                  <w:rPr>
                    <w:rFonts w:hint="default" w:ascii="Times New Roman" w:hAnsi="Times New Roman" w:cs="Times New Roman"/>
                    <w:color w:val="auto"/>
                  </w:rPr>
                  <w:t>0.04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color w:val="auto"/>
                  </w:rPr>
                </w:pPr>
                <w:r>
                  <w:rPr>
                    <w:rFonts w:hint="default" w:ascii="Times New Roman" w:hAnsi="Times New Roman" w:cs="Times New Roman"/>
                    <w:color w:val="auto"/>
                  </w:rPr>
                  <w:t>-0.07</w:t>
                </w:r>
              </w:p>
            </w:tc>
          </w:tr>
        </w:tbl>
        <w:p/>
        <w:p/>
        <w:p/>
        <w:p>
          <w:pPr>
            <w:rPr>
              <w:szCs w:val="21"/>
            </w:rPr>
          </w:pPr>
          <w:r>
            <w:rPr>
              <w:rFonts w:hint="eastAsia"/>
              <w:szCs w:val="21"/>
              <w:lang w:val="en-US" w:eastAsia="zh-CN"/>
            </w:rPr>
            <w:t>公</w:t>
          </w:r>
          <w:r>
            <w:rPr>
              <w:rFonts w:hint="eastAsia"/>
              <w:szCs w:val="21"/>
            </w:rPr>
            <w:t>司负责</w:t>
          </w:r>
          <w:r>
            <w:rPr>
              <w:szCs w:val="21"/>
            </w:rPr>
            <w:t>人</w:t>
          </w:r>
          <w:r>
            <w:rPr>
              <w:rFonts w:hint="eastAsia"/>
              <w:szCs w:val="21"/>
            </w:rPr>
            <w:t>：</w:t>
          </w:r>
          <w:sdt>
            <w:sdtPr>
              <w:rPr>
                <w:rFonts w:hint="eastAsia"/>
                <w:szCs w:val="21"/>
              </w:rPr>
              <w:alias w:val="公司负责人姓名"/>
              <w:tag w:val="_GBC_85589cdf09ed4055b8d177524f5a0df0"/>
              <w:id w:val="26239"/>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26240"/>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26241"/>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bookmarkEnd w:id="156"/>
    <w:p>
      <w:pPr>
        <w:rPr>
          <w:color w:val="FF0000"/>
          <w:szCs w:val="21"/>
        </w:rPr>
      </w:pPr>
    </w:p>
    <w:sdt>
      <w:sdtPr>
        <w:rPr>
          <w:rFonts w:hint="eastAsia" w:ascii="宋体" w:hAnsi="宋体" w:cs="宋体"/>
          <w:b w:val="0"/>
          <w:bCs w:val="0"/>
          <w:kern w:val="0"/>
          <w:szCs w:val="24"/>
        </w:rPr>
        <w:tag w:val="_SEC_7398696337e643be900ea0fa28731754"/>
        <w:id w:val="26242"/>
        <w:placeholder>
          <w:docPart w:val="GBC22222222222222222222222222222"/>
        </w:placeholder>
      </w:sdtPr>
      <w:sdtEndPr>
        <w:rPr>
          <w:rFonts w:hint="eastAsia" w:ascii="宋体" w:hAnsi="宋体" w:cs="宋体-方正超大字符集"/>
          <w:b w:val="0"/>
          <w:bCs w:val="0"/>
          <w:kern w:val="0"/>
          <w:szCs w:val="21"/>
        </w:rPr>
      </w:sdtEndPr>
      <w:sdtContent>
        <w:p>
          <w:pPr>
            <w:pStyle w:val="4"/>
            <w:jc w:val="center"/>
          </w:pPr>
          <w:bookmarkStart w:id="157" w:name="_Hlk24038476"/>
          <w:r>
            <w:rPr>
              <w:rFonts w:hint="eastAsia"/>
            </w:rPr>
            <w:t>母公司</w:t>
          </w:r>
          <w:r>
            <w:t>利润表</w:t>
          </w:r>
        </w:p>
        <w:p>
          <w:pPr>
            <w:jc w:val="center"/>
            <w:rPr>
              <w:rFonts w:hint="default" w:ascii="Times New Roman" w:hAnsi="Times New Roman" w:cs="Times New Roman"/>
              <w:b/>
              <w:bCs/>
              <w:szCs w:val="21"/>
            </w:rPr>
          </w:pPr>
          <w:r>
            <w:rPr>
              <w:rFonts w:hint="default" w:ascii="Times New Roman" w:hAnsi="Times New Roman" w:cs="Times New Roman"/>
              <w:szCs w:val="21"/>
            </w:rPr>
            <w:t>2023年1—12月</w:t>
          </w:r>
        </w:p>
        <w:p>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262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利润表"/>
              <w:tag w:val="_GBC_514289adafbe4fe995f8f3791e23e392"/>
              <w:id w:val="262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3"/>
            <w:gridCol w:w="1517"/>
            <w:gridCol w:w="2009"/>
            <w:gridCol w:w="2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36" w:type="pct"/>
                <w:tcBorders>
                  <w:top w:val="outset" w:color="auto" w:sz="4" w:space="0"/>
                  <w:left w:val="outset" w:color="auto" w:sz="4" w:space="0"/>
                  <w:bottom w:val="outset" w:color="auto" w:sz="4" w:space="0"/>
                  <w:right w:val="outset" w:color="auto" w:sz="4" w:space="0"/>
                </w:tcBorders>
                <w:vAlign w:val="center"/>
              </w:tcPr>
              <w:sdt>
                <w:sdtPr>
                  <w:rPr>
                    <w:rFonts w:hint="eastAsia" w:ascii="Times New Roman" w:hAnsi="Times New Roman"/>
                    <w:b/>
                  </w:rPr>
                  <w:tag w:val="_PLD_a25f325e0afe4d279180290df7e1dd6d"/>
                  <w:id w:val="10405"/>
                </w:sdtPr>
                <w:sdtEndPr>
                  <w:rPr>
                    <w:rFonts w:hint="eastAsia" w:ascii="Times New Roman" w:hAnsi="Times New Roman"/>
                    <w:b/>
                  </w:rPr>
                </w:sdtEndPr>
                <w:sdtContent>
                  <w:p>
                    <w:pPr>
                      <w:ind w:leftChars="-19" w:hanging="40" w:hangingChars="19"/>
                      <w:jc w:val="center"/>
                      <w:rPr>
                        <w:rFonts w:ascii="Times New Roman" w:hAnsi="Times New Roman"/>
                        <w:b/>
                      </w:rPr>
                    </w:pPr>
                    <w:r>
                      <w:rPr>
                        <w:rFonts w:hint="eastAsia" w:ascii="Times New Roman" w:hAnsi="Times New Roman"/>
                        <w:b/>
                      </w:rPr>
                      <w:t>项目</w:t>
                    </w:r>
                  </w:p>
                </w:sdtContent>
              </w:sdt>
            </w:tc>
            <w:tc>
              <w:tcPr>
                <w:tcW w:w="838"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4bea71a35f204b56bca2b7ea223d4b71"/>
                  <w:id w:val="10406"/>
                </w:sdtPr>
                <w:sdtEndPr>
                  <w:rPr>
                    <w:rFonts w:hint="eastAsia" w:ascii="Times New Roman" w:hAnsi="Times New Roman"/>
                    <w:b/>
                  </w:rPr>
                </w:sdtEndPr>
                <w:sdtContent>
                  <w:p>
                    <w:pPr>
                      <w:jc w:val="center"/>
                      <w:rPr>
                        <w:rFonts w:ascii="Times New Roman" w:hAnsi="Times New Roman"/>
                        <w:b/>
                      </w:rPr>
                    </w:pPr>
                    <w:r>
                      <w:rPr>
                        <w:rFonts w:hint="eastAsia" w:ascii="Times New Roman" w:hAnsi="Times New Roman"/>
                        <w:b/>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rPr>
                    <w:rFonts w:hint="default" w:ascii="Times New Roman" w:hAnsi="Times New Roman" w:cs="Times New Roman"/>
                    <w:b/>
                  </w:rPr>
                  <w:tag w:val="_PLD_a2bf02ec3f0b4ce2b9d25f751262d2b0"/>
                  <w:id w:val="10407"/>
                </w:sdtPr>
                <w:sdtEndPr>
                  <w:rPr>
                    <w:rFonts w:hint="default" w:ascii="Times New Roman" w:hAnsi="Times New Roman" w:cs="Times New Roman"/>
                    <w:b/>
                  </w:rPr>
                </w:sdtEndPr>
                <w:sdtContent>
                  <w:p>
                    <w:pPr>
                      <w:jc w:val="center"/>
                      <w:rPr>
                        <w:rFonts w:hint="default" w:ascii="Times New Roman" w:hAnsi="Times New Roman" w:cs="Times New Roman"/>
                        <w:b/>
                      </w:rPr>
                    </w:pPr>
                    <w:r>
                      <w:rPr>
                        <w:rFonts w:hint="default" w:ascii="Times New Roman" w:hAnsi="Times New Roman" w:cs="Times New Roman"/>
                        <w:b/>
                      </w:rPr>
                      <w:t>2023年度</w:t>
                    </w:r>
                  </w:p>
                </w:sdtContent>
              </w:sdt>
            </w:tc>
            <w:tc>
              <w:tcPr>
                <w:tcW w:w="1115" w:type="pct"/>
                <w:tcBorders>
                  <w:top w:val="outset" w:color="auto" w:sz="4" w:space="0"/>
                  <w:left w:val="outset" w:color="auto" w:sz="4" w:space="0"/>
                  <w:bottom w:val="outset" w:color="auto" w:sz="4" w:space="0"/>
                  <w:right w:val="outset" w:color="auto" w:sz="4" w:space="0"/>
                </w:tcBorders>
                <w:vAlign w:val="center"/>
              </w:tcPr>
              <w:sdt>
                <w:sdtPr>
                  <w:rPr>
                    <w:rFonts w:hint="default" w:ascii="Times New Roman" w:hAnsi="Times New Roman" w:cs="Times New Roman"/>
                    <w:b/>
                  </w:rPr>
                  <w:tag w:val="_PLD_7a01f378d3e3492c9571d4400832431f"/>
                  <w:id w:val="10408"/>
                </w:sdtPr>
                <w:sdtEndPr>
                  <w:rPr>
                    <w:rFonts w:hint="default" w:ascii="Times New Roman" w:hAnsi="Times New Roman" w:cs="Times New Roman"/>
                    <w:b/>
                  </w:rPr>
                </w:sdtEndPr>
                <w:sdtContent>
                  <w:p>
                    <w:pPr>
                      <w:jc w:val="center"/>
                      <w:rPr>
                        <w:rFonts w:hint="default" w:ascii="Times New Roman" w:hAnsi="Times New Roman" w:cs="Times New Roman"/>
                        <w:b/>
                      </w:rPr>
                    </w:pPr>
                    <w:r>
                      <w:rPr>
                        <w:rFonts w:hint="default" w:ascii="Times New Roman" w:hAnsi="Times New Roman" w:cs="Times New Roman"/>
                        <w:b/>
                      </w:rPr>
                      <w:t>2022年度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olor w:val="000000"/>
                    <w:szCs w:val="21"/>
                  </w:rPr>
                </w:pPr>
                <w:r>
                  <w:rPr>
                    <w:rFonts w:hint="eastAsia" w:ascii="Times New Roman" w:hAnsi="Times New Roman"/>
                    <w:szCs w:val="21"/>
                  </w:rPr>
                  <w:t>一、营业收入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178,639,305.96</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142,829,299.36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olor w:val="000000"/>
                    <w:szCs w:val="21"/>
                  </w:rPr>
                </w:pPr>
                <w:r>
                  <w:rPr>
                    <w:rFonts w:hint="eastAsia" w:ascii="Times New Roman" w:hAnsi="Times New Roman"/>
                    <w:szCs w:val="21"/>
                  </w:rPr>
                  <w:t>减：营业成本</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126,591,588.09</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97,751,239.85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税金及附加</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3,279,017.58</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3,442,782.58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销售费用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64,591,765.13</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55,203,650.43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管理费用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33,565,070.27</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30,080,192.82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研发费用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8,198,477.02</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7,974,236.55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财务费用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-35,218,928.38</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-37,487,035.65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其中：利息费用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1,324,310.17</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1,072,302.32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ascii="Times New Roman" w:hAnsi="Times New Roman"/>
                  </w:rPr>
                </w:pPr>
                <w:r>
                  <w:rPr>
                    <w:rFonts w:hint="eastAsia" w:ascii="Times New Roman" w:hAnsi="Times New Roman"/>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36,576,970.08</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38,728,040.97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rPr>
                  <w:t>加：</w:t>
                </w:r>
                <w:r>
                  <w:rPr>
                    <w:rFonts w:hint="eastAsia" w:ascii="Times New Roman" w:hAnsi="Times New Roman"/>
                    <w:szCs w:val="21"/>
                  </w:rPr>
                  <w:t>其他收益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922,154.52</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411,377.76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十</w:t>
                </w:r>
                <w:r>
                  <w:rPr>
                    <w:rFonts w:hint="eastAsia" w:ascii="Times New Roman" w:hAnsi="Times New Roman"/>
                    <w:lang w:val="en-US" w:eastAsia="zh-CN"/>
                  </w:rPr>
                  <w:t>九</w:t>
                </w:r>
                <w:r>
                  <w:rPr>
                    <w:rFonts w:ascii="Times New Roman" w:hAnsi="Times New Roman"/>
                  </w:rPr>
                  <w:t>、5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w:t>
                </w: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19,285,566.80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tcPr>
              <w:p>
                <w:pPr>
                  <w:ind w:firstLine="1155" w:firstLineChars="550"/>
                  <w:rPr>
                    <w:rFonts w:ascii="Times New Roman" w:hAnsi="Times New Roman"/>
                  </w:rPr>
                </w:pPr>
                <w:r>
                  <w:rPr>
                    <w:rFonts w:hint="eastAsia" w:ascii="Times New Roman" w:hAnsi="Times New Roman"/>
                  </w:rPr>
                  <w:t>以摊余成本计量的金融资产终止确认收益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净敞口套期收益（损失以“</w:t>
                </w:r>
                <w:r>
                  <w:rPr>
                    <w:rFonts w:ascii="Times New Roman" w:hAnsi="Times New Roman"/>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olor w:val="000000"/>
                    <w:szCs w:val="21"/>
                  </w:rPr>
                </w:pPr>
                <w:r>
                  <w:rPr>
                    <w:rFonts w:hint="eastAsia" w:ascii="Times New Roman" w:hAnsi="Times New Roman"/>
                    <w:szCs w:val="21"/>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4,632,585.20</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-49,163,642.77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信用减值损失（损失以“</w:t>
                </w:r>
                <w:r>
                  <w:rPr>
                    <w:rFonts w:ascii="Times New Roman" w:hAnsi="Times New Roman"/>
                  </w:rPr>
                  <w:t>-”号填列）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-609,595.54</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-1,094,616.63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szCs w:val="21"/>
                  </w:rPr>
                </w:pPr>
                <w:r>
                  <w:rPr>
                    <w:rFonts w:hint="eastAsia" w:ascii="Times New Roman" w:hAnsi="Times New Roman"/>
                    <w:szCs w:val="21"/>
                  </w:rPr>
                  <w:t>资产减值损失（损失以“</w:t>
                </w:r>
                <w:r>
                  <w:rPr>
                    <w:rFonts w:ascii="Times New Roman" w:hAnsi="Times New Roman"/>
                    <w:szCs w:val="21"/>
                  </w:rPr>
                  <w:t>-”号填列）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-2,634,681.53</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-2,540,845.52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rPr>
                </w:pPr>
                <w:r>
                  <w:rPr>
                    <w:rFonts w:hint="eastAsia" w:ascii="Times New Roman" w:hAnsi="Times New Roman"/>
                  </w:rPr>
                  <w:t>资产处置收益（损失以“－”号填列）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olor w:val="000000"/>
                    <w:szCs w:val="21"/>
                  </w:rPr>
                </w:pPr>
                <w:r>
                  <w:rPr>
                    <w:rFonts w:hint="eastAsia" w:ascii="Times New Roman" w:hAnsi="Times New Roman"/>
                    <w:szCs w:val="21"/>
                  </w:rPr>
                  <w:t>二、营业利润（亏损以“－”号填列）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1,041,804.72</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-47,237,927.58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olor w:val="000000"/>
                    <w:szCs w:val="21"/>
                  </w:rPr>
                </w:pPr>
                <w:r>
                  <w:rPr>
                    <w:rFonts w:hint="eastAsia" w:ascii="Times New Roman" w:hAnsi="Times New Roman"/>
                    <w:szCs w:val="21"/>
                  </w:rPr>
                  <w:t>加：营业外收入</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1,036,080.50</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455,001.22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olor w:val="000000"/>
                    <w:szCs w:val="21"/>
                  </w:rPr>
                </w:pPr>
                <w:r>
                  <w:rPr>
                    <w:rFonts w:hint="eastAsia" w:ascii="Times New Roman" w:hAnsi="Times New Roman"/>
                    <w:szCs w:val="21"/>
                  </w:rPr>
                  <w:t>减：营业外支出</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147,579.91</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49,938.74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olor w:val="000000"/>
                    <w:szCs w:val="21"/>
                  </w:rPr>
                </w:pPr>
                <w:r>
                  <w:rPr>
                    <w:rFonts w:hint="eastAsia" w:ascii="Times New Roman" w:hAnsi="Times New Roman"/>
                    <w:szCs w:val="21"/>
                  </w:rPr>
                  <w:t>三、利润总额（亏损总额以“－”号填列）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1,930,305.31</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-46,832,865.10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imes New Roman" w:hAnsi="Times New Roman"/>
                    <w:color w:val="000000"/>
                    <w:szCs w:val="21"/>
                  </w:rPr>
                </w:pPr>
                <w:r>
                  <w:rPr>
                    <w:rFonts w:hint="eastAsia" w:ascii="Times New Roman" w:hAnsi="Times New Roman"/>
                    <w:szCs w:val="21"/>
                  </w:rPr>
                  <w:t>减：所得税费用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1,158,146.30</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-12,290,910.69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olor w:val="000000"/>
                    <w:szCs w:val="21"/>
                  </w:rPr>
                </w:pPr>
                <w:r>
                  <w:rPr>
                    <w:rFonts w:hint="eastAsia" w:ascii="Times New Roman" w:hAnsi="Times New Roman"/>
                    <w:szCs w:val="21"/>
                  </w:rPr>
                  <w:t>四、净利润（净亏损以“－”号填列）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772,159.01</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-34,541,954.41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Times New Roman" w:hAnsi="Times New Roman"/>
                  </w:rPr>
                </w:pPr>
                <w:r>
                  <w:rPr>
                    <w:rFonts w:hint="eastAsia" w:ascii="Times New Roman" w:hAnsi="Times New Roman"/>
                    <w:szCs w:val="21"/>
                  </w:rPr>
                  <w:t>（一）</w:t>
                </w:r>
                <w:r>
                  <w:rPr>
                    <w:rFonts w:ascii="Times New Roman" w:hAnsi="Times New Roman"/>
                  </w:rPr>
                  <w:t>持续经营净利润（净亏损以“－”号填列）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sz w:val="21"/>
                    <w:szCs w:val="21"/>
                  </w:rPr>
                  <w:t>772,159.01</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cs="Times New Roman"/>
                    <w:sz w:val="21"/>
                    <w:szCs w:val="21"/>
                  </w:rPr>
                  <w:t>-34,541,954.41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Times New Roman" w:hAnsi="Times New Roman"/>
                  </w:rPr>
                </w:pPr>
                <w:r>
                  <w:rPr>
                    <w:rFonts w:hint="eastAsia" w:ascii="Times New Roman" w:hAnsi="Times New Roman"/>
                  </w:rPr>
                  <w:t>（二）终止经营净利润（净亏损以“－”号填列）</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c>
              <w:tcPr>
                <w:tcW w:w="111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rFonts w:ascii="Times New Roman" w:hAnsi="Times New Roman"/>
                    <w:szCs w:val="21"/>
                  </w:rPr>
                </w:pPr>
                <w:r>
                  <w:rPr>
                    <w:rFonts w:hint="eastAsia" w:ascii="Times New Roman" w:hAnsi="Times New Roman"/>
                    <w:szCs w:val="21"/>
                  </w:rPr>
                  <w:t>五、其他综合收益的税后净额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szCs w:val="21"/>
                  </w:rPr>
                  <w:t>（一）不能重分类进损益的其他综合收益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szCs w:val="21"/>
                  </w:rPr>
                  <w:t>1.重新计量设定受益计划变动额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szCs w:val="21"/>
                  </w:rPr>
                  <w:t>2.权益法下不能转损益的其他综合收益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3.其他权益工具投资公允价值变动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4.企业自身信用风险公允价值变动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szCs w:val="21"/>
                  </w:rPr>
                </w:pPr>
                <w:r>
                  <w:rPr>
                    <w:rFonts w:hint="eastAsia" w:ascii="Times New Roman" w:hAnsi="Times New Roman"/>
                    <w:szCs w:val="21"/>
                  </w:rPr>
                  <w:t>（二）将重分类进损益的其他综合收益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szCs w:val="21"/>
                  </w:rPr>
                </w:pPr>
                <w:r>
                  <w:rPr>
                    <w:rFonts w:ascii="Times New Roman" w:hAnsi="Times New Roman"/>
                    <w:szCs w:val="21"/>
                  </w:rPr>
                  <w:t>1.权益法下可转损益的其他综合收益</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szCs w:val="21"/>
                  </w:rPr>
                  <w:t>2.</w:t>
                </w:r>
                <w:r>
                  <w:rPr>
                    <w:rFonts w:ascii="Times New Roman" w:hAnsi="Times New Roman"/>
                  </w:rPr>
                  <w:t>其他债权投资公允价值变动</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3.金融资产重分类计入其他综合收益的金额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4.其他债权投资信用减值准备</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5.现金流量套期储备</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6.外币财务报表折算差额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rPr>
                </w:pPr>
                <w:r>
                  <w:rPr>
                    <w:rFonts w:ascii="Times New Roman" w:hAnsi="Times New Roman"/>
                  </w:rPr>
                  <w:t>7.其他</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szCs w:val="21"/>
                  </w:rPr>
                </w:pPr>
                <w:r>
                  <w:rPr>
                    <w:rFonts w:hint="eastAsia" w:ascii="Times New Roman" w:hAnsi="Times New Roman"/>
                    <w:szCs w:val="21"/>
                  </w:rPr>
                  <w:t>六、综合收益总额</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772,159.01</w:t>
                </w:r>
              </w:p>
            </w:tc>
            <w:tc>
              <w:tcPr>
                <w:tcW w:w="1115" w:type="pct"/>
                <w:tcBorders>
                  <w:top w:val="outset" w:color="auto" w:sz="4" w:space="0"/>
                  <w:left w:val="outset" w:color="auto" w:sz="4" w:space="0"/>
                  <w:bottom w:val="outset" w:color="auto" w:sz="4" w:space="0"/>
                  <w:right w:val="outset" w:color="auto" w:sz="4" w:space="0"/>
                </w:tcBorders>
                <w:vAlign w:val="center"/>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-34,541,954.41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rPr>
                <w:tag w:val="_PLD_3b0447fd122e4105bde5cc49acaea414"/>
                <w:id w:val="10409"/>
              </w:sdtPr>
              <w:sdtEndPr>
                <w:rPr>
                  <w:rFonts w:ascii="Times New Roman" w:hAnsi="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szCs w:val="21"/>
                      </w:rPr>
                    </w:pPr>
                    <w:r>
                      <w:rPr>
                        <w:rFonts w:hint="eastAsia" w:ascii="Times New Roman" w:hAnsi="Times New Roman"/>
                        <w:szCs w:val="21"/>
                      </w:rPr>
                      <w:t>七</w:t>
                    </w:r>
                    <w:r>
                      <w:rPr>
                        <w:rFonts w:ascii="Times New Roman" w:hAnsi="Times New Roman"/>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imes New Roman" w:hAnsi="Times New Roman"/>
                    <w:szCs w:val="21"/>
                  </w:rPr>
                </w:pPr>
                <w:r>
                  <w:rPr>
                    <w:rFonts w:ascii="Times New Roman" w:hAnsi="Times New Roman"/>
                    <w:szCs w:val="21"/>
                  </w:rPr>
                  <w:t>（一）基本每股收益</w:t>
                </w:r>
                <w:r>
                  <w:rPr>
                    <w:rFonts w:hint="eastAsia" w:ascii="Times New Roman" w:hAnsi="Times New Roman"/>
                    <w:szCs w:val="21"/>
                  </w:rPr>
                  <w:t>(元/股)</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6"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imes New Roman" w:hAnsi="Times New Roman"/>
                    <w:szCs w:val="21"/>
                  </w:rPr>
                </w:pPr>
                <w:r>
                  <w:rPr>
                    <w:rFonts w:ascii="Times New Roman" w:hAnsi="Times New Roman"/>
                    <w:szCs w:val="21"/>
                  </w:rPr>
                  <w:t>（二）稀释每股收益</w:t>
                </w:r>
                <w:r>
                  <w:rPr>
                    <w:rFonts w:hint="eastAsia" w:ascii="Times New Roman" w:hAnsi="Times New Roman"/>
                    <w:szCs w:val="21"/>
                  </w:rPr>
                  <w:t>(元/股)</w:t>
                </w:r>
              </w:p>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1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bl>
        <w:p/>
        <w:p>
          <w:pPr>
            <w:snapToGrid w:val="0"/>
            <w:spacing w:line="240" w:lineRule="atLeast"/>
            <w:ind w:right="-153" w:rightChars="-7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26250"/>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26251"/>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6252"/>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bookmarkEnd w:id="157"/>
    <w:sdt>
      <w:sdtPr>
        <w:rPr>
          <w:rFonts w:hint="eastAsia"/>
          <w:b/>
          <w:bCs/>
          <w:szCs w:val="21"/>
        </w:rPr>
        <w:tag w:val="_GBC_17c43da24c7845d3aa093910aeaf2348"/>
        <w:id w:val="26253"/>
        <w:placeholder>
          <w:docPart w:val="GBC22222222222222222222222222222"/>
        </w:placeholder>
      </w:sdtPr>
      <w:sdtEndPr>
        <w:rPr>
          <w:rFonts w:hint="eastAsia"/>
          <w:b w:val="0"/>
          <w:bCs w:val="0"/>
          <w:szCs w:val="21"/>
        </w:rPr>
      </w:sdtEndPr>
      <w:sdtContent>
        <w:p>
          <w:pPr>
            <w:jc w:val="center"/>
            <w:outlineLvl w:val="2"/>
            <w:rPr>
              <w:rFonts w:hint="eastAsia"/>
              <w:b/>
              <w:bCs/>
              <w:szCs w:val="21"/>
            </w:rPr>
          </w:pPr>
          <w:bookmarkStart w:id="158" w:name="_Hlk24038756"/>
          <w:bookmarkEnd w:id="158"/>
          <w:bookmarkStart w:id="159" w:name="_Hlk1156136"/>
        </w:p>
        <w:p>
          <w:pPr>
            <w:jc w:val="center"/>
            <w:outlineLvl w:val="2"/>
            <w:rPr>
              <w:rFonts w:hint="eastAsia"/>
              <w:b/>
              <w:bCs/>
              <w:szCs w:val="21"/>
            </w:rPr>
          </w:pPr>
        </w:p>
        <w:p>
          <w:pPr>
            <w:jc w:val="center"/>
            <w:outlineLvl w:val="2"/>
            <w:rPr>
              <w:rFonts w:hint="eastAsia"/>
              <w:b/>
              <w:bCs/>
              <w:szCs w:val="21"/>
            </w:rPr>
          </w:pPr>
        </w:p>
        <w:p>
          <w:pPr>
            <w:jc w:val="center"/>
            <w:outlineLvl w:val="2"/>
            <w:rPr>
              <w:b/>
              <w:bCs/>
              <w:szCs w:val="21"/>
            </w:rPr>
          </w:pPr>
          <w:r>
            <w:rPr>
              <w:rFonts w:hint="eastAsia"/>
              <w:b/>
              <w:bCs/>
              <w:szCs w:val="21"/>
            </w:rPr>
            <w:t>合并</w:t>
          </w:r>
          <w:r>
            <w:rPr>
              <w:b/>
              <w:bCs/>
              <w:szCs w:val="21"/>
            </w:rPr>
            <w:t>现金流量表</w:t>
          </w:r>
        </w:p>
        <w:p>
          <w:pPr>
            <w:jc w:val="center"/>
            <w:rPr>
              <w:rFonts w:hint="default" w:ascii="Times New Roman" w:hAnsi="Times New Roman" w:cs="Times New Roman"/>
              <w:b/>
              <w:bCs/>
              <w:szCs w:val="21"/>
            </w:rPr>
          </w:pPr>
          <w:r>
            <w:rPr>
              <w:rFonts w:hint="default" w:ascii="Times New Roman" w:hAnsi="Times New Roman" w:cs="Times New Roman"/>
              <w:szCs w:val="21"/>
            </w:rPr>
            <w:t>2023年1—12月</w:t>
          </w:r>
        </w:p>
        <w:p>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6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62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2"/>
            <w:gridCol w:w="1565"/>
            <w:gridCol w:w="2174"/>
            <w:gridCol w:w="21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5a1e687815424d54a4dd8744648aa3cb"/>
                  <w:id w:val="10445"/>
                </w:sdtPr>
                <w:sdtEndPr>
                  <w:rPr>
                    <w:rFonts w:hint="eastAsia" w:ascii="Times New Roman" w:hAnsi="Times New Roman"/>
                    <w:b/>
                  </w:rPr>
                </w:sdtEndPr>
                <w:sdtContent>
                  <w:p>
                    <w:pPr>
                      <w:jc w:val="center"/>
                      <w:rPr>
                        <w:rFonts w:ascii="Times New Roman" w:hAnsi="Times New Roman"/>
                        <w:b/>
                      </w:rPr>
                    </w:pPr>
                    <w:r>
                      <w:rPr>
                        <w:rFonts w:hint="eastAsia" w:ascii="Times New Roman" w:hAnsi="Times New Roman"/>
                        <w:b/>
                      </w:rPr>
                      <w:t>项目</w:t>
                    </w:r>
                  </w:p>
                </w:sdtContent>
              </w:sdt>
            </w:tc>
            <w:tc>
              <w:tcPr>
                <w:tcW w:w="865"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3c902166982f4ea18b3f3d11c1fe2190"/>
                  <w:id w:val="10446"/>
                </w:sdtPr>
                <w:sdtEndPr>
                  <w:rPr>
                    <w:rFonts w:hint="eastAsia" w:ascii="Times New Roman" w:hAnsi="Times New Roman"/>
                    <w:b/>
                  </w:rPr>
                </w:sdtEndPr>
                <w:sdtContent>
                  <w:p>
                    <w:pPr>
                      <w:jc w:val="center"/>
                      <w:rPr>
                        <w:rFonts w:ascii="Times New Roman" w:hAnsi="Times New Roman"/>
                        <w:b/>
                      </w:rPr>
                    </w:pPr>
                    <w:r>
                      <w:rPr>
                        <w:rFonts w:hint="eastAsia" w:ascii="Times New Roman" w:hAnsi="Times New Roman"/>
                        <w:b/>
                      </w:rPr>
                      <w:t>附注</w:t>
                    </w:r>
                  </w:p>
                </w:sdtContent>
              </w:sdt>
            </w:tc>
            <w:tc>
              <w:tcPr>
                <w:tcW w:w="1201"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29a06cc719e5467e82013eb798ebb143"/>
                  <w:id w:val="10447"/>
                </w:sdtPr>
                <w:sdtEndPr>
                  <w:rPr>
                    <w:rFonts w:hint="eastAsia" w:ascii="Times New Roman" w:hAnsi="Times New Roman"/>
                    <w:b/>
                  </w:rPr>
                </w:sdtEndPr>
                <w:sdtContent>
                  <w:p>
                    <w:pPr>
                      <w:autoSpaceDE w:val="0"/>
                      <w:autoSpaceDN w:val="0"/>
                      <w:adjustRightInd w:val="0"/>
                      <w:jc w:val="center"/>
                      <w:rPr>
                        <w:rFonts w:ascii="Times New Roman" w:hAnsi="Times New Roman"/>
                        <w:b/>
                      </w:rPr>
                    </w:pPr>
                    <w:r>
                      <w:rPr>
                        <w:rFonts w:hint="eastAsia" w:ascii="Times New Roman" w:hAnsi="Times New Roman"/>
                        <w:b/>
                      </w:rPr>
                      <w:t>2023年度</w:t>
                    </w:r>
                  </w:p>
                </w:sdtContent>
              </w:sdt>
            </w:tc>
            <w:tc>
              <w:tcPr>
                <w:tcW w:w="1196"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0bd5effed8234e5eb21199f6669657c2"/>
                  <w:id w:val="10448"/>
                </w:sdtPr>
                <w:sdtEndPr>
                  <w:rPr>
                    <w:rFonts w:hint="eastAsia" w:ascii="Times New Roman" w:hAnsi="Times New Roman"/>
                    <w:b/>
                  </w:rPr>
                </w:sdtEndPr>
                <w:sdtContent>
                  <w:p>
                    <w:pPr>
                      <w:autoSpaceDE w:val="0"/>
                      <w:autoSpaceDN w:val="0"/>
                      <w:adjustRightInd w:val="0"/>
                      <w:jc w:val="center"/>
                      <w:rPr>
                        <w:rFonts w:ascii="Times New Roman" w:hAnsi="Times New Roman"/>
                        <w:b/>
                      </w:rPr>
                    </w:pPr>
                    <w:r>
                      <w:rPr>
                        <w:rFonts w:hint="eastAsia" w:ascii="Times New Roman" w:hAnsi="Times New Roman"/>
                        <w:b/>
                      </w:rPr>
                      <w:t>2022年度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rPr>
                <w:tag w:val="_PLD_c03c8258c1684fb989d96332af6834de"/>
                <w:id w:val="10449"/>
              </w:sdtPr>
              <w:sdtEndPr>
                <w:rPr>
                  <w:rFonts w:ascii="Times New Roman" w:hAnsi="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hint="eastAsia" w:ascii="Times New Roman" w:hAnsi="Times New Roman"/>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销售商品、提供劳务收到的现金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1,117,610,757.95 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705,285,228.89 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客户存款和同业存放款项净增加额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向中央银行借款净增加额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向其他金融机构拆入资金净增加额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收到原保险合同保费取得的现金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收到再保业务现金净额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保户储金及投资款净增加额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收取利息、手续费及佣金的现金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拆入资金净增加额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回购业务资金净增加额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rPr>
                </w:pPr>
                <w:r>
                  <w:rPr>
                    <w:rFonts w:hint="eastAsia" w:ascii="Times New Roman" w:hAnsi="Times New Roman"/>
                  </w:rPr>
                  <w:t>代理买卖证券收到的现金净额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收到的税费返还</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548,350.79 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2,188,605.84 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收到其他与经营活动有关的现金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七、78.（1）</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48,124,493.00 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66,075,427.84 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经营活动现金流入小计</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1,166,283,601.74 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773,549,262.57 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购买商品、接受劳务支付的现金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797,141,017.59 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480,435,823.81 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客户贷款及垫款净增加额</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存放中央银行和同业款项净增加额</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支付原保险合同赔付款项的现金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rPr>
                </w:pPr>
                <w:r>
                  <w:rPr>
                    <w:rFonts w:hint="eastAsia" w:ascii="Times New Roman" w:hAnsi="Times New Roman"/>
                  </w:rPr>
                  <w:t>拆出资金净增加额</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支付利息、手续费及佣金的现金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支付保单红利的现金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支付给职工及为职工支付的现金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154,278,017.46 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137,245,858.65 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支付的各项税费</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39,010,665.96 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18,477,199.09 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支付其他与经营活动有关的现金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七、78.（</w:t>
                </w:r>
                <w:r>
                  <w:rPr>
                    <w:rFonts w:hint="eastAsia" w:ascii="Times New Roman" w:hAnsi="Times New Roman"/>
                    <w:lang w:val="en-US" w:eastAsia="zh-CN"/>
                  </w:rPr>
                  <w:t>1</w:t>
                </w:r>
                <w:r>
                  <w:rPr>
                    <w:rFonts w:ascii="Times New Roman" w:hAnsi="Times New Roman"/>
                  </w:rPr>
                  <w:t>）</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137,485,580.56</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109,810,232.86 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经营活动现金流出小计</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1,127,915,281.57</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745,969,114.41 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olor w:val="000000"/>
                    <w:szCs w:val="21"/>
                  </w:rPr>
                </w:pPr>
                <w:r>
                  <w:rPr>
                    <w:rFonts w:hint="eastAsia" w:ascii="Times New Roman" w:hAnsi="Times New Roman"/>
                    <w:szCs w:val="21"/>
                  </w:rPr>
                  <w:t>经营活动产生的现金流量净额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eastAsia" w:ascii="Times New Roman" w:hAnsi="Times New Roman" w:cs="Times New Roman"/>
                    <w:lang w:eastAsia="zh-CN"/>
                  </w:rPr>
                  <w:t>38,368,320.17</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27,580,148.16 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rPr>
                <w:tag w:val="_PLD_cb59aa0e2bd944b8ba7271368c6da00a"/>
                <w:id w:val="10450"/>
              </w:sdtPr>
              <w:sdtEndPr>
                <w:rPr>
                  <w:rFonts w:ascii="Times New Roman" w:hAnsi="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olor w:val="008000"/>
                        <w:szCs w:val="21"/>
                      </w:rPr>
                    </w:pPr>
                    <w:r>
                      <w:rPr>
                        <w:rFonts w:hint="eastAsia" w:ascii="Times New Roman" w:hAnsi="Times New Roman"/>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收回投资收到的现金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17,294,547.43 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取得投资收益收到的现金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19,531,587.17 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处置固定资产、无形资产和其他长期资产收回的现金净额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363,699.40 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190,265.49 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处置子公司及其他营业单位收到的现金净额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收到其他与投资活动有关的现金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七、78.（</w:t>
                </w:r>
                <w:r>
                  <w:rPr>
                    <w:rFonts w:hint="eastAsia" w:ascii="Times New Roman" w:hAnsi="Times New Roman"/>
                    <w:lang w:val="en-US" w:eastAsia="zh-CN"/>
                  </w:rPr>
                  <w:t>2</w:t>
                </w:r>
                <w:r>
                  <w:rPr>
                    <w:rFonts w:ascii="Times New Roman" w:hAnsi="Times New Roman"/>
                  </w:rPr>
                  <w:t>）</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30,000,000.00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投资活动现金流入小计</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21,462,725.22 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67,016,400.09 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购建固定资产、无形资产和其他长期资产支付的现金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26,551,686.04 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22,113,440.45 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投资支付的现金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24,143,475.47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质押贷款净增加额</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取得子公司及其他营业单位支付的现金净额</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支付其他与投资活动有关的现金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七、78.（</w:t>
                </w:r>
                <w:r>
                  <w:rPr>
                    <w:rFonts w:hint="eastAsia" w:ascii="Times New Roman" w:hAnsi="Times New Roman"/>
                    <w:lang w:val="en-US" w:eastAsia="zh-CN"/>
                  </w:rPr>
                  <w:t>2</w:t>
                </w:r>
                <w:r>
                  <w:rPr>
                    <w:rFonts w:ascii="Times New Roman" w:hAnsi="Times New Roman"/>
                  </w:rPr>
                  <w:t>）</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 w:val="21"/>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30,000,000.00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投资活动现金流出小计</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bottom"/>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26,551,686.04 </w:t>
                </w:r>
              </w:p>
            </w:tc>
            <w:tc>
              <w:tcPr>
                <w:tcW w:w="1196" w:type="pct"/>
                <w:tcBorders>
                  <w:top w:val="outset" w:color="auto" w:sz="4" w:space="0"/>
                  <w:left w:val="outset" w:color="auto" w:sz="4" w:space="0"/>
                  <w:bottom w:val="outset" w:color="auto" w:sz="4" w:space="0"/>
                  <w:right w:val="outset" w:color="auto" w:sz="4" w:space="0"/>
                </w:tcBorders>
                <w:vAlign w:val="bottom"/>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76,256,915.92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olor w:val="000000"/>
                    <w:szCs w:val="21"/>
                  </w:rPr>
                </w:pPr>
                <w:r>
                  <w:rPr>
                    <w:rFonts w:hint="eastAsia" w:ascii="Times New Roman" w:hAnsi="Times New Roman"/>
                    <w:szCs w:val="21"/>
                  </w:rPr>
                  <w:t>投资活动产生的现金流量净额</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bottom"/>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-5,088,960.82 </w:t>
                </w:r>
              </w:p>
            </w:tc>
            <w:tc>
              <w:tcPr>
                <w:tcW w:w="1196" w:type="pct"/>
                <w:tcBorders>
                  <w:top w:val="outset" w:color="auto" w:sz="4" w:space="0"/>
                  <w:left w:val="outset" w:color="auto" w:sz="4" w:space="0"/>
                  <w:bottom w:val="outset" w:color="auto" w:sz="4" w:space="0"/>
                  <w:right w:val="outset" w:color="auto" w:sz="4" w:space="0"/>
                </w:tcBorders>
                <w:vAlign w:val="bottom"/>
              </w:tcPr>
              <w:p>
                <w:pPr>
                  <w:keepNext w:val="0"/>
                  <w:keepLines w:val="0"/>
                  <w:widowControl/>
                  <w:suppressLineNumbers w:val="0"/>
                  <w:jc w:val="right"/>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-9,240,515.83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rPr>
                <w:tag w:val="_PLD_8e0d926902804b5baefad8990e4523b4"/>
                <w:id w:val="10451"/>
              </w:sdtPr>
              <w:sdtEndPr>
                <w:rPr>
                  <w:rFonts w:ascii="Times New Roman" w:hAnsi="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olor w:val="008000"/>
                        <w:szCs w:val="21"/>
                      </w:rPr>
                    </w:pPr>
                    <w:r>
                      <w:rPr>
                        <w:rFonts w:hint="eastAsia" w:ascii="Times New Roman" w:hAnsi="Times New Roman"/>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吸收投资收到的现金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其中：子公司吸收少数股东投资收到的现金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c>
              <w:tcPr>
                <w:tcW w:w="1196"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取得借款收到的现金</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83,000,000.00 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43,000,000.00 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收到其他与筹资活动有关的现金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七、78.（</w:t>
                </w:r>
                <w:r>
                  <w:rPr>
                    <w:rFonts w:hint="eastAsia" w:ascii="Times New Roman" w:hAnsi="Times New Roman"/>
                    <w:lang w:val="en-US" w:eastAsia="zh-CN"/>
                  </w:rPr>
                  <w:t>3</w:t>
                </w:r>
                <w:r>
                  <w:rPr>
                    <w:rFonts w:ascii="Times New Roman" w:hAnsi="Times New Roman"/>
                  </w:rPr>
                  <w:t>）</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769,200.00 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筹资活动现金流入小计</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83,000,000.00 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43,769,200.00 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偿还债务支付的现金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44,000,000.00 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75,000,000.00 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分配股利、利润或偿付利息支付的现金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1,930,904.76 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2,035,883.32 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其中：子公司支付给少数股东的股利、利润</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支付其他与筹资活动有关的现金</w:t>
                </w:r>
              </w:p>
            </w:tc>
            <w:tc>
              <w:tcPr>
                <w:tcW w:w="865"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szCs w:val="21"/>
                  </w:rPr>
                </w:pPr>
                <w:r>
                  <w:rPr>
                    <w:rFonts w:ascii="Times New Roman" w:hAnsi="Times New Roman"/>
                  </w:rPr>
                  <w:t>七、78.（</w:t>
                </w:r>
                <w:r>
                  <w:rPr>
                    <w:rFonts w:hint="eastAsia" w:ascii="Times New Roman" w:hAnsi="Times New Roman"/>
                    <w:lang w:val="en-US" w:eastAsia="zh-CN"/>
                  </w:rPr>
                  <w:t>3</w:t>
                </w:r>
                <w:r>
                  <w:rPr>
                    <w:rFonts w:ascii="Times New Roman" w:hAnsi="Times New Roman"/>
                  </w:rPr>
                  <w:t>）</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2,264,865.51 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920,880.00 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筹资活动现金流出小计</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48,195,770.27 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77,956,763.32 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olor w:val="000000"/>
                    <w:szCs w:val="21"/>
                  </w:rPr>
                </w:pPr>
                <w:r>
                  <w:rPr>
                    <w:rFonts w:hint="eastAsia" w:ascii="Times New Roman" w:hAnsi="Times New Roman"/>
                    <w:szCs w:val="21"/>
                  </w:rPr>
                  <w:t>筹资活动产生的现金流量净额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34,804,229.73 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-34,187,563.32 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ascii="Times New Roman" w:hAnsi="Times New Roman"/>
                    <w:color w:val="000000"/>
                    <w:szCs w:val="21"/>
                  </w:rPr>
                </w:pPr>
                <w:r>
                  <w:rPr>
                    <w:rFonts w:hint="eastAsia" w:ascii="Times New Roman" w:hAnsi="Times New Roman"/>
                    <w:b/>
                    <w:bCs/>
                    <w:szCs w:val="21"/>
                  </w:rPr>
                  <w:t>四、汇率变动对现金及现金等价物的影响</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17,276.59 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52,236.40 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ascii="Times New Roman" w:hAnsi="Times New Roman"/>
                    <w:color w:val="000000"/>
                    <w:szCs w:val="21"/>
                  </w:rPr>
                </w:pPr>
                <w:r>
                  <w:rPr>
                    <w:rFonts w:hint="eastAsia" w:ascii="Times New Roman" w:hAnsi="Times New Roman"/>
                    <w:b/>
                    <w:bCs/>
                    <w:szCs w:val="21"/>
                  </w:rPr>
                  <w:t>五、现金及现金等价物净增加额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eastAsia" w:ascii="Times New Roman" w:hAnsi="Times New Roman" w:cs="Times New Roman"/>
                    <w:lang w:eastAsia="zh-CN"/>
                  </w:rPr>
                  <w:t>68,100,865.67</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-15,795,694.59 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加：期初现金及现金等价物余额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ascii="Times New Roman" w:hAnsi="Times New Roman"/>
                  </w:rPr>
                  <w:t> </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1,209,719,975.47 </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1,225,515,670.06 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ascii="Times New Roman" w:hAnsi="Times New Roman"/>
                    <w:color w:val="000000"/>
                    <w:szCs w:val="21"/>
                  </w:rPr>
                </w:pPr>
                <w:r>
                  <w:rPr>
                    <w:rFonts w:hint="eastAsia" w:ascii="Times New Roman" w:hAnsi="Times New Roman"/>
                    <w:b/>
                    <w:bCs/>
                    <w:szCs w:val="21"/>
                  </w:rPr>
                  <w:t>六、期末现金及现金等价物余额</w:t>
                </w:r>
              </w:p>
            </w:tc>
            <w:tc>
              <w:tcPr>
                <w:tcW w:w="865"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1,277,820,841.14</w:t>
                </w:r>
              </w:p>
            </w:tc>
            <w:tc>
              <w:tcPr>
                <w:tcW w:w="1196"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1,209,719,975.47 </w:t>
                </w:r>
              </w:p>
            </w:tc>
          </w:tr>
        </w:tbl>
        <w:p/>
        <w:p>
          <w:pPr>
            <w:snapToGrid w:val="0"/>
            <w:spacing w:line="240" w:lineRule="atLeast"/>
            <w:ind w:right="25" w:rightChars="12"/>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26263"/>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26264"/>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26265"/>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p>
      <w:pPr>
        <w:rPr>
          <w:szCs w:val="21"/>
        </w:rPr>
      </w:pPr>
    </w:p>
    <w:p>
      <w:pPr>
        <w:jc w:val="center"/>
        <w:rPr>
          <w:b/>
          <w:bCs/>
          <w:szCs w:val="21"/>
        </w:rPr>
      </w:pPr>
    </w:p>
    <w:p>
      <w:pPr>
        <w:jc w:val="center"/>
        <w:rPr>
          <w:b/>
          <w:bCs/>
          <w:szCs w:val="21"/>
        </w:rPr>
      </w:pPr>
    </w:p>
    <w:sdt>
      <w:sdtPr>
        <w:rPr>
          <w:rFonts w:hint="eastAsia"/>
          <w:b/>
          <w:bCs/>
          <w:szCs w:val="21"/>
        </w:rPr>
        <w:tag w:val="_GBC_fa07832b39b14b348ba105d6cedbd7b8"/>
        <w:id w:val="26266"/>
        <w:placeholder>
          <w:docPart w:val="GBC22222222222222222222222222222"/>
        </w:placeholder>
      </w:sdtPr>
      <w:sdtEndPr>
        <w:rPr>
          <w:rFonts w:hint="eastAsia"/>
          <w:b w:val="0"/>
          <w:bCs w:val="0"/>
          <w:szCs w:val="21"/>
        </w:rPr>
      </w:sdtEndPr>
      <w:sdtContent>
        <w:p>
          <w:pPr>
            <w:jc w:val="center"/>
            <w:outlineLvl w:val="2"/>
            <w:rPr>
              <w:b/>
              <w:bCs/>
              <w:szCs w:val="21"/>
            </w:rPr>
          </w:pPr>
          <w:r>
            <w:rPr>
              <w:rFonts w:hint="eastAsia"/>
              <w:b/>
              <w:bCs/>
              <w:szCs w:val="21"/>
            </w:rPr>
            <w:t>母公司</w:t>
          </w:r>
          <w:r>
            <w:rPr>
              <w:b/>
              <w:bCs/>
              <w:szCs w:val="21"/>
            </w:rPr>
            <w:t>现金流量表</w:t>
          </w:r>
        </w:p>
        <w:p>
          <w:pPr>
            <w:jc w:val="center"/>
            <w:rPr>
              <w:rFonts w:hint="default" w:ascii="Times New Roman" w:hAnsi="Times New Roman" w:cs="Times New Roman"/>
              <w:b/>
              <w:bCs/>
              <w:szCs w:val="21"/>
            </w:rPr>
          </w:pPr>
          <w:r>
            <w:rPr>
              <w:rFonts w:hint="default" w:ascii="Times New Roman" w:hAnsi="Times New Roman" w:cs="Times New Roman"/>
              <w:szCs w:val="21"/>
            </w:rPr>
            <w:t>2023年1—12月</w:t>
          </w:r>
        </w:p>
        <w:p>
          <w:pPr>
            <w:jc w:val="right"/>
            <w:rPr>
              <w:szCs w:val="21"/>
            </w:rPr>
          </w:pPr>
          <w:r>
            <w:rPr>
              <w:szCs w:val="21"/>
            </w:rPr>
            <w:t>单位:</w:t>
          </w:r>
          <w:sdt>
            <w:sdtPr>
              <w:rPr>
                <w:szCs w:val="21"/>
              </w:rPr>
              <w:alias w:val="单位：母公司现金流量表"/>
              <w:tag w:val="_GBC_993ead81b27a41dfaccaacfaec8b7c78"/>
              <w:id w:val="262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现金流量表"/>
              <w:tag w:val="_GBC_2dd4b706d0a244a4b4c21166025356cc"/>
              <w:id w:val="26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5"/>
            <w:gridCol w:w="1569"/>
            <w:gridCol w:w="2172"/>
            <w:gridCol w:w="2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fa8a4a4fe8df4f0086d4a3f59744ef0c"/>
                  <w:id w:val="26269"/>
                </w:sdtPr>
                <w:sdtEndPr>
                  <w:rPr>
                    <w:rFonts w:hint="eastAsia" w:ascii="Times New Roman" w:hAnsi="Times New Roman"/>
                    <w:b/>
                  </w:rPr>
                </w:sdtEndPr>
                <w:sdtContent>
                  <w:p>
                    <w:pPr>
                      <w:jc w:val="center"/>
                      <w:rPr>
                        <w:rFonts w:ascii="Times New Roman" w:hAnsi="Times New Roman"/>
                        <w:b/>
                      </w:rPr>
                    </w:pPr>
                    <w:r>
                      <w:rPr>
                        <w:rFonts w:hint="eastAsia" w:ascii="Times New Roman" w:hAnsi="Times New Roman"/>
                        <w:b/>
                      </w:rPr>
                      <w:t>项目</w:t>
                    </w:r>
                  </w:p>
                </w:sdtContent>
              </w:sdt>
            </w:tc>
            <w:tc>
              <w:tcPr>
                <w:tcW w:w="867"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e2b9d4cf46994f4f99a9560554670b54"/>
                  <w:id w:val="26270"/>
                </w:sdtPr>
                <w:sdtEndPr>
                  <w:rPr>
                    <w:rFonts w:hint="eastAsia" w:ascii="Times New Roman" w:hAnsi="Times New Roman"/>
                    <w:b/>
                  </w:rPr>
                </w:sdtEndPr>
                <w:sdtContent>
                  <w:p>
                    <w:pPr>
                      <w:autoSpaceDE w:val="0"/>
                      <w:autoSpaceDN w:val="0"/>
                      <w:adjustRightInd w:val="0"/>
                      <w:jc w:val="center"/>
                      <w:rPr>
                        <w:rFonts w:ascii="Times New Roman" w:hAnsi="Times New Roman"/>
                        <w:b/>
                      </w:rPr>
                    </w:pPr>
                    <w:r>
                      <w:rPr>
                        <w:rFonts w:hint="eastAsia" w:ascii="Times New Roman" w:hAnsi="Times New Roman"/>
                        <w:b/>
                      </w:rPr>
                      <w:t>附注</w:t>
                    </w:r>
                  </w:p>
                </w:sdtContent>
              </w:sdt>
            </w:tc>
            <w:tc>
              <w:tcPr>
                <w:tcW w:w="1200"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a5e1076b6ae14d71abde0e9180405588"/>
                  <w:id w:val="26271"/>
                </w:sdtPr>
                <w:sdtEndPr>
                  <w:rPr>
                    <w:rFonts w:hint="eastAsia" w:ascii="Times New Roman" w:hAnsi="Times New Roman"/>
                    <w:b/>
                  </w:rPr>
                </w:sdtEndPr>
                <w:sdtContent>
                  <w:p>
                    <w:pPr>
                      <w:autoSpaceDE w:val="0"/>
                      <w:autoSpaceDN w:val="0"/>
                      <w:adjustRightInd w:val="0"/>
                      <w:jc w:val="center"/>
                      <w:rPr>
                        <w:rFonts w:ascii="Times New Roman" w:hAnsi="Times New Roman"/>
                        <w:b/>
                      </w:rPr>
                    </w:pPr>
                    <w:r>
                      <w:rPr>
                        <w:rFonts w:hint="eastAsia" w:ascii="Times New Roman" w:hAnsi="Times New Roman"/>
                        <w:b/>
                      </w:rPr>
                      <w:t>2023年度</w:t>
                    </w:r>
                  </w:p>
                </w:sdtContent>
              </w:sdt>
            </w:tc>
            <w:tc>
              <w:tcPr>
                <w:tcW w:w="1195" w:type="pct"/>
                <w:tcBorders>
                  <w:top w:val="outset" w:color="auto" w:sz="4" w:space="0"/>
                  <w:left w:val="outset" w:color="auto" w:sz="4" w:space="0"/>
                  <w:bottom w:val="outset" w:color="auto" w:sz="4" w:space="0"/>
                  <w:right w:val="outset" w:color="auto" w:sz="4" w:space="0"/>
                </w:tcBorders>
              </w:tcPr>
              <w:sdt>
                <w:sdtPr>
                  <w:rPr>
                    <w:rFonts w:hint="eastAsia" w:ascii="Times New Roman" w:hAnsi="Times New Roman"/>
                    <w:b/>
                  </w:rPr>
                  <w:tag w:val="_PLD_9f1994ac47d2487c870c64df42698a51"/>
                  <w:id w:val="26272"/>
                </w:sdtPr>
                <w:sdtEndPr>
                  <w:rPr>
                    <w:rFonts w:hint="eastAsia" w:ascii="Times New Roman" w:hAnsi="Times New Roman"/>
                    <w:b/>
                  </w:rPr>
                </w:sdtEndPr>
                <w:sdtContent>
                  <w:p>
                    <w:pPr>
                      <w:autoSpaceDE w:val="0"/>
                      <w:autoSpaceDN w:val="0"/>
                      <w:adjustRightInd w:val="0"/>
                      <w:jc w:val="center"/>
                      <w:rPr>
                        <w:rFonts w:ascii="Times New Roman" w:hAnsi="Times New Roman"/>
                        <w:b/>
                      </w:rPr>
                    </w:pPr>
                    <w:r>
                      <w:rPr>
                        <w:rFonts w:hint="eastAsia" w:ascii="Times New Roman" w:hAnsi="Times New Roman"/>
                        <w:b/>
                      </w:rPr>
                      <w:t>2022年度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rPr>
                <w:tag w:val="_PLD_d5384e7a1c2841c78793ee2e647fdb97"/>
                <w:id w:val="26273"/>
              </w:sdtPr>
              <w:sdtEndPr>
                <w:rPr>
                  <w:rFonts w:ascii="Times New Roman" w:hAnsi="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r>
                      <w:rPr>
                        <w:rFonts w:hint="eastAsia" w:ascii="Times New Roman" w:hAnsi="Times New Roman"/>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销售商品、提供劳务收到的现金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196,934,606.77 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135,124,503.73 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收到的税费返还</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收到其他与经营活动有关的现金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39,323,527.21 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41,212,623.53 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经营活动现金流入小计</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236,258,133.98 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176,337,127.26 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购买商品、接受劳务支付的现金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121,060,167.32 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79,403,476.31 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支付给职工及为职工支付的现金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51,671,723.14 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51,727,181.49 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支付的各项税费</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9,290,163.56 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6,409,207.44 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支付其他与经营活动有关的现金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54,642,923.77 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40,949,538.85 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经营活动现金流出小计</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236,664,977.79 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178,489,404.09 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经营活动产生的现金流量净额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-406,843.81 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-2,152,276.83 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ea89a8f6b76943769d484d535b94417c"/>
                <w:id w:val="26274"/>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8000"/>
                        <w:szCs w:val="21"/>
                      </w:rPr>
                    </w:pPr>
                    <w:r>
                      <w:rPr>
                        <w:rFonts w:hint="default" w:ascii="Times New Roman" w:hAnsi="Times New Roman" w:cs="Times New Roman"/>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收回投资收到的现金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17,294,547.43 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取得投资收益收到的现金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21,099,025.82 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19,259,780.83 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处置固定资产、无形资产和其他长期资产收回的现金净额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38,000.00 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处置子公司及其他营业单位收到的现金净额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收到其他与投资活动有关的现金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投资活动现金流入小计</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21,137,025.82 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36,554,328.26 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购建固定资产、无形资产和其他长期资产支付的现金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9,948,773.47 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5,758,326.57 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投资支付的现金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24,143,475.47 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取得子公司及其他营业单位支付的现金净额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支付其他与投资活动有关的现金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投资活动现金流出小计</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9,948,773.47 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29,901,802.04 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olor w:val="000000"/>
                    <w:szCs w:val="21"/>
                  </w:rPr>
                </w:pPr>
                <w:r>
                  <w:rPr>
                    <w:rFonts w:hint="eastAsia" w:ascii="Times New Roman" w:hAnsi="Times New Roman"/>
                    <w:szCs w:val="21"/>
                  </w:rPr>
                  <w:t>投资活动产生的现金流量净额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11,188,252.35 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6,652,526.22 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default" w:ascii="Times New Roman" w:hAnsi="Times New Roman" w:cs="Times New Roman"/>
                </w:rPr>
                <w:tag w:val="_PLD_8b6929c78db14ee1bde1ca4b9a47a65c"/>
                <w:id w:val="26275"/>
              </w:sdtPr>
              <w:sdtEndPr>
                <w:rPr>
                  <w:rFonts w:hint="default"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hint="default" w:ascii="Times New Roman" w:hAnsi="Times New Roman" w:cs="Times New Roman"/>
                        <w:color w:val="008000"/>
                        <w:szCs w:val="21"/>
                      </w:rPr>
                    </w:pPr>
                    <w:r>
                      <w:rPr>
                        <w:rFonts w:hint="default" w:ascii="Times New Roman" w:hAnsi="Times New Roman" w:cs="Times New Roman"/>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吸收投资收到的现金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取得借款收到的现金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58,000,000.00 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30,000,000.00 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收到其他与筹资活动有关的现金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712,000.00 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筹资活动现金流入小计</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58,000,000.00 </w:t>
                </w:r>
              </w:p>
            </w:tc>
            <w:tc>
              <w:tcPr>
                <w:tcW w:w="1195" w:type="pct"/>
                <w:tcBorders>
                  <w:top w:val="outset" w:color="auto" w:sz="4" w:space="0"/>
                  <w:left w:val="outset" w:color="auto" w:sz="4" w:space="0"/>
                  <w:bottom w:val="outset" w:color="auto" w:sz="4" w:space="0"/>
                  <w:right w:val="outset" w:color="auto" w:sz="4" w:space="0"/>
                </w:tcBorders>
                <w:vAlign w:val="center"/>
              </w:tcPr>
              <w:p>
                <w:pPr>
                  <w:tabs>
                    <w:tab w:val="center" w:pos="989"/>
                    <w:tab w:val="right" w:pos="1979"/>
                  </w:tabs>
                  <w:jc w:val="right"/>
                  <w:rPr>
                    <w:rFonts w:hint="default" w:ascii="Times New Roman" w:hAnsi="Times New Roman" w:cs="Times New Roman"/>
                    <w:szCs w:val="21"/>
                  </w:rPr>
                </w:pPr>
                <w:r>
                  <w:rPr>
                    <w:rFonts w:hint="default" w:ascii="Times New Roman" w:hAnsi="Times New Roman" w:cs="Times New Roman"/>
                  </w:rPr>
                  <w:t>30,712,000.00 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偿还债务支付的现金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30,000,000.00 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50,000,000.00 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szCs w:val="21"/>
                  </w:rPr>
                </w:pPr>
                <w:r>
                  <w:rPr>
                    <w:rFonts w:hint="eastAsia" w:ascii="Times New Roman" w:hAnsi="Times New Roman"/>
                    <w:szCs w:val="21"/>
                  </w:rPr>
                  <w:t>分配股利、利润或偿付利息支付的现金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1,376,840.27 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1,754,895.82 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支付其他与筹资活动有关的现金</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olor w:val="000000"/>
                    <w:szCs w:val="21"/>
                  </w:rPr>
                </w:pPr>
                <w:r>
                  <w:rPr>
                    <w:rFonts w:hint="eastAsia" w:ascii="Times New Roman" w:hAnsi="Times New Roman"/>
                    <w:szCs w:val="21"/>
                  </w:rPr>
                  <w:t>筹资活动现金流出小计</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31,376,840.27 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51,754,895.82 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olor w:val="000000"/>
                    <w:szCs w:val="21"/>
                  </w:rPr>
                </w:pPr>
                <w:r>
                  <w:rPr>
                    <w:rFonts w:hint="eastAsia" w:ascii="Times New Roman" w:hAnsi="Times New Roman"/>
                    <w:szCs w:val="21"/>
                  </w:rPr>
                  <w:t>筹资活动产生的现金流量净额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26,623,159.73 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-21,042,895.82 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ascii="Times New Roman" w:hAnsi="Times New Roman"/>
                    <w:color w:val="000000"/>
                    <w:szCs w:val="21"/>
                  </w:rPr>
                </w:pPr>
                <w:r>
                  <w:rPr>
                    <w:rFonts w:hint="eastAsia" w:ascii="Times New Roman" w:hAnsi="Times New Roman"/>
                    <w:b/>
                    <w:bCs/>
                    <w:szCs w:val="21"/>
                  </w:rPr>
                  <w:t>四、汇率变动对现金及现金等价物的影响</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ascii="Times New Roman" w:hAnsi="Times New Roman"/>
                    <w:color w:val="000000"/>
                    <w:szCs w:val="21"/>
                  </w:rPr>
                </w:pPr>
                <w:r>
                  <w:rPr>
                    <w:rFonts w:hint="eastAsia" w:ascii="Times New Roman" w:hAnsi="Times New Roman"/>
                    <w:b/>
                    <w:bCs/>
                    <w:szCs w:val="21"/>
                  </w:rPr>
                  <w:t>五、现金及现金等价物净增加额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37,404,568.27 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-16,542,646.43 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olor w:val="000000"/>
                    <w:szCs w:val="21"/>
                  </w:rPr>
                </w:pPr>
                <w:r>
                  <w:rPr>
                    <w:rFonts w:hint="eastAsia" w:ascii="Times New Roman" w:hAnsi="Times New Roman"/>
                    <w:szCs w:val="21"/>
                  </w:rPr>
                  <w:t>加：期初现金及现金等价物余额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1,100,767,710.51 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1,117,310,356.94 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ascii="Times New Roman" w:hAnsi="Times New Roman"/>
                    <w:color w:val="000000"/>
                    <w:szCs w:val="21"/>
                  </w:rPr>
                </w:pPr>
                <w:r>
                  <w:rPr>
                    <w:rFonts w:hint="eastAsia" w:ascii="Times New Roman" w:hAnsi="Times New Roman"/>
                    <w:b/>
                    <w:bCs/>
                    <w:szCs w:val="21"/>
                  </w:rPr>
                  <w:t>六、期末现金及现金等价物余额</w:t>
                </w:r>
              </w:p>
            </w:tc>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1,138,172,278.78 </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1,100,767,710.51 </w:t>
                </w:r>
              </w:p>
            </w:tc>
          </w:tr>
        </w:tbl>
        <w:p/>
        <w:p>
          <w:pPr>
            <w:snapToGrid w:val="0"/>
            <w:spacing w:line="240" w:lineRule="atLeast"/>
            <w:ind w:right="-153" w:rightChars="-7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26276"/>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26277"/>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26278"/>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p>
      <w:pPr>
        <w:rPr>
          <w:b/>
          <w:bCs/>
          <w:color w:val="FF0000"/>
          <w:szCs w:val="21"/>
        </w:rPr>
      </w:pPr>
    </w:p>
    <w:bookmarkEnd w:id="159"/>
    <w:p>
      <w:pPr>
        <w:rPr>
          <w:szCs w:val="21"/>
        </w:rPr>
      </w:pPr>
    </w:p>
    <w:p>
      <w:pPr>
        <w:snapToGrid w:val="0"/>
        <w:spacing w:line="240" w:lineRule="atLeast"/>
        <w:ind w:right="-153" w:rightChars="-73"/>
        <w:rPr>
          <w:szCs w:val="21"/>
        </w:rPr>
      </w:pPr>
    </w:p>
    <w:p>
      <w:pPr>
        <w:snapToGrid w:val="0"/>
        <w:spacing w:line="240" w:lineRule="atLeast"/>
        <w:ind w:right="-153" w:rightChars="-73"/>
        <w:rPr>
          <w:szCs w:val="21"/>
        </w:rPr>
      </w:pPr>
    </w:p>
    <w:p>
      <w:pPr>
        <w:snapToGrid w:val="0"/>
        <w:spacing w:line="240" w:lineRule="atLeast"/>
        <w:ind w:right="-153" w:rightChars="-73"/>
        <w:rPr>
          <w:szCs w:val="21"/>
        </w:rPr>
        <w:sectPr>
          <w:pgSz w:w="11906" w:h="16838"/>
          <w:pgMar w:top="1525" w:right="1276" w:bottom="1440" w:left="1797" w:header="856" w:footer="992" w:gutter="0"/>
          <w:cols w:space="425" w:num="1"/>
          <w:docGrid w:linePitch="312" w:charSpace="0"/>
        </w:sectPr>
      </w:pPr>
    </w:p>
    <w:p>
      <w:pPr>
        <w:tabs>
          <w:tab w:val="left" w:pos="10080"/>
        </w:tabs>
        <w:snapToGrid w:val="0"/>
        <w:spacing w:line="240" w:lineRule="atLeast"/>
        <w:ind w:right="25" w:rightChars="12"/>
        <w:jc w:val="center"/>
        <w:rPr>
          <w:b/>
          <w:szCs w:val="21"/>
        </w:rPr>
      </w:pPr>
      <w:bookmarkStart w:id="160" w:name="_Hlk533930052"/>
    </w:p>
    <w:sdt>
      <w:sdtPr>
        <w:rPr>
          <w:b/>
          <w:szCs w:val="21"/>
        </w:rPr>
        <w:tag w:val="_GBC_3eeab460b9b64d53b91f5e0ddcd3030f"/>
        <w:id w:val="26279"/>
        <w:placeholder>
          <w:docPart w:val="GBC22222222222222222222222222222"/>
        </w:placeholder>
      </w:sdtPr>
      <w:sdtEndPr>
        <w:rPr>
          <w:rFonts w:hint="eastAsia"/>
          <w:b w:val="0"/>
          <w:szCs w:val="21"/>
        </w:rPr>
      </w:sdtEndPr>
      <w:sdtContent>
        <w:p>
          <w:pPr>
            <w:tabs>
              <w:tab w:val="left" w:pos="10080"/>
            </w:tabs>
            <w:snapToGrid w:val="0"/>
            <w:spacing w:line="240" w:lineRule="atLeast"/>
            <w:ind w:right="25" w:rightChars="12"/>
            <w:jc w:val="center"/>
            <w:outlineLvl w:val="2"/>
            <w:rPr>
              <w:b/>
              <w:szCs w:val="21"/>
            </w:rPr>
          </w:pPr>
          <w:r>
            <w:rPr>
              <w:b/>
              <w:szCs w:val="21"/>
            </w:rPr>
            <w:t>合并</w:t>
          </w:r>
          <w:r>
            <w:rPr>
              <w:rFonts w:hint="eastAsia"/>
              <w:b/>
              <w:szCs w:val="21"/>
            </w:rPr>
            <w:t>所有者权益变动表</w:t>
          </w:r>
        </w:p>
        <w:p>
          <w:pPr>
            <w:tabs>
              <w:tab w:val="left" w:pos="10080"/>
            </w:tabs>
            <w:snapToGrid w:val="0"/>
            <w:spacing w:line="240" w:lineRule="atLeast"/>
            <w:ind w:right="25" w:rightChars="12"/>
            <w:jc w:val="center"/>
            <w:rPr>
              <w:rFonts w:hint="default" w:ascii="Times New Roman" w:hAnsi="Times New Roman" w:cs="Times New Roman"/>
              <w:szCs w:val="21"/>
            </w:rPr>
          </w:pPr>
          <w:r>
            <w:rPr>
              <w:rFonts w:hint="default" w:ascii="Times New Roman" w:hAnsi="Times New Roman" w:cs="Times New Roman"/>
              <w:szCs w:val="21"/>
            </w:rPr>
            <w:t>2023年1—12月</w:t>
          </w:r>
        </w:p>
        <w:p>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6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股东权益调节表"/>
              <w:tag w:val="_GBC_cef77704267643d794145c73763360e5"/>
              <w:id w:val="26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520" w:type="pct"/>
            <w:tblInd w:w="-7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626"/>
            <w:gridCol w:w="245"/>
            <w:gridCol w:w="173"/>
            <w:gridCol w:w="147"/>
            <w:gridCol w:w="1534"/>
            <w:gridCol w:w="220"/>
            <w:gridCol w:w="1289"/>
            <w:gridCol w:w="253"/>
            <w:gridCol w:w="1553"/>
            <w:gridCol w:w="253"/>
            <w:gridCol w:w="1501"/>
            <w:gridCol w:w="110"/>
            <w:gridCol w:w="1841"/>
            <w:gridCol w:w="162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38" w:type="pct"/>
                <w:vMerge w:val="restart"/>
                <w:vAlign w:val="center"/>
              </w:tcPr>
              <w:sdt>
                <w:sdtPr>
                  <w:rPr>
                    <w:rFonts w:hint="eastAsia"/>
                    <w:sz w:val="18"/>
                    <w:szCs w:val="18"/>
                  </w:rPr>
                  <w:tag w:val="_PLD_245a9e71ca1b403fad3a821efeb272de"/>
                  <w:id w:val="5424"/>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558" w:type="pct"/>
                <w:gridSpan w:val="15"/>
                <w:vAlign w:val="center"/>
              </w:tcPr>
              <w:p>
                <w:pPr>
                  <w:snapToGrid w:val="0"/>
                  <w:spacing w:line="240" w:lineRule="atLeast"/>
                  <w:ind w:right="-1594" w:rightChars="-759"/>
                  <w:jc w:val="center"/>
                  <w:rPr>
                    <w:rFonts w:hint="default" w:ascii="Times New Roman" w:hAnsi="Times New Roman" w:cs="Times New Roman"/>
                  </w:rPr>
                </w:pPr>
                <w:sdt>
                  <w:sdtPr>
                    <w:rPr>
                      <w:rFonts w:hint="default" w:ascii="Times New Roman" w:hAnsi="Times New Roman" w:cs="Times New Roman"/>
                    </w:rPr>
                    <w:tag w:val="_PLD_74b2c30f72fb403387c8b0e2a353f994"/>
                    <w:id w:val="5425"/>
                  </w:sdtPr>
                  <w:sdtEndPr>
                    <w:rPr>
                      <w:rFonts w:hint="default" w:ascii="Times New Roman" w:hAnsi="Times New Roman" w:cs="Times New Roman"/>
                    </w:rPr>
                  </w:sdtEndPr>
                  <w:sdtContent>
                    <w:r>
                      <w:rPr>
                        <w:rFonts w:hint="default" w:ascii="Times New Roman" w:hAnsi="Times New Roman" w:cs="Times New Roman"/>
                        <w:sz w:val="18"/>
                      </w:rPr>
                      <w:t>2023年度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438" w:type="pct"/>
                <w:vMerge w:val="continue"/>
              </w:tcPr>
              <w:p>
                <w:pPr>
                  <w:snapToGrid w:val="0"/>
                  <w:spacing w:line="240" w:lineRule="atLeast"/>
                  <w:ind w:right="-1594" w:rightChars="-759"/>
                  <w:rPr>
                    <w:sz w:val="18"/>
                    <w:szCs w:val="18"/>
                  </w:rPr>
                </w:pPr>
              </w:p>
            </w:tc>
            <w:sdt>
              <w:sdtPr>
                <w:tag w:val="_PLD_48b1c4daa55343f0a820ecc94c441958"/>
                <w:id w:val="5426"/>
              </w:sdtPr>
              <w:sdtContent>
                <w:tc>
                  <w:tcPr>
                    <w:tcW w:w="3519" w:type="pct"/>
                    <w:gridSpan w:val="13"/>
                    <w:vAlign w:val="center"/>
                  </w:tcPr>
                  <w:p>
                    <w:pPr>
                      <w:jc w:val="center"/>
                    </w:pPr>
                    <w:r>
                      <w:rPr>
                        <w:sz w:val="18"/>
                        <w:szCs w:val="18"/>
                      </w:rPr>
                      <w:t>归属于母公司所有者权益</w:t>
                    </w:r>
                  </w:p>
                </w:tc>
              </w:sdtContent>
            </w:sdt>
            <w:sdt>
              <w:sdtPr>
                <w:tag w:val="_PLD_de4010a56d78401ebd4bb48e62167082"/>
                <w:id w:val="5427"/>
              </w:sdtPr>
              <w:sdtContent>
                <w:tc>
                  <w:tcPr>
                    <w:tcW w:w="499" w:type="pct"/>
                    <w:vMerge w:val="restart"/>
                    <w:vAlign w:val="center"/>
                  </w:tcPr>
                  <w:p>
                    <w:pPr>
                      <w:jc w:val="center"/>
                      <w:rPr>
                        <w:sz w:val="18"/>
                        <w:szCs w:val="18"/>
                      </w:rPr>
                    </w:pPr>
                    <w:r>
                      <w:rPr>
                        <w:sz w:val="18"/>
                        <w:szCs w:val="18"/>
                      </w:rPr>
                      <w:t>少数股东权益</w:t>
                    </w:r>
                  </w:p>
                </w:tc>
              </w:sdtContent>
            </w:sdt>
            <w:sdt>
              <w:sdtPr>
                <w:tag w:val="_PLD_ff9bc6143ed9429e80e1ed144f5ff16d"/>
                <w:id w:val="5428"/>
              </w:sdtPr>
              <w:sdtContent>
                <w:tc>
                  <w:tcPr>
                    <w:tcW w:w="539"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438" w:type="pct"/>
                <w:vMerge w:val="continue"/>
              </w:tcPr>
              <w:p>
                <w:pPr>
                  <w:snapToGrid w:val="0"/>
                  <w:spacing w:line="240" w:lineRule="atLeast"/>
                  <w:ind w:right="-1594" w:rightChars="-759"/>
                  <w:rPr>
                    <w:sz w:val="18"/>
                    <w:szCs w:val="18"/>
                  </w:rPr>
                </w:pPr>
              </w:p>
            </w:tc>
            <w:sdt>
              <w:sdtPr>
                <w:tag w:val="_PLD_2a43f0f223d141f0855f6cbb9e60b12f"/>
                <w:id w:val="5429"/>
              </w:sdtPr>
              <w:sdtContent>
                <w:tc>
                  <w:tcPr>
                    <w:tcW w:w="521" w:type="pct"/>
                    <w:vMerge w:val="restart"/>
                    <w:vAlign w:val="center"/>
                  </w:tcPr>
                  <w:p>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5430"/>
              </w:sdtPr>
              <w:sdtContent>
                <w:tc>
                  <w:tcPr>
                    <w:tcW w:w="263"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5431"/>
              </w:sdtPr>
              <w:sdtContent>
                <w:tc>
                  <w:tcPr>
                    <w:tcW w:w="477"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5432"/>
              </w:sdtPr>
              <w:sdtContent>
                <w:tc>
                  <w:tcPr>
                    <w:tcW w:w="78"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5433"/>
              </w:sdtPr>
              <w:sdtContent>
                <w:tc>
                  <w:tcPr>
                    <w:tcW w:w="409"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5434"/>
              </w:sdtPr>
              <w:sdtContent>
                <w:tc>
                  <w:tcPr>
                    <w:tcW w:w="77"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5435"/>
              </w:sdtPr>
              <w:sdtContent>
                <w:tc>
                  <w:tcPr>
                    <w:tcW w:w="475"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5436"/>
              </w:sdtPr>
              <w:sdtContent>
                <w:tc>
                  <w:tcPr>
                    <w:tcW w:w="77"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5437"/>
              </w:sdtPr>
              <w:sdtContent>
                <w:tc>
                  <w:tcPr>
                    <w:tcW w:w="457"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77" w:type="pct"/>
                <w:vMerge w:val="restart"/>
                <w:vAlign w:val="center"/>
              </w:tcPr>
              <w:sdt>
                <w:sdtPr>
                  <w:rPr>
                    <w:rFonts w:hint="eastAsia"/>
                    <w:sz w:val="18"/>
                    <w:szCs w:val="18"/>
                  </w:rPr>
                  <w:tag w:val="_PLD_b504a77359e042b99ce9a2513e44008d"/>
                  <w:id w:val="5438"/>
                </w:sdtPr>
                <w:sdtEndPr>
                  <w:rPr>
                    <w:rFonts w:hint="eastAsia"/>
                    <w:sz w:val="18"/>
                    <w:szCs w:val="18"/>
                  </w:rPr>
                </w:sdtEndPr>
                <w:sdtContent>
                  <w:p>
                    <w:pPr>
                      <w:jc w:val="center"/>
                      <w:rPr>
                        <w:sz w:val="18"/>
                        <w:szCs w:val="18"/>
                      </w:rPr>
                    </w:pPr>
                    <w:r>
                      <w:rPr>
                        <w:rFonts w:hint="eastAsia"/>
                        <w:sz w:val="18"/>
                        <w:szCs w:val="18"/>
                      </w:rPr>
                      <w:t>其他</w:t>
                    </w:r>
                  </w:p>
                </w:sdtContent>
              </w:sdt>
            </w:tc>
            <w:tc>
              <w:tcPr>
                <w:tcW w:w="604" w:type="pct"/>
                <w:vMerge w:val="restart"/>
                <w:vAlign w:val="center"/>
              </w:tcPr>
              <w:sdt>
                <w:sdtPr>
                  <w:rPr>
                    <w:rFonts w:hint="eastAsia"/>
                    <w:sz w:val="18"/>
                    <w:szCs w:val="18"/>
                  </w:rPr>
                  <w:tag w:val="_PLD_30b039ff7c714652865f3029df27082b"/>
                  <w:id w:val="5439"/>
                </w:sdtPr>
                <w:sdtEndPr>
                  <w:rPr>
                    <w:rFonts w:hint="eastAsia"/>
                    <w:sz w:val="18"/>
                    <w:szCs w:val="18"/>
                  </w:rPr>
                </w:sdtEndPr>
                <w:sdtContent>
                  <w:p>
                    <w:pPr>
                      <w:jc w:val="center"/>
                      <w:rPr>
                        <w:sz w:val="18"/>
                        <w:szCs w:val="18"/>
                      </w:rPr>
                    </w:pPr>
                    <w:r>
                      <w:rPr>
                        <w:rFonts w:hint="eastAsia"/>
                        <w:sz w:val="18"/>
                        <w:szCs w:val="18"/>
                      </w:rPr>
                      <w:t>小计</w:t>
                    </w:r>
                  </w:p>
                </w:sdtContent>
              </w:sdt>
            </w:tc>
            <w:tc>
              <w:tcPr>
                <w:tcW w:w="499" w:type="pct"/>
                <w:vMerge w:val="continue"/>
              </w:tcPr>
              <w:p>
                <w:pPr>
                  <w:jc w:val="center"/>
                  <w:rPr>
                    <w:sz w:val="18"/>
                    <w:szCs w:val="18"/>
                  </w:rPr>
                </w:pPr>
              </w:p>
            </w:tc>
            <w:tc>
              <w:tcPr>
                <w:tcW w:w="539"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38" w:type="pct"/>
                <w:vMerge w:val="continue"/>
              </w:tcPr>
              <w:p>
                <w:pPr>
                  <w:snapToGrid w:val="0"/>
                  <w:spacing w:line="240" w:lineRule="atLeast"/>
                  <w:ind w:right="-1594" w:rightChars="-759"/>
                  <w:rPr>
                    <w:sz w:val="18"/>
                    <w:szCs w:val="18"/>
                  </w:rPr>
                </w:pPr>
              </w:p>
            </w:tc>
            <w:tc>
              <w:tcPr>
                <w:tcW w:w="521" w:type="pct"/>
                <w:vMerge w:val="continue"/>
              </w:tcPr>
              <w:p>
                <w:pPr>
                  <w:snapToGrid w:val="0"/>
                  <w:spacing w:line="240" w:lineRule="atLeast"/>
                  <w:jc w:val="center"/>
                  <w:rPr>
                    <w:sz w:val="18"/>
                    <w:szCs w:val="18"/>
                  </w:rPr>
                </w:pPr>
              </w:p>
            </w:tc>
            <w:sdt>
              <w:sdtPr>
                <w:tag w:val="_PLD_b607c17c743149d295a2a79708dbacd2"/>
                <w:id w:val="5440"/>
              </w:sdtPr>
              <w:sdtContent>
                <w:tc>
                  <w:tcPr>
                    <w:tcW w:w="100" w:type="pct"/>
                    <w:vAlign w:val="center"/>
                  </w:tcPr>
                  <w:p>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5441"/>
              </w:sdtPr>
              <w:sdtContent>
                <w:tc>
                  <w:tcPr>
                    <w:tcW w:w="85" w:type="pct"/>
                    <w:vAlign w:val="center"/>
                  </w:tcPr>
                  <w:p>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5442"/>
              </w:sdtPr>
              <w:sdtContent>
                <w:tc>
                  <w:tcPr>
                    <w:tcW w:w="77" w:type="pct"/>
                    <w:vAlign w:val="center"/>
                  </w:tcPr>
                  <w:p>
                    <w:pPr>
                      <w:snapToGrid w:val="0"/>
                      <w:spacing w:line="240" w:lineRule="atLeast"/>
                      <w:jc w:val="center"/>
                      <w:rPr>
                        <w:sz w:val="18"/>
                        <w:szCs w:val="18"/>
                      </w:rPr>
                    </w:pPr>
                    <w:r>
                      <w:rPr>
                        <w:rFonts w:hint="eastAsia"/>
                        <w:sz w:val="18"/>
                        <w:szCs w:val="18"/>
                      </w:rPr>
                      <w:t>其他</w:t>
                    </w:r>
                  </w:p>
                </w:tc>
              </w:sdtContent>
            </w:sdt>
            <w:tc>
              <w:tcPr>
                <w:tcW w:w="477" w:type="pct"/>
                <w:vMerge w:val="continue"/>
              </w:tcPr>
              <w:p>
                <w:pPr>
                  <w:snapToGrid w:val="0"/>
                  <w:spacing w:line="240" w:lineRule="atLeast"/>
                  <w:jc w:val="center"/>
                  <w:rPr>
                    <w:sz w:val="18"/>
                    <w:szCs w:val="18"/>
                  </w:rPr>
                </w:pPr>
              </w:p>
            </w:tc>
            <w:tc>
              <w:tcPr>
                <w:tcW w:w="78" w:type="pct"/>
                <w:vMerge w:val="continue"/>
              </w:tcPr>
              <w:p>
                <w:pPr>
                  <w:snapToGrid w:val="0"/>
                  <w:spacing w:line="240" w:lineRule="atLeast"/>
                  <w:jc w:val="center"/>
                  <w:rPr>
                    <w:sz w:val="18"/>
                    <w:szCs w:val="18"/>
                  </w:rPr>
                </w:pPr>
              </w:p>
            </w:tc>
            <w:tc>
              <w:tcPr>
                <w:tcW w:w="409" w:type="pct"/>
                <w:vMerge w:val="continue"/>
              </w:tcPr>
              <w:p>
                <w:pPr>
                  <w:snapToGrid w:val="0"/>
                  <w:spacing w:line="240" w:lineRule="atLeast"/>
                  <w:jc w:val="center"/>
                  <w:rPr>
                    <w:sz w:val="18"/>
                    <w:szCs w:val="18"/>
                  </w:rPr>
                </w:pPr>
              </w:p>
            </w:tc>
            <w:tc>
              <w:tcPr>
                <w:tcW w:w="77" w:type="pct"/>
                <w:vMerge w:val="continue"/>
              </w:tcPr>
              <w:p>
                <w:pPr>
                  <w:snapToGrid w:val="0"/>
                  <w:spacing w:line="240" w:lineRule="atLeast"/>
                  <w:jc w:val="center"/>
                  <w:rPr>
                    <w:sz w:val="18"/>
                    <w:szCs w:val="18"/>
                  </w:rPr>
                </w:pPr>
              </w:p>
            </w:tc>
            <w:tc>
              <w:tcPr>
                <w:tcW w:w="475" w:type="pct"/>
                <w:vMerge w:val="continue"/>
              </w:tcPr>
              <w:p>
                <w:pPr>
                  <w:snapToGrid w:val="0"/>
                  <w:spacing w:line="240" w:lineRule="atLeast"/>
                  <w:jc w:val="center"/>
                  <w:rPr>
                    <w:sz w:val="18"/>
                    <w:szCs w:val="18"/>
                  </w:rPr>
                </w:pPr>
              </w:p>
            </w:tc>
            <w:tc>
              <w:tcPr>
                <w:tcW w:w="77" w:type="pct"/>
                <w:vMerge w:val="continue"/>
              </w:tcPr>
              <w:p>
                <w:pPr>
                  <w:snapToGrid w:val="0"/>
                  <w:spacing w:line="240" w:lineRule="atLeast"/>
                  <w:jc w:val="center"/>
                  <w:rPr>
                    <w:sz w:val="18"/>
                    <w:szCs w:val="18"/>
                  </w:rPr>
                </w:pPr>
              </w:p>
            </w:tc>
            <w:tc>
              <w:tcPr>
                <w:tcW w:w="457" w:type="pct"/>
                <w:vMerge w:val="continue"/>
              </w:tcPr>
              <w:p>
                <w:pPr>
                  <w:snapToGrid w:val="0"/>
                  <w:spacing w:line="240" w:lineRule="atLeast"/>
                  <w:jc w:val="center"/>
                  <w:rPr>
                    <w:sz w:val="18"/>
                    <w:szCs w:val="18"/>
                  </w:rPr>
                </w:pPr>
              </w:p>
            </w:tc>
            <w:tc>
              <w:tcPr>
                <w:tcW w:w="77" w:type="pct"/>
                <w:vMerge w:val="continue"/>
              </w:tcPr>
              <w:p>
                <w:pPr>
                  <w:jc w:val="center"/>
                  <w:rPr>
                    <w:sz w:val="18"/>
                    <w:szCs w:val="18"/>
                  </w:rPr>
                </w:pPr>
              </w:p>
            </w:tc>
            <w:tc>
              <w:tcPr>
                <w:tcW w:w="604" w:type="pct"/>
                <w:vMerge w:val="continue"/>
              </w:tcPr>
              <w:p>
                <w:pPr>
                  <w:jc w:val="center"/>
                  <w:rPr>
                    <w:sz w:val="18"/>
                    <w:szCs w:val="18"/>
                  </w:rPr>
                </w:pPr>
              </w:p>
            </w:tc>
            <w:tc>
              <w:tcPr>
                <w:tcW w:w="499" w:type="pct"/>
                <w:vMerge w:val="continue"/>
              </w:tcPr>
              <w:p>
                <w:pPr>
                  <w:jc w:val="center"/>
                  <w:rPr>
                    <w:sz w:val="18"/>
                    <w:szCs w:val="18"/>
                  </w:rPr>
                </w:pPr>
              </w:p>
            </w:tc>
            <w:tc>
              <w:tcPr>
                <w:tcW w:w="539"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dfc5e6b5c34cfdb08e5d5e3943966e"/>
                <w:id w:val="5443"/>
              </w:sdtPr>
              <w:sdtContent>
                <w:tc>
                  <w:tcPr>
                    <w:tcW w:w="438" w:type="pct"/>
                    <w:vAlign w:val="center"/>
                  </w:tcPr>
                  <w:p>
                    <w:pPr>
                      <w:jc w:val="left"/>
                      <w:rPr>
                        <w:sz w:val="18"/>
                        <w:szCs w:val="18"/>
                      </w:rPr>
                    </w:pPr>
                    <w:r>
                      <w:rPr>
                        <w:sz w:val="18"/>
                        <w:szCs w:val="18"/>
                      </w:rPr>
                      <w:t>一、上年</w:t>
                    </w:r>
                    <w:r>
                      <w:rPr>
                        <w:rFonts w:hint="eastAsia"/>
                        <w:sz w:val="18"/>
                        <w:szCs w:val="18"/>
                      </w:rPr>
                      <w:t>年</w:t>
                    </w:r>
                    <w:r>
                      <w:rPr>
                        <w:sz w:val="18"/>
                        <w:szCs w:val="18"/>
                      </w:rPr>
                      <w:t>末余额</w:t>
                    </w:r>
                  </w:p>
                </w:tc>
              </w:sdtContent>
            </w:sdt>
            <w:tc>
              <w:tcPr>
                <w:tcW w:w="52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245,621,848.75</w:t>
                </w: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125,345,760.90</w:t>
                </w: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2,097,043,673.34</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-5,474,234.18</w:t>
                </w:r>
              </w:p>
            </w:tc>
            <w:tc>
              <w:tcPr>
                <w:tcW w:w="539"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2,091,569,439.16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f04cf20717467298c2824a1c7b2f71"/>
                <w:id w:val="5444"/>
              </w:sdtPr>
              <w:sdtContent>
                <w:tc>
                  <w:tcPr>
                    <w:tcW w:w="438" w:type="pct"/>
                    <w:vAlign w:val="center"/>
                  </w:tcPr>
                  <w:p>
                    <w:pPr>
                      <w:jc w:val="left"/>
                      <w:rPr>
                        <w:sz w:val="18"/>
                        <w:szCs w:val="18"/>
                      </w:rPr>
                    </w:pPr>
                    <w:r>
                      <w:rPr>
                        <w:rFonts w:hint="eastAsia"/>
                        <w:sz w:val="18"/>
                        <w:szCs w:val="18"/>
                      </w:rPr>
                      <w:t>加：</w:t>
                    </w:r>
                    <w:r>
                      <w:rPr>
                        <w:sz w:val="18"/>
                        <w:szCs w:val="18"/>
                      </w:rPr>
                      <w:t>会计政策变更</w:t>
                    </w:r>
                  </w:p>
                </w:tc>
              </w:sdtContent>
            </w:sdt>
            <w:tc>
              <w:tcPr>
                <w:tcW w:w="521"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cs="Times New Roman"/>
                    <w:sz w:val="18"/>
                    <w:szCs w:val="18"/>
                  </w:rPr>
                </w:pPr>
              </w:p>
            </w:tc>
            <w:tc>
              <w:tcPr>
                <w:tcW w:w="499" w:type="pct"/>
                <w:vAlign w:val="center"/>
              </w:tcPr>
              <w:p>
                <w:pPr>
                  <w:jc w:val="right"/>
                  <w:rPr>
                    <w:rFonts w:hint="default" w:ascii="Times New Roman" w:hAnsi="Times New Roman" w:cs="Times New Roman"/>
                    <w:sz w:val="18"/>
                    <w:szCs w:val="18"/>
                  </w:rPr>
                </w:pPr>
              </w:p>
            </w:tc>
            <w:tc>
              <w:tcPr>
                <w:tcW w:w="53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24580d38484f718fafd008f24a7505"/>
                <w:id w:val="5445"/>
              </w:sdtPr>
              <w:sdtContent>
                <w:tc>
                  <w:tcPr>
                    <w:tcW w:w="438" w:type="pct"/>
                    <w:vAlign w:val="center"/>
                  </w:tcPr>
                  <w:p>
                    <w:pPr>
                      <w:ind w:firstLine="420" w:firstLineChars="200"/>
                      <w:jc w:val="left"/>
                      <w:rPr>
                        <w:sz w:val="18"/>
                        <w:szCs w:val="18"/>
                      </w:rPr>
                    </w:pPr>
                    <w:r>
                      <w:rPr>
                        <w:sz w:val="18"/>
                        <w:szCs w:val="18"/>
                      </w:rPr>
                      <w:t>前期差错更正</w:t>
                    </w:r>
                  </w:p>
                </w:tc>
              </w:sdtContent>
            </w:sdt>
            <w:tc>
              <w:tcPr>
                <w:tcW w:w="521"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cs="Times New Roman"/>
                    <w:sz w:val="18"/>
                    <w:szCs w:val="18"/>
                  </w:rPr>
                </w:pPr>
              </w:p>
            </w:tc>
            <w:tc>
              <w:tcPr>
                <w:tcW w:w="499" w:type="pct"/>
                <w:vAlign w:val="center"/>
              </w:tcPr>
              <w:p>
                <w:pPr>
                  <w:jc w:val="right"/>
                  <w:rPr>
                    <w:rFonts w:hint="default" w:ascii="Times New Roman" w:hAnsi="Times New Roman" w:cs="Times New Roman"/>
                    <w:sz w:val="18"/>
                    <w:szCs w:val="18"/>
                  </w:rPr>
                </w:pPr>
              </w:p>
            </w:tc>
            <w:tc>
              <w:tcPr>
                <w:tcW w:w="53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2e3287ddd140fb9d031a4dab8a8b13"/>
                <w:id w:val="5446"/>
              </w:sdtPr>
              <w:sdtContent>
                <w:tc>
                  <w:tcPr>
                    <w:tcW w:w="438" w:type="pct"/>
                    <w:vAlign w:val="center"/>
                  </w:tcPr>
                  <w:p>
                    <w:pPr>
                      <w:ind w:firstLine="420" w:firstLineChars="200"/>
                      <w:jc w:val="left"/>
                      <w:rPr>
                        <w:sz w:val="18"/>
                        <w:szCs w:val="18"/>
                      </w:rPr>
                    </w:pPr>
                    <w:r>
                      <w:rPr>
                        <w:rFonts w:hint="eastAsia"/>
                        <w:sz w:val="18"/>
                        <w:szCs w:val="18"/>
                      </w:rPr>
                      <w:t>其他</w:t>
                    </w:r>
                  </w:p>
                </w:tc>
              </w:sdtContent>
            </w:sdt>
            <w:tc>
              <w:tcPr>
                <w:tcW w:w="521"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cs="Times New Roman"/>
                    <w:sz w:val="18"/>
                    <w:szCs w:val="18"/>
                  </w:rPr>
                </w:pPr>
              </w:p>
            </w:tc>
            <w:tc>
              <w:tcPr>
                <w:tcW w:w="499" w:type="pct"/>
                <w:vAlign w:val="center"/>
              </w:tcPr>
              <w:p>
                <w:pPr>
                  <w:jc w:val="right"/>
                  <w:rPr>
                    <w:rFonts w:hint="default" w:ascii="Times New Roman" w:hAnsi="Times New Roman" w:cs="Times New Roman"/>
                    <w:sz w:val="18"/>
                    <w:szCs w:val="18"/>
                  </w:rPr>
                </w:pPr>
              </w:p>
            </w:tc>
            <w:tc>
              <w:tcPr>
                <w:tcW w:w="539" w:type="pct"/>
                <w:vAlign w:val="center"/>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db836e110543eab1bb1c6fb46bd857"/>
                <w:id w:val="5447"/>
              </w:sdtPr>
              <w:sdtContent>
                <w:tc>
                  <w:tcPr>
                    <w:tcW w:w="438" w:type="pct"/>
                    <w:vAlign w:val="center"/>
                  </w:tcPr>
                  <w:p>
                    <w:pPr>
                      <w:jc w:val="left"/>
                      <w:rPr>
                        <w:sz w:val="18"/>
                        <w:szCs w:val="18"/>
                      </w:rPr>
                    </w:pPr>
                    <w:r>
                      <w:rPr>
                        <w:sz w:val="18"/>
                        <w:szCs w:val="18"/>
                      </w:rPr>
                      <w:t>二、本年</w:t>
                    </w:r>
                    <w:r>
                      <w:rPr>
                        <w:rFonts w:hint="eastAsia"/>
                        <w:sz w:val="18"/>
                        <w:szCs w:val="18"/>
                      </w:rPr>
                      <w:t>期</w:t>
                    </w:r>
                    <w:r>
                      <w:rPr>
                        <w:sz w:val="18"/>
                        <w:szCs w:val="18"/>
                      </w:rPr>
                      <w:t>初余额</w:t>
                    </w:r>
                  </w:p>
                </w:tc>
              </w:sdtContent>
            </w:sdt>
            <w:tc>
              <w:tcPr>
                <w:tcW w:w="52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245,621,848.75</w:t>
                </w: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 xml:space="preserve">125,345,760.90 </w:t>
                </w: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 xml:space="preserve">2,097,043,673.34 </w:t>
                </w:r>
              </w:p>
            </w:tc>
            <w:tc>
              <w:tcPr>
                <w:tcW w:w="499"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 xml:space="preserve">-5,474,234.18 </w:t>
                </w:r>
              </w:p>
            </w:tc>
            <w:tc>
              <w:tcPr>
                <w:tcW w:w="539" w:type="pct"/>
                <w:vAlign w:val="center"/>
              </w:tcPr>
              <w:p>
                <w:pPr>
                  <w:jc w:val="right"/>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 xml:space="preserve">2,091,569,439.16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a4768a663c4afc8e9fee3a8dc71bc6"/>
                <w:id w:val="5448"/>
              </w:sdtPr>
              <w:sdtContent>
                <w:tc>
                  <w:tcPr>
                    <w:tcW w:w="438" w:type="pct"/>
                    <w:vAlign w:val="center"/>
                  </w:tcPr>
                  <w:p>
                    <w:pPr>
                      <w:jc w:val="left"/>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521"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77,215.90</w:t>
                </w: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22,729,442.98</w:t>
                </w: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22,806,658.88</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1,830,156.20</w:t>
                </w:r>
              </w:p>
            </w:tc>
            <w:tc>
              <w:tcPr>
                <w:tcW w:w="53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24,636,815.08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5a20255a0a245fd951d5eb42c559389"/>
                <w:id w:val="5449"/>
              </w:sdtPr>
              <w:sdtContent>
                <w:tc>
                  <w:tcPr>
                    <w:tcW w:w="438" w:type="pct"/>
                    <w:vAlign w:val="center"/>
                  </w:tcPr>
                  <w:p>
                    <w:pPr>
                      <w:jc w:val="left"/>
                      <w:rPr>
                        <w:sz w:val="18"/>
                        <w:szCs w:val="18"/>
                      </w:rPr>
                    </w:pPr>
                    <w:r>
                      <w:rPr>
                        <w:rFonts w:hint="eastAsia"/>
                        <w:sz w:val="18"/>
                        <w:szCs w:val="18"/>
                      </w:rPr>
                      <w:t>（一）综合收益总额</w:t>
                    </w:r>
                  </w:p>
                </w:tc>
              </w:sdtContent>
            </w:sdt>
            <w:tc>
              <w:tcPr>
                <w:tcW w:w="521"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22,806,658.88</w:t>
                </w: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22,806,658.88</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1,830,156.20</w:t>
                </w:r>
              </w:p>
            </w:tc>
            <w:tc>
              <w:tcPr>
                <w:tcW w:w="53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24,636,815.08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bd5a3f22a849b08cf8df11a07115b5"/>
                <w:id w:val="5450"/>
              </w:sdtPr>
              <w:sdtContent>
                <w:tc>
                  <w:tcPr>
                    <w:tcW w:w="438" w:type="pct"/>
                  </w:tcPr>
                  <w:p>
                    <w:pPr>
                      <w:jc w:val="left"/>
                      <w:rPr>
                        <w:sz w:val="18"/>
                        <w:szCs w:val="18"/>
                      </w:rPr>
                    </w:pPr>
                    <w:r>
                      <w:rPr>
                        <w:sz w:val="18"/>
                        <w:szCs w:val="18"/>
                      </w:rPr>
                      <w:t>（</w:t>
                    </w:r>
                    <w:r>
                      <w:rPr>
                        <w:rFonts w:hint="eastAsia"/>
                        <w:sz w:val="18"/>
                        <w:szCs w:val="18"/>
                      </w:rPr>
                      <w:t>二</w:t>
                    </w:r>
                    <w:r>
                      <w:rPr>
                        <w:sz w:val="18"/>
                        <w:szCs w:val="18"/>
                      </w:rPr>
                      <w:t>）所有者投入和减少资本</w:t>
                    </w:r>
                  </w:p>
                </w:tc>
              </w:sdtContent>
            </w:sdt>
            <w:tc>
              <w:tcPr>
                <w:tcW w:w="521" w:type="pct"/>
              </w:tcPr>
              <w:p>
                <w:pPr>
                  <w:jc w:val="right"/>
                  <w:rPr>
                    <w:rFonts w:hint="default" w:ascii="Times New Roman" w:hAnsi="Times New Roman" w:cs="Times New Roman"/>
                    <w:sz w:val="18"/>
                    <w:szCs w:val="18"/>
                  </w:rPr>
                </w:pPr>
              </w:p>
            </w:tc>
            <w:tc>
              <w:tcPr>
                <w:tcW w:w="100" w:type="pct"/>
              </w:tcPr>
              <w:p>
                <w:pPr>
                  <w:jc w:val="right"/>
                  <w:rPr>
                    <w:rFonts w:hint="default" w:ascii="Times New Roman" w:hAnsi="Times New Roman" w:cs="Times New Roman"/>
                    <w:sz w:val="18"/>
                    <w:szCs w:val="18"/>
                  </w:rPr>
                </w:pPr>
              </w:p>
            </w:tc>
            <w:tc>
              <w:tcPr>
                <w:tcW w:w="85" w:type="pct"/>
              </w:tcPr>
              <w:p>
                <w:pPr>
                  <w:jc w:val="right"/>
                  <w:rPr>
                    <w:rFonts w:hint="default" w:ascii="Times New Roman" w:hAnsi="Times New Roman" w:cs="Times New Roman"/>
                    <w:sz w:val="18"/>
                    <w:szCs w:val="18"/>
                  </w:rPr>
                </w:pPr>
              </w:p>
            </w:tc>
            <w:tc>
              <w:tcPr>
                <w:tcW w:w="77" w:type="pct"/>
              </w:tcPr>
              <w:p>
                <w:pPr>
                  <w:jc w:val="right"/>
                  <w:rPr>
                    <w:rFonts w:hint="default" w:ascii="Times New Roman" w:hAnsi="Times New Roman" w:cs="Times New Roman"/>
                    <w:sz w:val="18"/>
                    <w:szCs w:val="18"/>
                  </w:rPr>
                </w:pPr>
              </w:p>
            </w:tc>
            <w:tc>
              <w:tcPr>
                <w:tcW w:w="477" w:type="pct"/>
              </w:tcPr>
              <w:p>
                <w:pPr>
                  <w:jc w:val="right"/>
                  <w:rPr>
                    <w:rFonts w:hint="default" w:ascii="Times New Roman" w:hAnsi="Times New Roman" w:cs="Times New Roman"/>
                    <w:sz w:val="18"/>
                    <w:szCs w:val="18"/>
                  </w:rPr>
                </w:pPr>
              </w:p>
            </w:tc>
            <w:tc>
              <w:tcPr>
                <w:tcW w:w="78" w:type="pct"/>
              </w:tcPr>
              <w:p>
                <w:pPr>
                  <w:jc w:val="right"/>
                  <w:rPr>
                    <w:rFonts w:hint="default" w:ascii="Times New Roman" w:hAnsi="Times New Roman" w:cs="Times New Roman"/>
                    <w:sz w:val="18"/>
                    <w:szCs w:val="18"/>
                  </w:rPr>
                </w:pPr>
              </w:p>
            </w:tc>
            <w:tc>
              <w:tcPr>
                <w:tcW w:w="409" w:type="pct"/>
              </w:tcPr>
              <w:p>
                <w:pPr>
                  <w:jc w:val="right"/>
                  <w:rPr>
                    <w:rFonts w:hint="default" w:ascii="Times New Roman" w:hAnsi="Times New Roman" w:cs="Times New Roman"/>
                    <w:sz w:val="18"/>
                    <w:szCs w:val="18"/>
                  </w:rPr>
                </w:pPr>
              </w:p>
            </w:tc>
            <w:tc>
              <w:tcPr>
                <w:tcW w:w="77" w:type="pct"/>
              </w:tcPr>
              <w:p>
                <w:pPr>
                  <w:jc w:val="right"/>
                  <w:rPr>
                    <w:rFonts w:hint="default" w:ascii="Times New Roman" w:hAnsi="Times New Roman" w:cs="Times New Roman"/>
                    <w:sz w:val="18"/>
                    <w:szCs w:val="18"/>
                  </w:rPr>
                </w:pPr>
              </w:p>
            </w:tc>
            <w:tc>
              <w:tcPr>
                <w:tcW w:w="475" w:type="pct"/>
              </w:tcPr>
              <w:p>
                <w:pPr>
                  <w:jc w:val="right"/>
                  <w:rPr>
                    <w:rFonts w:hint="default" w:ascii="Times New Roman" w:hAnsi="Times New Roman" w:cs="Times New Roman"/>
                    <w:sz w:val="18"/>
                    <w:szCs w:val="18"/>
                  </w:rPr>
                </w:pPr>
              </w:p>
            </w:tc>
            <w:tc>
              <w:tcPr>
                <w:tcW w:w="77" w:type="pct"/>
              </w:tcPr>
              <w:p>
                <w:pPr>
                  <w:jc w:val="right"/>
                  <w:rPr>
                    <w:rFonts w:hint="default" w:ascii="Times New Roman" w:hAnsi="Times New Roman" w:cs="Times New Roman"/>
                    <w:sz w:val="18"/>
                    <w:szCs w:val="18"/>
                  </w:rPr>
                </w:pPr>
              </w:p>
            </w:tc>
            <w:tc>
              <w:tcPr>
                <w:tcW w:w="457" w:type="pct"/>
              </w:tcPr>
              <w:p>
                <w:pPr>
                  <w:jc w:val="right"/>
                  <w:rPr>
                    <w:rFonts w:hint="default" w:ascii="Times New Roman" w:hAnsi="Times New Roman" w:cs="Times New Roman"/>
                    <w:sz w:val="18"/>
                    <w:szCs w:val="18"/>
                  </w:rPr>
                </w:pPr>
              </w:p>
            </w:tc>
            <w:tc>
              <w:tcPr>
                <w:tcW w:w="77" w:type="pct"/>
              </w:tcPr>
              <w:p>
                <w:pPr>
                  <w:jc w:val="right"/>
                  <w:rPr>
                    <w:rFonts w:hint="default" w:ascii="Times New Roman" w:hAnsi="Times New Roman" w:cs="Times New Roman"/>
                    <w:sz w:val="18"/>
                    <w:szCs w:val="18"/>
                  </w:rPr>
                </w:pPr>
              </w:p>
            </w:tc>
            <w:tc>
              <w:tcPr>
                <w:tcW w:w="604" w:type="pct"/>
              </w:tcPr>
              <w:p>
                <w:pPr>
                  <w:jc w:val="right"/>
                  <w:rPr>
                    <w:rFonts w:hint="default" w:ascii="Times New Roman" w:hAnsi="Times New Roman" w:cs="Times New Roman"/>
                    <w:sz w:val="18"/>
                    <w:szCs w:val="18"/>
                  </w:rPr>
                </w:pPr>
              </w:p>
            </w:tc>
            <w:tc>
              <w:tcPr>
                <w:tcW w:w="499" w:type="pct"/>
              </w:tcPr>
              <w:p>
                <w:pPr>
                  <w:jc w:val="right"/>
                  <w:rPr>
                    <w:rFonts w:hint="default" w:ascii="Times New Roman" w:hAnsi="Times New Roman" w:cs="Times New Roman"/>
                    <w:sz w:val="18"/>
                    <w:szCs w:val="18"/>
                  </w:rPr>
                </w:pPr>
              </w:p>
            </w:tc>
            <w:tc>
              <w:tcPr>
                <w:tcW w:w="539" w:type="pct"/>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4d24462cb048579eb01f9b1c8956b1"/>
                <w:id w:val="5451"/>
              </w:sdtPr>
              <w:sdtContent>
                <w:tc>
                  <w:tcPr>
                    <w:tcW w:w="438" w:type="pct"/>
                  </w:tcPr>
                  <w:p>
                    <w:pPr>
                      <w:jc w:val="left"/>
                      <w:rPr>
                        <w:sz w:val="18"/>
                        <w:szCs w:val="18"/>
                      </w:rPr>
                    </w:pPr>
                    <w:r>
                      <w:rPr>
                        <w:rFonts w:hint="eastAsia"/>
                        <w:sz w:val="18"/>
                        <w:szCs w:val="18"/>
                      </w:rPr>
                      <w:t>1．所有者投入的普通股</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b1df3030d9b41699f4a3e651f6c74e7"/>
                <w:id w:val="5452"/>
              </w:sdtPr>
              <w:sdtContent>
                <w:tc>
                  <w:tcPr>
                    <w:tcW w:w="438" w:type="pct"/>
                  </w:tcPr>
                  <w:p>
                    <w:pPr>
                      <w:rPr>
                        <w:sz w:val="18"/>
                        <w:szCs w:val="18"/>
                      </w:rPr>
                    </w:pPr>
                    <w:r>
                      <w:rPr>
                        <w:rFonts w:hint="eastAsia"/>
                        <w:sz w:val="18"/>
                        <w:szCs w:val="18"/>
                      </w:rPr>
                      <w:t>2．其他权益工具持有者投入资本</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0c7d29dbe4ecc8acea7b1a1149bd3"/>
                <w:id w:val="5453"/>
              </w:sdtPr>
              <w:sdtContent>
                <w:tc>
                  <w:tcPr>
                    <w:tcW w:w="438" w:type="pct"/>
                  </w:tcPr>
                  <w:p>
                    <w:pPr>
                      <w:rPr>
                        <w:sz w:val="18"/>
                        <w:szCs w:val="18"/>
                      </w:rPr>
                    </w:pPr>
                    <w:r>
                      <w:rPr>
                        <w:rFonts w:hint="eastAsia"/>
                        <w:sz w:val="18"/>
                        <w:szCs w:val="18"/>
                      </w:rPr>
                      <w:t>3</w:t>
                    </w:r>
                    <w:r>
                      <w:rPr>
                        <w:sz w:val="18"/>
                        <w:szCs w:val="18"/>
                      </w:rPr>
                      <w:t>．股份支付计入所有者权益的金额</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ce563048a9409f9366506e205c4124"/>
                <w:id w:val="5454"/>
              </w:sdtPr>
              <w:sdtContent>
                <w:tc>
                  <w:tcPr>
                    <w:tcW w:w="438" w:type="pct"/>
                  </w:tcPr>
                  <w:p>
                    <w:pPr>
                      <w:rPr>
                        <w:sz w:val="18"/>
                        <w:szCs w:val="18"/>
                      </w:rPr>
                    </w:pPr>
                    <w:r>
                      <w:rPr>
                        <w:rFonts w:hint="eastAsia"/>
                        <w:sz w:val="18"/>
                        <w:szCs w:val="18"/>
                      </w:rPr>
                      <w:t>4</w:t>
                    </w:r>
                    <w:r>
                      <w:rPr>
                        <w:sz w:val="18"/>
                        <w:szCs w:val="18"/>
                      </w:rPr>
                      <w:t>．其他</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5ace973797c4072b589e43841b34142"/>
                <w:id w:val="5455"/>
              </w:sdtPr>
              <w:sdtContent>
                <w:tc>
                  <w:tcPr>
                    <w:tcW w:w="438" w:type="pct"/>
                  </w:tcPr>
                  <w:p>
                    <w:pPr>
                      <w:rPr>
                        <w:sz w:val="18"/>
                        <w:szCs w:val="18"/>
                      </w:rPr>
                    </w:pPr>
                    <w:r>
                      <w:rPr>
                        <w:sz w:val="18"/>
                        <w:szCs w:val="18"/>
                      </w:rPr>
                      <w:t>（</w:t>
                    </w:r>
                    <w:r>
                      <w:rPr>
                        <w:rFonts w:hint="eastAsia"/>
                        <w:sz w:val="18"/>
                        <w:szCs w:val="18"/>
                      </w:rPr>
                      <w:t>三</w:t>
                    </w:r>
                    <w:r>
                      <w:rPr>
                        <w:sz w:val="18"/>
                        <w:szCs w:val="18"/>
                      </w:rPr>
                      <w:t>）利润分配</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6984731c08d48a08692b6a589fbe555"/>
                <w:id w:val="5456"/>
              </w:sdtPr>
              <w:sdtContent>
                <w:tc>
                  <w:tcPr>
                    <w:tcW w:w="438" w:type="pct"/>
                  </w:tcPr>
                  <w:p>
                    <w:pPr>
                      <w:rPr>
                        <w:sz w:val="18"/>
                        <w:szCs w:val="18"/>
                      </w:rPr>
                    </w:pPr>
                    <w:r>
                      <w:rPr>
                        <w:sz w:val="18"/>
                        <w:szCs w:val="18"/>
                      </w:rPr>
                      <w:t>1．提取盈余公积</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w:t>
                </w: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0e7cefb4de4113b5c1abddf8a241d4"/>
                <w:id w:val="5457"/>
              </w:sdtPr>
              <w:sdtContent>
                <w:tc>
                  <w:tcPr>
                    <w:tcW w:w="438" w:type="pct"/>
                  </w:tcPr>
                  <w:p>
                    <w:pPr>
                      <w:rPr>
                        <w:sz w:val="18"/>
                        <w:szCs w:val="18"/>
                      </w:rPr>
                    </w:pPr>
                    <w:r>
                      <w:rPr>
                        <w:sz w:val="18"/>
                        <w:szCs w:val="18"/>
                      </w:rPr>
                      <w:t>2．提取一般风险准备</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d573481d9af49e2a8ab22ecd061ccf7"/>
                <w:id w:val="5458"/>
              </w:sdtPr>
              <w:sdtContent>
                <w:tc>
                  <w:tcPr>
                    <w:tcW w:w="438" w:type="pct"/>
                  </w:tcPr>
                  <w:p>
                    <w:pPr>
                      <w:rPr>
                        <w:sz w:val="18"/>
                        <w:szCs w:val="18"/>
                      </w:rPr>
                    </w:pPr>
                    <w:r>
                      <w:rPr>
                        <w:sz w:val="18"/>
                        <w:szCs w:val="18"/>
                      </w:rPr>
                      <w:t>3．对所有者（或股东）的分配</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d87d5b565c74b3faf2e05ed9840875a"/>
                <w:id w:val="5459"/>
              </w:sdtPr>
              <w:sdtContent>
                <w:tc>
                  <w:tcPr>
                    <w:tcW w:w="438" w:type="pct"/>
                  </w:tcPr>
                  <w:p>
                    <w:pPr>
                      <w:rPr>
                        <w:sz w:val="18"/>
                        <w:szCs w:val="18"/>
                      </w:rPr>
                    </w:pPr>
                    <w:r>
                      <w:rPr>
                        <w:sz w:val="18"/>
                        <w:szCs w:val="18"/>
                      </w:rPr>
                      <w:t>4．其他</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da940e723e49d8b19944c326b0a372"/>
                <w:id w:val="5460"/>
              </w:sdtPr>
              <w:sdtContent>
                <w:tc>
                  <w:tcPr>
                    <w:tcW w:w="438"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fb253c66e143fa8d6fda4d400657ec"/>
                <w:id w:val="5461"/>
              </w:sdtPr>
              <w:sdtContent>
                <w:tc>
                  <w:tcPr>
                    <w:tcW w:w="438" w:type="pct"/>
                  </w:tcPr>
                  <w:p>
                    <w:pPr>
                      <w:rPr>
                        <w:sz w:val="18"/>
                        <w:szCs w:val="18"/>
                      </w:rPr>
                    </w:pPr>
                    <w:r>
                      <w:rPr>
                        <w:sz w:val="18"/>
                        <w:szCs w:val="18"/>
                      </w:rPr>
                      <w:t>1．资本公积转增资本（或股本）</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cc23aa9ca343c08333ba7ee1b1325c"/>
                <w:id w:val="5462"/>
              </w:sdtPr>
              <w:sdtContent>
                <w:tc>
                  <w:tcPr>
                    <w:tcW w:w="438" w:type="pct"/>
                  </w:tcPr>
                  <w:p>
                    <w:pPr>
                      <w:rPr>
                        <w:sz w:val="18"/>
                        <w:szCs w:val="18"/>
                      </w:rPr>
                    </w:pPr>
                    <w:r>
                      <w:rPr>
                        <w:sz w:val="18"/>
                        <w:szCs w:val="18"/>
                      </w:rPr>
                      <w:t>2．盈余公积转增资本（或股本）</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db953ff4eb242bd9b2d516481ce5c51"/>
                <w:id w:val="5463"/>
              </w:sdtPr>
              <w:sdtContent>
                <w:tc>
                  <w:tcPr>
                    <w:tcW w:w="438" w:type="pct"/>
                  </w:tcPr>
                  <w:p>
                    <w:pPr>
                      <w:rPr>
                        <w:sz w:val="18"/>
                        <w:szCs w:val="18"/>
                      </w:rPr>
                    </w:pPr>
                    <w:r>
                      <w:rPr>
                        <w:sz w:val="18"/>
                        <w:szCs w:val="18"/>
                      </w:rPr>
                      <w:t>3．盈余公积弥补亏损</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tcPr>
              <w:sdt>
                <w:sdtPr>
                  <w:rPr>
                    <w:sz w:val="18"/>
                    <w:szCs w:val="18"/>
                  </w:rPr>
                  <w:tag w:val="_PLD_4cff15a1162840c480701077d824f063"/>
                  <w:id w:val="5464"/>
                </w:sdtPr>
                <w:sdtEndPr>
                  <w:rPr>
                    <w:sz w:val="18"/>
                    <w:szCs w:val="18"/>
                  </w:rPr>
                </w:sdtEndPr>
                <w:sdtContent>
                  <w:p>
                    <w:r>
                      <w:rPr>
                        <w:sz w:val="18"/>
                        <w:szCs w:val="18"/>
                      </w:rPr>
                      <w:t>4．设定受益计划变动额结转留存收益</w:t>
                    </w:r>
                  </w:p>
                </w:sdtContent>
              </w:sdt>
            </w:tc>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tcPr>
              <w:sdt>
                <w:sdtPr>
                  <w:rPr>
                    <w:sz w:val="18"/>
                    <w:szCs w:val="18"/>
                  </w:rPr>
                  <w:tag w:val="_PLD_01b44dab85214948b610b65ce91a85dd"/>
                  <w:id w:val="5465"/>
                </w:sdtPr>
                <w:sdtEndPr>
                  <w:rPr>
                    <w:sz w:val="18"/>
                    <w:szCs w:val="18"/>
                  </w:rPr>
                </w:sdtEndPr>
                <w:sdtContent>
                  <w:p>
                    <w:pPr>
                      <w:rPr>
                        <w:sz w:val="18"/>
                        <w:szCs w:val="18"/>
                      </w:rPr>
                    </w:pPr>
                    <w:r>
                      <w:rPr>
                        <w:sz w:val="18"/>
                        <w:szCs w:val="18"/>
                      </w:rPr>
                      <w:t>5．其他综合收益结转留存收益</w:t>
                    </w:r>
                  </w:p>
                </w:sdtContent>
              </w:sdt>
            </w:tc>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ac599075bf24593ba41b1bec2fb0e9e"/>
                <w:id w:val="5466"/>
              </w:sdtPr>
              <w:sdtContent>
                <w:tc>
                  <w:tcPr>
                    <w:tcW w:w="438" w:type="pct"/>
                  </w:tcPr>
                  <w:p>
                    <w:pPr>
                      <w:rPr>
                        <w:sz w:val="18"/>
                        <w:szCs w:val="18"/>
                      </w:rPr>
                    </w:pPr>
                    <w:r>
                      <w:rPr>
                        <w:sz w:val="18"/>
                        <w:szCs w:val="18"/>
                      </w:rPr>
                      <w:t>6．其他</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06d8680d944e6999b3743f1fcf75f9"/>
                <w:id w:val="5467"/>
              </w:sdtPr>
              <w:sdtContent>
                <w:tc>
                  <w:tcPr>
                    <w:tcW w:w="438" w:type="pct"/>
                  </w:tcPr>
                  <w:p>
                    <w:pPr>
                      <w:rPr>
                        <w:sz w:val="18"/>
                        <w:szCs w:val="18"/>
                      </w:rPr>
                    </w:pPr>
                    <w:r>
                      <w:rPr>
                        <w:rFonts w:hint="eastAsia"/>
                        <w:sz w:val="18"/>
                        <w:szCs w:val="18"/>
                      </w:rPr>
                      <w:t>（五）专项储备</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1e7a107b4eb42c48000b98a786d499c"/>
                <w:id w:val="5468"/>
              </w:sdtPr>
              <w:sdtContent>
                <w:tc>
                  <w:tcPr>
                    <w:tcW w:w="438" w:type="pct"/>
                  </w:tcPr>
                  <w:p>
                    <w:pPr>
                      <w:rPr>
                        <w:sz w:val="18"/>
                        <w:szCs w:val="18"/>
                      </w:rPr>
                    </w:pPr>
                    <w:r>
                      <w:rPr>
                        <w:rFonts w:hint="eastAsia"/>
                        <w:sz w:val="18"/>
                        <w:szCs w:val="18"/>
                      </w:rPr>
                      <w:t>1．本期提取</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9b59bbd4f7a49708a1fc0c2a96e3869"/>
                <w:id w:val="5469"/>
              </w:sdtPr>
              <w:sdtContent>
                <w:tc>
                  <w:tcPr>
                    <w:tcW w:w="438" w:type="pct"/>
                  </w:tcPr>
                  <w:p>
                    <w:pPr>
                      <w:rPr>
                        <w:sz w:val="18"/>
                        <w:szCs w:val="18"/>
                      </w:rPr>
                    </w:pPr>
                    <w:r>
                      <w:rPr>
                        <w:rFonts w:hint="eastAsia"/>
                        <w:sz w:val="18"/>
                        <w:szCs w:val="18"/>
                      </w:rPr>
                      <w:t>2．本期使用</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6f5912872d41cc910f3bdca18b82d0"/>
                <w:id w:val="5470"/>
              </w:sdtPr>
              <w:sdtContent>
                <w:tc>
                  <w:tcPr>
                    <w:tcW w:w="438" w:type="pct"/>
                  </w:tcPr>
                  <w:p>
                    <w:pPr>
                      <w:rPr>
                        <w:sz w:val="18"/>
                        <w:szCs w:val="18"/>
                      </w:rPr>
                    </w:pPr>
                    <w:r>
                      <w:rPr>
                        <w:rFonts w:hint="eastAsia"/>
                        <w:sz w:val="18"/>
                        <w:szCs w:val="18"/>
                      </w:rPr>
                      <w:t>（六）其他</w:t>
                    </w:r>
                  </w:p>
                </w:tc>
              </w:sdtContent>
            </w:sdt>
            <w:tc>
              <w:tcPr>
                <w:tcW w:w="521" w:type="pct"/>
              </w:tcPr>
              <w:p>
                <w:pPr>
                  <w:jc w:val="right"/>
                  <w:rPr>
                    <w:sz w:val="18"/>
                    <w:szCs w:val="18"/>
                  </w:rPr>
                </w:pPr>
              </w:p>
            </w:tc>
            <w:tc>
              <w:tcPr>
                <w:tcW w:w="100" w:type="pct"/>
              </w:tcPr>
              <w:p>
                <w:pPr>
                  <w:jc w:val="right"/>
                  <w:rPr>
                    <w:sz w:val="18"/>
                    <w:szCs w:val="18"/>
                  </w:rPr>
                </w:pPr>
              </w:p>
            </w:tc>
            <w:tc>
              <w:tcPr>
                <w:tcW w:w="85" w:type="pct"/>
              </w:tcPr>
              <w:p>
                <w:pPr>
                  <w:jc w:val="right"/>
                  <w:rPr>
                    <w:sz w:val="18"/>
                    <w:szCs w:val="18"/>
                  </w:rPr>
                </w:pPr>
              </w:p>
            </w:tc>
            <w:tc>
              <w:tcPr>
                <w:tcW w:w="77" w:type="pct"/>
              </w:tcPr>
              <w:p>
                <w:pPr>
                  <w:jc w:val="right"/>
                  <w:rPr>
                    <w:sz w:val="18"/>
                    <w:szCs w:val="18"/>
                  </w:rPr>
                </w:pPr>
              </w:p>
            </w:tc>
            <w:tc>
              <w:tcPr>
                <w:tcW w:w="477" w:type="pct"/>
              </w:tcPr>
              <w:p>
                <w:pPr>
                  <w:jc w:val="right"/>
                  <w:rPr>
                    <w:sz w:val="18"/>
                    <w:szCs w:val="18"/>
                  </w:rPr>
                </w:pPr>
              </w:p>
            </w:tc>
            <w:tc>
              <w:tcPr>
                <w:tcW w:w="78" w:type="pct"/>
              </w:tcPr>
              <w:p>
                <w:pPr>
                  <w:jc w:val="right"/>
                  <w:rPr>
                    <w:sz w:val="18"/>
                    <w:szCs w:val="18"/>
                  </w:rPr>
                </w:pPr>
              </w:p>
            </w:tc>
            <w:tc>
              <w:tcPr>
                <w:tcW w:w="409" w:type="pct"/>
              </w:tcPr>
              <w:p>
                <w:pPr>
                  <w:jc w:val="right"/>
                  <w:rPr>
                    <w:sz w:val="18"/>
                    <w:szCs w:val="18"/>
                  </w:rPr>
                </w:pPr>
              </w:p>
            </w:tc>
            <w:tc>
              <w:tcPr>
                <w:tcW w:w="77" w:type="pct"/>
              </w:tcPr>
              <w:p>
                <w:pPr>
                  <w:jc w:val="right"/>
                  <w:rPr>
                    <w:sz w:val="18"/>
                    <w:szCs w:val="18"/>
                  </w:rPr>
                </w:pPr>
              </w:p>
            </w:tc>
            <w:tc>
              <w:tcPr>
                <w:tcW w:w="475" w:type="pct"/>
              </w:tcPr>
              <w:p>
                <w:pPr>
                  <w:jc w:val="right"/>
                  <w:rPr>
                    <w:sz w:val="18"/>
                    <w:szCs w:val="18"/>
                  </w:rPr>
                </w:pPr>
              </w:p>
            </w:tc>
            <w:tc>
              <w:tcPr>
                <w:tcW w:w="77" w:type="pct"/>
              </w:tcPr>
              <w:p>
                <w:pPr>
                  <w:jc w:val="right"/>
                  <w:rPr>
                    <w:sz w:val="18"/>
                    <w:szCs w:val="18"/>
                  </w:rPr>
                </w:pPr>
              </w:p>
            </w:tc>
            <w:tc>
              <w:tcPr>
                <w:tcW w:w="457" w:type="pct"/>
              </w:tcPr>
              <w:p>
                <w:pPr>
                  <w:jc w:val="right"/>
                  <w:rPr>
                    <w:sz w:val="18"/>
                    <w:szCs w:val="18"/>
                  </w:rPr>
                </w:pPr>
              </w:p>
            </w:tc>
            <w:tc>
              <w:tcPr>
                <w:tcW w:w="77" w:type="pct"/>
              </w:tcPr>
              <w:p>
                <w:pPr>
                  <w:jc w:val="right"/>
                  <w:rPr>
                    <w:sz w:val="18"/>
                    <w:szCs w:val="18"/>
                  </w:rPr>
                </w:pPr>
              </w:p>
            </w:tc>
            <w:tc>
              <w:tcPr>
                <w:tcW w:w="604" w:type="pct"/>
              </w:tcPr>
              <w:p>
                <w:pPr>
                  <w:jc w:val="right"/>
                  <w:rPr>
                    <w:sz w:val="18"/>
                    <w:szCs w:val="18"/>
                  </w:rPr>
                </w:pPr>
              </w:p>
            </w:tc>
            <w:tc>
              <w:tcPr>
                <w:tcW w:w="499" w:type="pct"/>
              </w:tcPr>
              <w:p>
                <w:pPr>
                  <w:jc w:val="right"/>
                  <w:rPr>
                    <w:sz w:val="18"/>
                    <w:szCs w:val="18"/>
                  </w:rPr>
                </w:pPr>
              </w:p>
            </w:tc>
            <w:tc>
              <w:tcPr>
                <w:tcW w:w="539"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6ec7abefe954758b48497b1b1440546"/>
                <w:id w:val="5471"/>
              </w:sdtPr>
              <w:sdtContent>
                <w:tc>
                  <w:tcPr>
                    <w:tcW w:w="438" w:type="pct"/>
                  </w:tcPr>
                  <w:p>
                    <w:pPr>
                      <w:rPr>
                        <w:sz w:val="18"/>
                        <w:szCs w:val="18"/>
                      </w:rPr>
                    </w:pPr>
                    <w:r>
                      <w:rPr>
                        <w:sz w:val="18"/>
                        <w:szCs w:val="18"/>
                      </w:rPr>
                      <w:t>四、本期期末余额</w:t>
                    </w:r>
                  </w:p>
                </w:tc>
              </w:sdtContent>
            </w:sdt>
            <w:tc>
              <w:tcPr>
                <w:tcW w:w="52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100" w:type="pct"/>
                <w:vAlign w:val="center"/>
              </w:tcPr>
              <w:p>
                <w:pPr>
                  <w:jc w:val="right"/>
                  <w:rPr>
                    <w:rFonts w:hint="default" w:ascii="Times New Roman" w:hAnsi="Times New Roman" w:cs="Times New Roman"/>
                    <w:sz w:val="18"/>
                    <w:szCs w:val="18"/>
                  </w:rPr>
                </w:pPr>
              </w:p>
            </w:tc>
            <w:tc>
              <w:tcPr>
                <w:tcW w:w="85"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7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78" w:type="pct"/>
                <w:vAlign w:val="center"/>
              </w:tcPr>
              <w:p>
                <w:pPr>
                  <w:jc w:val="right"/>
                  <w:rPr>
                    <w:rFonts w:hint="default" w:ascii="Times New Roman" w:hAnsi="Times New Roman" w:cs="Times New Roman"/>
                    <w:sz w:val="18"/>
                    <w:szCs w:val="18"/>
                  </w:rPr>
                </w:pPr>
              </w:p>
            </w:tc>
            <w:tc>
              <w:tcPr>
                <w:tcW w:w="40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77" w:type="pct"/>
                <w:vAlign w:val="center"/>
              </w:tcPr>
              <w:p>
                <w:pPr>
                  <w:jc w:val="right"/>
                  <w:rPr>
                    <w:rFonts w:hint="default" w:ascii="Times New Roman" w:hAnsi="Times New Roman" w:cs="Times New Roman"/>
                    <w:sz w:val="18"/>
                    <w:szCs w:val="18"/>
                  </w:rPr>
                </w:pPr>
              </w:p>
            </w:tc>
            <w:tc>
              <w:tcPr>
                <w:tcW w:w="475"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245,699,064.65</w:t>
                </w:r>
              </w:p>
            </w:tc>
            <w:tc>
              <w:tcPr>
                <w:tcW w:w="77" w:type="pct"/>
                <w:vAlign w:val="center"/>
              </w:tcPr>
              <w:p>
                <w:pPr>
                  <w:jc w:val="right"/>
                  <w:rPr>
                    <w:rFonts w:hint="default" w:ascii="Times New Roman" w:hAnsi="Times New Roman" w:cs="Times New Roman"/>
                    <w:sz w:val="18"/>
                    <w:szCs w:val="18"/>
                  </w:rPr>
                </w:pPr>
              </w:p>
            </w:tc>
            <w:tc>
              <w:tcPr>
                <w:tcW w:w="457"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sz w:val="18"/>
                    <w:szCs w:val="18"/>
                    <w:lang w:eastAsia="zh-CN"/>
                  </w:rPr>
                  <w:t>148,075,203.88</w:t>
                </w:r>
              </w:p>
            </w:tc>
            <w:tc>
              <w:tcPr>
                <w:tcW w:w="77" w:type="pct"/>
                <w:vAlign w:val="center"/>
              </w:tcPr>
              <w:p>
                <w:pPr>
                  <w:jc w:val="right"/>
                  <w:rPr>
                    <w:rFonts w:hint="default" w:ascii="Times New Roman" w:hAnsi="Times New Roman" w:cs="Times New Roman"/>
                    <w:sz w:val="18"/>
                    <w:szCs w:val="18"/>
                  </w:rPr>
                </w:pPr>
              </w:p>
            </w:tc>
            <w:tc>
              <w:tcPr>
                <w:tcW w:w="604" w:type="pct"/>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color w:val="auto"/>
                    <w:sz w:val="18"/>
                    <w:szCs w:val="18"/>
                    <w:lang w:eastAsia="zh-CN"/>
                  </w:rPr>
                  <w:t>2,119,850,332.22</w:t>
                </w:r>
              </w:p>
            </w:tc>
            <w:tc>
              <w:tcPr>
                <w:tcW w:w="499" w:type="pct"/>
                <w:vAlign w:val="center"/>
              </w:tcPr>
              <w:p>
                <w:pPr>
                  <w:keepNext w:val="0"/>
                  <w:keepLines w:val="0"/>
                  <w:widowControl/>
                  <w:suppressLineNumbers w:val="0"/>
                  <w:jc w:val="right"/>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-3,644,077.98</w:t>
                </w:r>
              </w:p>
            </w:tc>
            <w:tc>
              <w:tcPr>
                <w:tcW w:w="539" w:type="pct"/>
                <w:vAlign w:val="center"/>
              </w:tcPr>
              <w:p>
                <w:pPr>
                  <w:keepNext w:val="0"/>
                  <w:keepLines w:val="0"/>
                  <w:widowControl/>
                  <w:suppressLineNumbers w:val="0"/>
                  <w:jc w:val="right"/>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auto"/>
                    <w:kern w:val="0"/>
                    <w:sz w:val="18"/>
                    <w:szCs w:val="18"/>
                    <w:u w:val="none"/>
                    <w:lang w:val="en-US" w:eastAsia="zh-CN" w:bidi="ar"/>
                  </w:rPr>
                  <w:t>2,116,206,254.24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31" w:type="pct"/>
                <w:vMerge w:val="restart"/>
                <w:vAlign w:val="center"/>
              </w:tcPr>
              <w:sdt>
                <w:sdtPr>
                  <w:rPr>
                    <w:rFonts w:hint="eastAsia"/>
                    <w:sz w:val="18"/>
                    <w:szCs w:val="18"/>
                  </w:rPr>
                  <w:tag w:val="_PLD_229212c664af43faa41821d5eec551b8"/>
                  <w:id w:val="5472"/>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563" w:type="pct"/>
                <w:gridSpan w:val="15"/>
              </w:tcPr>
              <w:p>
                <w:pPr>
                  <w:snapToGrid w:val="0"/>
                  <w:spacing w:line="240" w:lineRule="atLeast"/>
                  <w:ind w:right="-1594" w:rightChars="-759"/>
                  <w:jc w:val="center"/>
                </w:pPr>
                <w:r>
                  <w:rPr>
                    <w:rFonts w:hint="eastAsia"/>
                  </w:rPr>
                  <w:t xml:space="preserve"> </w:t>
                </w:r>
                <w:sdt>
                  <w:sdtPr>
                    <w:rPr>
                      <w:rFonts w:hint="eastAsia"/>
                    </w:rPr>
                    <w:tag w:val="_PLD_5c8dcea3749f4f92b2d283c717162a73"/>
                    <w:id w:val="5473"/>
                  </w:sdtPr>
                  <w:sdtEndPr>
                    <w:rPr>
                      <w:rFonts w:hint="eastAsia"/>
                    </w:rPr>
                  </w:sdtEndPr>
                  <w:sdtContent>
                    <w:r>
                      <w:rPr>
                        <w:rFonts w:hint="eastAsia"/>
                        <w:sz w:val="18"/>
                        <w:szCs w:val="18"/>
                      </w:rPr>
                      <w:t>2022年度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31" w:type="pct"/>
                <w:vMerge w:val="continue"/>
              </w:tcPr>
              <w:p>
                <w:pPr>
                  <w:snapToGrid w:val="0"/>
                  <w:spacing w:line="240" w:lineRule="atLeast"/>
                  <w:ind w:right="-1594" w:rightChars="-759"/>
                  <w:rPr>
                    <w:sz w:val="18"/>
                    <w:szCs w:val="18"/>
                  </w:rPr>
                </w:pPr>
              </w:p>
            </w:tc>
            <w:sdt>
              <w:sdtPr>
                <w:tag w:val="_PLD_e725a8cacf9d4d1abedbfeae17c394e0"/>
                <w:id w:val="5474"/>
              </w:sdtPr>
              <w:sdtContent>
                <w:tc>
                  <w:tcPr>
                    <w:tcW w:w="3525" w:type="pct"/>
                    <w:gridSpan w:val="13"/>
                    <w:vAlign w:val="center"/>
                  </w:tcPr>
                  <w:p>
                    <w:pPr>
                      <w:jc w:val="center"/>
                    </w:pPr>
                    <w:r>
                      <w:rPr>
                        <w:sz w:val="18"/>
                        <w:szCs w:val="18"/>
                      </w:rPr>
                      <w:t>归属于母公司所有者权益</w:t>
                    </w:r>
                  </w:p>
                </w:tc>
              </w:sdtContent>
            </w:sdt>
            <w:sdt>
              <w:sdtPr>
                <w:tag w:val="_PLD_fe6c49384f0941088b29ad945caeb72b"/>
                <w:id w:val="5475"/>
              </w:sdtPr>
              <w:sdtContent>
                <w:tc>
                  <w:tcPr>
                    <w:tcW w:w="499" w:type="pct"/>
                    <w:vMerge w:val="restart"/>
                    <w:vAlign w:val="center"/>
                  </w:tcPr>
                  <w:p>
                    <w:pPr>
                      <w:jc w:val="center"/>
                      <w:rPr>
                        <w:sz w:val="18"/>
                        <w:szCs w:val="18"/>
                      </w:rPr>
                    </w:pPr>
                    <w:r>
                      <w:rPr>
                        <w:sz w:val="18"/>
                        <w:szCs w:val="18"/>
                      </w:rPr>
                      <w:t>少数股东权益</w:t>
                    </w:r>
                  </w:p>
                </w:tc>
              </w:sdtContent>
            </w:sdt>
            <w:sdt>
              <w:sdtPr>
                <w:tag w:val="_PLD_bbe71d4307504d648ce52638ee90ccd4"/>
                <w:id w:val="5476"/>
              </w:sdtPr>
              <w:sdtContent>
                <w:tc>
                  <w:tcPr>
                    <w:tcW w:w="538"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431" w:type="pct"/>
                <w:vMerge w:val="continue"/>
              </w:tcPr>
              <w:p>
                <w:pPr>
                  <w:snapToGrid w:val="0"/>
                  <w:spacing w:line="240" w:lineRule="atLeast"/>
                  <w:ind w:right="-1594" w:rightChars="-759"/>
                  <w:rPr>
                    <w:sz w:val="18"/>
                    <w:szCs w:val="18"/>
                  </w:rPr>
                </w:pPr>
              </w:p>
            </w:tc>
            <w:sdt>
              <w:sdtPr>
                <w:tag w:val="_PLD_941585ba85eb48fa931876151974e425"/>
                <w:id w:val="5477"/>
              </w:sdtPr>
              <w:sdtContent>
                <w:tc>
                  <w:tcPr>
                    <w:tcW w:w="497" w:type="pct"/>
                    <w:vMerge w:val="restart"/>
                    <w:vAlign w:val="center"/>
                  </w:tcPr>
                  <w:p>
                    <w:pPr>
                      <w:snapToGrid w:val="0"/>
                      <w:spacing w:line="240" w:lineRule="atLeast"/>
                      <w:jc w:val="center"/>
                      <w:rPr>
                        <w:sz w:val="18"/>
                        <w:szCs w:val="18"/>
                      </w:rPr>
                    </w:pPr>
                    <w:r>
                      <w:rPr>
                        <w:sz w:val="18"/>
                        <w:szCs w:val="18"/>
                      </w:rPr>
                      <w:t>实收资本 (或股本)</w:t>
                    </w:r>
                  </w:p>
                </w:tc>
              </w:sdtContent>
            </w:sdt>
            <w:sdt>
              <w:sdtPr>
                <w:tag w:val="_PLD_4097b1c4c4f449ef94e9dedb67cf7c3a"/>
                <w:id w:val="5478"/>
              </w:sdtPr>
              <w:sdtContent>
                <w:tc>
                  <w:tcPr>
                    <w:tcW w:w="256"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5479"/>
              </w:sdtPr>
              <w:sdtContent>
                <w:tc>
                  <w:tcPr>
                    <w:tcW w:w="500"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5480"/>
              </w:sdtPr>
              <w:sdtContent>
                <w:tc>
                  <w:tcPr>
                    <w:tcW w:w="77"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5481"/>
              </w:sdtPr>
              <w:sdtContent>
                <w:tc>
                  <w:tcPr>
                    <w:tcW w:w="404"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5482"/>
              </w:sdtPr>
              <w:sdtContent>
                <w:tc>
                  <w:tcPr>
                    <w:tcW w:w="93"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5483"/>
              </w:sdtPr>
              <w:sdtContent>
                <w:tc>
                  <w:tcPr>
                    <w:tcW w:w="473"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484"/>
              </w:sdtPr>
              <w:sdtContent>
                <w:tc>
                  <w:tcPr>
                    <w:tcW w:w="78"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5485"/>
              </w:sdtPr>
              <w:sdtContent>
                <w:tc>
                  <w:tcPr>
                    <w:tcW w:w="501"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77" w:type="pct"/>
                <w:vMerge w:val="restart"/>
                <w:vAlign w:val="center"/>
              </w:tcPr>
              <w:sdt>
                <w:sdtPr>
                  <w:rPr>
                    <w:rFonts w:hint="eastAsia"/>
                    <w:sz w:val="18"/>
                    <w:szCs w:val="18"/>
                  </w:rPr>
                  <w:tag w:val="_PLD_ae449a7a80f64d56b34968f1f21d2198"/>
                  <w:id w:val="5486"/>
                </w:sdtPr>
                <w:sdtEndPr>
                  <w:rPr>
                    <w:rFonts w:hint="eastAsia"/>
                    <w:sz w:val="18"/>
                    <w:szCs w:val="18"/>
                  </w:rPr>
                </w:sdtEndPr>
                <w:sdtContent>
                  <w:sdt>
                    <w:sdtPr>
                      <w:rPr>
                        <w:rFonts w:hint="eastAsia"/>
                        <w:sz w:val="18"/>
                        <w:szCs w:val="18"/>
                      </w:rPr>
                      <w:tag w:val="_PLD_c4da6a74366840789b623f0d61440178"/>
                      <w:id w:val="5487"/>
                      <w:placeholder>
                        <w:docPart w:val="{53b733f4-f038-4d92-b553-c437f94e1bfe}"/>
                      </w:placeholder>
                    </w:sdtPr>
                    <w:sdtEndPr>
                      <w:rPr>
                        <w:rFonts w:hint="eastAsia"/>
                        <w:sz w:val="18"/>
                        <w:szCs w:val="18"/>
                      </w:rPr>
                    </w:sdtEndPr>
                    <w:sdtContent>
                      <w:p>
                        <w:pPr>
                          <w:jc w:val="center"/>
                          <w:rPr>
                            <w:sz w:val="18"/>
                            <w:szCs w:val="18"/>
                          </w:rPr>
                        </w:pPr>
                        <w:r>
                          <w:rPr>
                            <w:rFonts w:hint="eastAsia"/>
                            <w:sz w:val="18"/>
                            <w:szCs w:val="18"/>
                          </w:rPr>
                          <w:t>其他</w:t>
                        </w:r>
                      </w:p>
                    </w:sdtContent>
                  </w:sdt>
                </w:sdtContent>
              </w:sdt>
            </w:tc>
            <w:tc>
              <w:tcPr>
                <w:tcW w:w="565" w:type="pct"/>
                <w:vMerge w:val="restart"/>
                <w:vAlign w:val="center"/>
              </w:tcPr>
              <w:sdt>
                <w:sdtPr>
                  <w:rPr>
                    <w:rFonts w:hint="eastAsia"/>
                    <w:sz w:val="18"/>
                    <w:szCs w:val="18"/>
                  </w:rPr>
                  <w:tag w:val="_PLD_f2691f33b2164ad8b83415f8cd404dea"/>
                  <w:id w:val="5488"/>
                </w:sdtPr>
                <w:sdtEndPr>
                  <w:rPr>
                    <w:rFonts w:hint="eastAsia"/>
                    <w:sz w:val="18"/>
                    <w:szCs w:val="18"/>
                  </w:rPr>
                </w:sdtEndPr>
                <w:sdtContent>
                  <w:p>
                    <w:pPr>
                      <w:jc w:val="center"/>
                      <w:rPr>
                        <w:sz w:val="18"/>
                        <w:szCs w:val="18"/>
                      </w:rPr>
                    </w:pPr>
                    <w:r>
                      <w:rPr>
                        <w:rFonts w:hint="eastAsia"/>
                        <w:sz w:val="18"/>
                        <w:szCs w:val="18"/>
                      </w:rPr>
                      <w:t>小计</w:t>
                    </w:r>
                  </w:p>
                </w:sdtContent>
              </w:sdt>
            </w:tc>
            <w:tc>
              <w:tcPr>
                <w:tcW w:w="499" w:type="pct"/>
                <w:vMerge w:val="continue"/>
              </w:tcPr>
              <w:p>
                <w:pPr>
                  <w:jc w:val="center"/>
                  <w:rPr>
                    <w:sz w:val="18"/>
                    <w:szCs w:val="18"/>
                  </w:rPr>
                </w:pPr>
              </w:p>
            </w:tc>
            <w:tc>
              <w:tcPr>
                <w:tcW w:w="538"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431" w:type="pct"/>
                <w:vMerge w:val="continue"/>
              </w:tcPr>
              <w:p>
                <w:pPr>
                  <w:snapToGrid w:val="0"/>
                  <w:spacing w:line="240" w:lineRule="atLeast"/>
                  <w:ind w:right="-1594" w:rightChars="-759"/>
                  <w:rPr>
                    <w:sz w:val="18"/>
                    <w:szCs w:val="18"/>
                  </w:rPr>
                </w:pPr>
              </w:p>
            </w:tc>
            <w:tc>
              <w:tcPr>
                <w:tcW w:w="497" w:type="pct"/>
                <w:vMerge w:val="continue"/>
              </w:tcPr>
              <w:p>
                <w:pPr>
                  <w:snapToGrid w:val="0"/>
                  <w:spacing w:line="240" w:lineRule="atLeast"/>
                  <w:jc w:val="center"/>
                  <w:rPr>
                    <w:sz w:val="18"/>
                    <w:szCs w:val="18"/>
                  </w:rPr>
                </w:pPr>
              </w:p>
            </w:tc>
            <w:sdt>
              <w:sdtPr>
                <w:tag w:val="_PLD_c8e4e3f938444f399262729a0267aa59"/>
                <w:id w:val="5489"/>
              </w:sdtPr>
              <w:sdtContent>
                <w:tc>
                  <w:tcPr>
                    <w:tcW w:w="100" w:type="pct"/>
                    <w:vAlign w:val="center"/>
                  </w:tcPr>
                  <w:p>
                    <w:pPr>
                      <w:jc w:val="center"/>
                      <w:rPr>
                        <w:sz w:val="18"/>
                        <w:szCs w:val="18"/>
                      </w:rPr>
                    </w:pPr>
                    <w:r>
                      <w:rPr>
                        <w:rFonts w:hint="eastAsia"/>
                        <w:sz w:val="18"/>
                        <w:szCs w:val="18"/>
                      </w:rPr>
                      <w:t>优先股</w:t>
                    </w:r>
                  </w:p>
                </w:tc>
              </w:sdtContent>
            </w:sdt>
            <w:sdt>
              <w:sdtPr>
                <w:tag w:val="_PLD_70f3796cf4ab4ecbb92343a346942a09"/>
                <w:id w:val="5490"/>
              </w:sdtPr>
              <w:sdtContent>
                <w:tc>
                  <w:tcPr>
                    <w:tcW w:w="79" w:type="pct"/>
                    <w:vAlign w:val="center"/>
                  </w:tcPr>
                  <w:p>
                    <w:pPr>
                      <w:jc w:val="center"/>
                      <w:rPr>
                        <w:sz w:val="18"/>
                        <w:szCs w:val="18"/>
                      </w:rPr>
                    </w:pPr>
                    <w:r>
                      <w:rPr>
                        <w:rFonts w:hint="eastAsia"/>
                        <w:sz w:val="18"/>
                        <w:szCs w:val="18"/>
                      </w:rPr>
                      <w:t>永续债</w:t>
                    </w:r>
                  </w:p>
                </w:tc>
              </w:sdtContent>
            </w:sdt>
            <w:sdt>
              <w:sdtPr>
                <w:tag w:val="_PLD_a3d4853d11ed4217a1c5e27cfc45c1c9"/>
                <w:id w:val="5491"/>
              </w:sdtPr>
              <w:sdtContent>
                <w:tc>
                  <w:tcPr>
                    <w:tcW w:w="77" w:type="pct"/>
                    <w:vAlign w:val="center"/>
                  </w:tcPr>
                  <w:p>
                    <w:pPr>
                      <w:jc w:val="center"/>
                      <w:rPr>
                        <w:sz w:val="18"/>
                        <w:szCs w:val="18"/>
                      </w:rPr>
                    </w:pPr>
                    <w:r>
                      <w:rPr>
                        <w:rFonts w:hint="eastAsia"/>
                        <w:sz w:val="18"/>
                        <w:szCs w:val="18"/>
                      </w:rPr>
                      <w:t>其他</w:t>
                    </w:r>
                  </w:p>
                </w:tc>
              </w:sdtContent>
            </w:sdt>
            <w:tc>
              <w:tcPr>
                <w:tcW w:w="500" w:type="pct"/>
                <w:vMerge w:val="continue"/>
              </w:tcPr>
              <w:p>
                <w:pPr>
                  <w:snapToGrid w:val="0"/>
                  <w:spacing w:line="240" w:lineRule="atLeast"/>
                  <w:jc w:val="center"/>
                  <w:rPr>
                    <w:sz w:val="18"/>
                    <w:szCs w:val="18"/>
                  </w:rPr>
                </w:pPr>
              </w:p>
            </w:tc>
            <w:tc>
              <w:tcPr>
                <w:tcW w:w="77" w:type="pct"/>
                <w:vMerge w:val="continue"/>
              </w:tcPr>
              <w:p>
                <w:pPr>
                  <w:snapToGrid w:val="0"/>
                  <w:spacing w:line="240" w:lineRule="atLeast"/>
                  <w:jc w:val="center"/>
                  <w:rPr>
                    <w:sz w:val="18"/>
                    <w:szCs w:val="18"/>
                  </w:rPr>
                </w:pPr>
              </w:p>
            </w:tc>
            <w:tc>
              <w:tcPr>
                <w:tcW w:w="404" w:type="pct"/>
                <w:vMerge w:val="continue"/>
              </w:tcPr>
              <w:p>
                <w:pPr>
                  <w:snapToGrid w:val="0"/>
                  <w:spacing w:line="240" w:lineRule="atLeast"/>
                  <w:jc w:val="center"/>
                  <w:rPr>
                    <w:sz w:val="18"/>
                    <w:szCs w:val="18"/>
                  </w:rPr>
                </w:pPr>
              </w:p>
            </w:tc>
            <w:tc>
              <w:tcPr>
                <w:tcW w:w="93" w:type="pct"/>
                <w:vMerge w:val="continue"/>
              </w:tcPr>
              <w:p>
                <w:pPr>
                  <w:snapToGrid w:val="0"/>
                  <w:spacing w:line="240" w:lineRule="atLeast"/>
                  <w:jc w:val="center"/>
                  <w:rPr>
                    <w:sz w:val="18"/>
                    <w:szCs w:val="18"/>
                  </w:rPr>
                </w:pPr>
              </w:p>
            </w:tc>
            <w:tc>
              <w:tcPr>
                <w:tcW w:w="473" w:type="pct"/>
                <w:vMerge w:val="continue"/>
              </w:tcPr>
              <w:p>
                <w:pPr>
                  <w:snapToGrid w:val="0"/>
                  <w:spacing w:line="240" w:lineRule="atLeast"/>
                  <w:jc w:val="center"/>
                  <w:rPr>
                    <w:sz w:val="18"/>
                    <w:szCs w:val="18"/>
                  </w:rPr>
                </w:pPr>
              </w:p>
            </w:tc>
            <w:tc>
              <w:tcPr>
                <w:tcW w:w="78" w:type="pct"/>
                <w:vMerge w:val="continue"/>
              </w:tcPr>
              <w:p>
                <w:pPr>
                  <w:snapToGrid w:val="0"/>
                  <w:spacing w:line="240" w:lineRule="atLeast"/>
                  <w:jc w:val="center"/>
                  <w:rPr>
                    <w:sz w:val="18"/>
                    <w:szCs w:val="18"/>
                  </w:rPr>
                </w:pPr>
              </w:p>
            </w:tc>
            <w:tc>
              <w:tcPr>
                <w:tcW w:w="501" w:type="pct"/>
                <w:vMerge w:val="continue"/>
              </w:tcPr>
              <w:p>
                <w:pPr>
                  <w:snapToGrid w:val="0"/>
                  <w:spacing w:line="240" w:lineRule="atLeast"/>
                  <w:jc w:val="center"/>
                  <w:rPr>
                    <w:sz w:val="18"/>
                    <w:szCs w:val="18"/>
                  </w:rPr>
                </w:pPr>
              </w:p>
            </w:tc>
            <w:tc>
              <w:tcPr>
                <w:tcW w:w="77" w:type="pct"/>
                <w:vMerge w:val="continue"/>
              </w:tcPr>
              <w:p>
                <w:pPr>
                  <w:jc w:val="center"/>
                  <w:rPr>
                    <w:sz w:val="18"/>
                    <w:szCs w:val="18"/>
                  </w:rPr>
                </w:pPr>
              </w:p>
            </w:tc>
            <w:tc>
              <w:tcPr>
                <w:tcW w:w="565" w:type="pct"/>
                <w:vMerge w:val="continue"/>
              </w:tcPr>
              <w:p>
                <w:pPr>
                  <w:jc w:val="center"/>
                  <w:rPr>
                    <w:sz w:val="18"/>
                    <w:szCs w:val="18"/>
                  </w:rPr>
                </w:pPr>
              </w:p>
            </w:tc>
            <w:tc>
              <w:tcPr>
                <w:tcW w:w="499" w:type="pct"/>
                <w:vMerge w:val="continue"/>
              </w:tcPr>
              <w:p>
                <w:pPr>
                  <w:jc w:val="center"/>
                  <w:rPr>
                    <w:sz w:val="18"/>
                    <w:szCs w:val="18"/>
                  </w:rPr>
                </w:pPr>
              </w:p>
            </w:tc>
            <w:tc>
              <w:tcPr>
                <w:tcW w:w="538"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rPr>
                  <w:sz w:val="18"/>
                  <w:szCs w:val="18"/>
                </w:rPr>
                <w:tag w:val="_PLD_24c39056f5874862855dc37ef7f0d558"/>
                <w:id w:val="5492"/>
              </w:sdtPr>
              <w:sdtEndPr>
                <w:rPr>
                  <w:sz w:val="18"/>
                  <w:szCs w:val="18"/>
                </w:rPr>
              </w:sdtEndPr>
              <w:sdtContent>
                <w:tc>
                  <w:tcPr>
                    <w:tcW w:w="431" w:type="pct"/>
                  </w:tcPr>
                  <w:p>
                    <w:pPr>
                      <w:rPr>
                        <w:sz w:val="18"/>
                        <w:szCs w:val="18"/>
                      </w:rPr>
                    </w:pPr>
                    <w:r>
                      <w:rPr>
                        <w:sz w:val="18"/>
                        <w:szCs w:val="18"/>
                      </w:rPr>
                      <w:t>一、上年</w:t>
                    </w:r>
                    <w:r>
                      <w:rPr>
                        <w:rFonts w:hint="eastAsia"/>
                        <w:sz w:val="18"/>
                        <w:szCs w:val="18"/>
                      </w:rPr>
                      <w:t>年</w:t>
                    </w:r>
                    <w:r>
                      <w:rPr>
                        <w:sz w:val="18"/>
                        <w:szCs w:val="18"/>
                      </w:rPr>
                      <w:t>末余额</w:t>
                    </w:r>
                  </w:p>
                </w:tc>
              </w:sdtContent>
            </w:sdt>
            <w:tc>
              <w:tcPr>
                <w:tcW w:w="49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100"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500"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77" w:type="pct"/>
                <w:vAlign w:val="center"/>
              </w:tcPr>
              <w:p>
                <w:pPr>
                  <w:jc w:val="right"/>
                  <w:rPr>
                    <w:rFonts w:hint="default" w:ascii="Times New Roman" w:hAnsi="Times New Roman" w:cs="Times New Roman"/>
                    <w:sz w:val="18"/>
                    <w:szCs w:val="18"/>
                  </w:rPr>
                </w:pPr>
              </w:p>
            </w:tc>
            <w:tc>
              <w:tcPr>
                <w:tcW w:w="404"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93" w:type="pct"/>
                <w:vAlign w:val="center"/>
              </w:tcPr>
              <w:p>
                <w:pPr>
                  <w:jc w:val="right"/>
                  <w:rPr>
                    <w:rFonts w:hint="default" w:ascii="Times New Roman" w:hAnsi="Times New Roman" w:cs="Times New Roman"/>
                    <w:sz w:val="18"/>
                    <w:szCs w:val="18"/>
                  </w:rPr>
                </w:pPr>
              </w:p>
            </w:tc>
            <w:tc>
              <w:tcPr>
                <w:tcW w:w="473"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245,621,848.75</w:t>
                </w:r>
              </w:p>
            </w:tc>
            <w:tc>
              <w:tcPr>
                <w:tcW w:w="78" w:type="pct"/>
                <w:vAlign w:val="center"/>
              </w:tcPr>
              <w:p>
                <w:pPr>
                  <w:jc w:val="right"/>
                  <w:rPr>
                    <w:rFonts w:hint="default" w:ascii="Times New Roman" w:hAnsi="Times New Roman" w:cs="Times New Roman"/>
                    <w:sz w:val="18"/>
                    <w:szCs w:val="18"/>
                  </w:rPr>
                </w:pPr>
              </w:p>
            </w:tc>
            <w:tc>
              <w:tcPr>
                <w:tcW w:w="50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163,935,703.23</w:t>
                </w:r>
              </w:p>
            </w:tc>
            <w:tc>
              <w:tcPr>
                <w:tcW w:w="77" w:type="pct"/>
                <w:vAlign w:val="center"/>
              </w:tcPr>
              <w:p>
                <w:pPr>
                  <w:jc w:val="right"/>
                  <w:rPr>
                    <w:rFonts w:hint="default" w:ascii="Times New Roman" w:hAnsi="Times New Roman" w:cs="Times New Roman"/>
                    <w:sz w:val="18"/>
                    <w:szCs w:val="18"/>
                  </w:rPr>
                </w:pPr>
              </w:p>
            </w:tc>
            <w:tc>
              <w:tcPr>
                <w:tcW w:w="56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2,135,633,615.67</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-5,416,962.30</w:t>
                </w:r>
              </w:p>
            </w:tc>
            <w:tc>
              <w:tcPr>
                <w:tcW w:w="538"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2,130,216,653.37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5feb351bb250466a8fad5b20d2922c70"/>
                <w:id w:val="5493"/>
              </w:sdtPr>
              <w:sdtEndPr>
                <w:rPr>
                  <w:sz w:val="18"/>
                  <w:szCs w:val="18"/>
                </w:rPr>
              </w:sdtEndPr>
              <w:sdtContent>
                <w:tc>
                  <w:tcPr>
                    <w:tcW w:w="431" w:type="pct"/>
                  </w:tcPr>
                  <w:p>
                    <w:pPr>
                      <w:rPr>
                        <w:sz w:val="18"/>
                        <w:szCs w:val="18"/>
                      </w:rPr>
                    </w:pPr>
                    <w:r>
                      <w:rPr>
                        <w:rFonts w:hint="eastAsia"/>
                        <w:sz w:val="18"/>
                        <w:szCs w:val="18"/>
                      </w:rPr>
                      <w:t>加：</w:t>
                    </w:r>
                    <w:r>
                      <w:rPr>
                        <w:sz w:val="18"/>
                        <w:szCs w:val="18"/>
                      </w:rPr>
                      <w:t>会计政策变更</w:t>
                    </w:r>
                  </w:p>
                </w:tc>
              </w:sdtContent>
            </w:sdt>
            <w:tc>
              <w:tcPr>
                <w:tcW w:w="49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500"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04" w:type="pct"/>
                <w:vAlign w:val="center"/>
              </w:tcPr>
              <w:p>
                <w:pPr>
                  <w:jc w:val="right"/>
                  <w:rPr>
                    <w:rFonts w:hint="default" w:ascii="Times New Roman" w:hAnsi="Times New Roman" w:cs="Times New Roman"/>
                    <w:sz w:val="18"/>
                    <w:szCs w:val="18"/>
                  </w:rPr>
                </w:pPr>
              </w:p>
            </w:tc>
            <w:tc>
              <w:tcPr>
                <w:tcW w:w="93" w:type="pct"/>
                <w:vAlign w:val="center"/>
              </w:tcPr>
              <w:p>
                <w:pPr>
                  <w:jc w:val="right"/>
                  <w:rPr>
                    <w:rFonts w:hint="default" w:ascii="Times New Roman" w:hAnsi="Times New Roman" w:cs="Times New Roman"/>
                    <w:sz w:val="18"/>
                    <w:szCs w:val="18"/>
                  </w:rPr>
                </w:pPr>
              </w:p>
            </w:tc>
            <w:tc>
              <w:tcPr>
                <w:tcW w:w="473"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501"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-884.01</w:t>
                </w:r>
              </w:p>
            </w:tc>
            <w:tc>
              <w:tcPr>
                <w:tcW w:w="77" w:type="pct"/>
                <w:vAlign w:val="center"/>
              </w:tcPr>
              <w:p>
                <w:pPr>
                  <w:jc w:val="right"/>
                  <w:rPr>
                    <w:rFonts w:hint="default" w:ascii="Times New Roman" w:hAnsi="Times New Roman" w:cs="Times New Roman"/>
                    <w:sz w:val="18"/>
                    <w:szCs w:val="18"/>
                  </w:rPr>
                </w:pPr>
              </w:p>
            </w:tc>
            <w:tc>
              <w:tcPr>
                <w:tcW w:w="565"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-884.01</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-58.43</w:t>
                </w:r>
              </w:p>
            </w:tc>
            <w:tc>
              <w:tcPr>
                <w:tcW w:w="538"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-942.44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b3480764b7144ae885e5b5b29f4f4705"/>
                <w:id w:val="5494"/>
              </w:sdtPr>
              <w:sdtEndPr>
                <w:rPr>
                  <w:sz w:val="18"/>
                  <w:szCs w:val="18"/>
                </w:rPr>
              </w:sdtEndPr>
              <w:sdtContent>
                <w:tc>
                  <w:tcPr>
                    <w:tcW w:w="431" w:type="pct"/>
                  </w:tcPr>
                  <w:p>
                    <w:pPr>
                      <w:ind w:firstLine="360" w:firstLineChars="200"/>
                      <w:rPr>
                        <w:sz w:val="18"/>
                        <w:szCs w:val="18"/>
                      </w:rPr>
                    </w:pPr>
                    <w:r>
                      <w:rPr>
                        <w:sz w:val="18"/>
                        <w:szCs w:val="18"/>
                      </w:rPr>
                      <w:t>前期差错更正</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3226061f12cf4cf887adc2639edc13d6"/>
                <w:id w:val="5495"/>
              </w:sdtPr>
              <w:sdtEndPr>
                <w:rPr>
                  <w:sz w:val="18"/>
                  <w:szCs w:val="18"/>
                </w:rPr>
              </w:sdtEndPr>
              <w:sdtContent>
                <w:tc>
                  <w:tcPr>
                    <w:tcW w:w="431" w:type="pct"/>
                  </w:tcPr>
                  <w:p>
                    <w:pPr>
                      <w:ind w:firstLine="360" w:firstLineChars="200"/>
                      <w:rPr>
                        <w:sz w:val="18"/>
                        <w:szCs w:val="18"/>
                      </w:rPr>
                    </w:pPr>
                    <w:r>
                      <w:rPr>
                        <w:rFonts w:hint="eastAsia"/>
                        <w:sz w:val="18"/>
                        <w:szCs w:val="18"/>
                      </w:rPr>
                      <w:t>其他</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6438083d485a4ed1a2cb2a35b3d400f3"/>
                <w:id w:val="5496"/>
              </w:sdtPr>
              <w:sdtEndPr>
                <w:rPr>
                  <w:sz w:val="18"/>
                  <w:szCs w:val="18"/>
                </w:rPr>
              </w:sdtEndPr>
              <w:sdtContent>
                <w:tc>
                  <w:tcPr>
                    <w:tcW w:w="431" w:type="pct"/>
                  </w:tcPr>
                  <w:p>
                    <w:pPr>
                      <w:rPr>
                        <w:sz w:val="18"/>
                        <w:szCs w:val="18"/>
                      </w:rPr>
                    </w:pPr>
                    <w:r>
                      <w:rPr>
                        <w:sz w:val="18"/>
                        <w:szCs w:val="18"/>
                      </w:rPr>
                      <w:t>二、本年</w:t>
                    </w:r>
                    <w:r>
                      <w:rPr>
                        <w:rFonts w:hint="eastAsia"/>
                        <w:sz w:val="18"/>
                        <w:szCs w:val="18"/>
                      </w:rPr>
                      <w:t>期</w:t>
                    </w:r>
                    <w:r>
                      <w:rPr>
                        <w:sz w:val="18"/>
                        <w:szCs w:val="18"/>
                      </w:rPr>
                      <w:t>初余额</w:t>
                    </w:r>
                  </w:p>
                </w:tc>
              </w:sdtContent>
            </w:sdt>
            <w:tc>
              <w:tcPr>
                <w:tcW w:w="49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100"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500"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77" w:type="pct"/>
                <w:vAlign w:val="center"/>
              </w:tcPr>
              <w:p>
                <w:pPr>
                  <w:jc w:val="right"/>
                  <w:rPr>
                    <w:rFonts w:hint="default" w:ascii="Times New Roman" w:hAnsi="Times New Roman" w:cs="Times New Roman"/>
                    <w:sz w:val="18"/>
                    <w:szCs w:val="18"/>
                  </w:rPr>
                </w:pPr>
              </w:p>
            </w:tc>
            <w:tc>
              <w:tcPr>
                <w:tcW w:w="404"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-8,825,807.26</w:t>
                </w:r>
              </w:p>
            </w:tc>
            <w:tc>
              <w:tcPr>
                <w:tcW w:w="93" w:type="pct"/>
                <w:vAlign w:val="center"/>
              </w:tcPr>
              <w:p>
                <w:pPr>
                  <w:jc w:val="right"/>
                  <w:rPr>
                    <w:rFonts w:hint="default" w:ascii="Times New Roman" w:hAnsi="Times New Roman" w:cs="Times New Roman"/>
                    <w:sz w:val="18"/>
                    <w:szCs w:val="18"/>
                  </w:rPr>
                </w:pPr>
              </w:p>
            </w:tc>
            <w:tc>
              <w:tcPr>
                <w:tcW w:w="473"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245,621,848.75</w:t>
                </w:r>
              </w:p>
            </w:tc>
            <w:tc>
              <w:tcPr>
                <w:tcW w:w="78" w:type="pct"/>
                <w:vAlign w:val="center"/>
              </w:tcPr>
              <w:p>
                <w:pPr>
                  <w:jc w:val="right"/>
                  <w:rPr>
                    <w:rFonts w:hint="default" w:ascii="Times New Roman" w:hAnsi="Times New Roman" w:cs="Times New Roman"/>
                    <w:sz w:val="18"/>
                    <w:szCs w:val="18"/>
                  </w:rPr>
                </w:pPr>
              </w:p>
            </w:tc>
            <w:tc>
              <w:tcPr>
                <w:tcW w:w="50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lang w:eastAsia="zh-CN"/>
                  </w:rPr>
                  <w:t>163,934,819.22</w:t>
                </w:r>
              </w:p>
            </w:tc>
            <w:tc>
              <w:tcPr>
                <w:tcW w:w="77" w:type="pct"/>
                <w:vAlign w:val="center"/>
              </w:tcPr>
              <w:p>
                <w:pPr>
                  <w:jc w:val="right"/>
                  <w:rPr>
                    <w:rFonts w:hint="default" w:ascii="Times New Roman" w:hAnsi="Times New Roman" w:cs="Times New Roman"/>
                    <w:sz w:val="18"/>
                    <w:szCs w:val="18"/>
                  </w:rPr>
                </w:pPr>
              </w:p>
            </w:tc>
            <w:tc>
              <w:tcPr>
                <w:tcW w:w="56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lang w:eastAsia="zh-CN"/>
                  </w:rPr>
                  <w:t>2,135,632,731.66</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-5,417,020.73</w:t>
                </w:r>
              </w:p>
            </w:tc>
            <w:tc>
              <w:tcPr>
                <w:tcW w:w="538"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lang w:eastAsia="zh-CN"/>
                  </w:rPr>
                  <w:t>2,130,215,710.93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a0d70a8ecfa64251bc0240cb363e3dd7"/>
                <w:id w:val="5497"/>
              </w:sdtPr>
              <w:sdtEndPr>
                <w:rPr>
                  <w:sz w:val="18"/>
                  <w:szCs w:val="18"/>
                </w:rPr>
              </w:sdtEndPr>
              <w:sdtContent>
                <w:tc>
                  <w:tcPr>
                    <w:tcW w:w="431" w:type="pct"/>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9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500"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04" w:type="pct"/>
                <w:vAlign w:val="center"/>
              </w:tcPr>
              <w:p>
                <w:pPr>
                  <w:jc w:val="right"/>
                  <w:rPr>
                    <w:rFonts w:hint="default" w:ascii="Times New Roman" w:hAnsi="Times New Roman" w:cs="Times New Roman"/>
                    <w:sz w:val="18"/>
                    <w:szCs w:val="18"/>
                  </w:rPr>
                </w:pPr>
              </w:p>
            </w:tc>
            <w:tc>
              <w:tcPr>
                <w:tcW w:w="93" w:type="pct"/>
                <w:vAlign w:val="center"/>
              </w:tcPr>
              <w:p>
                <w:pPr>
                  <w:jc w:val="right"/>
                  <w:rPr>
                    <w:rFonts w:hint="default" w:ascii="Times New Roman" w:hAnsi="Times New Roman" w:cs="Times New Roman"/>
                    <w:sz w:val="18"/>
                    <w:szCs w:val="18"/>
                  </w:rPr>
                </w:pPr>
              </w:p>
            </w:tc>
            <w:tc>
              <w:tcPr>
                <w:tcW w:w="473" w:type="pct"/>
                <w:vAlign w:val="center"/>
              </w:tcPr>
              <w:p>
                <w:pPr>
                  <w:jc w:val="right"/>
                  <w:rPr>
                    <w:rFonts w:hint="default" w:ascii="Times New Roman" w:hAnsi="Times New Roman" w:eastAsia="宋体" w:cs="Times New Roman"/>
                    <w:sz w:val="18"/>
                    <w:szCs w:val="18"/>
                    <w:lang w:eastAsia="zh-CN"/>
                  </w:rPr>
                </w:pPr>
              </w:p>
            </w:tc>
            <w:tc>
              <w:tcPr>
                <w:tcW w:w="78" w:type="pct"/>
                <w:vAlign w:val="center"/>
              </w:tcPr>
              <w:p>
                <w:pPr>
                  <w:jc w:val="right"/>
                  <w:rPr>
                    <w:rFonts w:hint="default" w:ascii="Times New Roman" w:hAnsi="Times New Roman" w:cs="Times New Roman"/>
                    <w:sz w:val="18"/>
                    <w:szCs w:val="18"/>
                  </w:rPr>
                </w:pPr>
              </w:p>
            </w:tc>
            <w:tc>
              <w:tcPr>
                <w:tcW w:w="50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rPr>
                  <w:t>-38,589,058.32</w:t>
                </w:r>
              </w:p>
            </w:tc>
            <w:tc>
              <w:tcPr>
                <w:tcW w:w="77" w:type="pct"/>
                <w:vAlign w:val="center"/>
              </w:tcPr>
              <w:p>
                <w:pPr>
                  <w:jc w:val="right"/>
                  <w:rPr>
                    <w:rFonts w:hint="default" w:ascii="Times New Roman" w:hAnsi="Times New Roman" w:cs="Times New Roman"/>
                    <w:sz w:val="18"/>
                    <w:szCs w:val="18"/>
                  </w:rPr>
                </w:pPr>
              </w:p>
            </w:tc>
            <w:tc>
              <w:tcPr>
                <w:tcW w:w="565"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-38,589,058.32</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-57,213.45</w:t>
                </w:r>
              </w:p>
            </w:tc>
            <w:tc>
              <w:tcPr>
                <w:tcW w:w="538"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rPr>
                  <w:t>-38,646,271.77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d3b5283bf10a4a3c8882e3f3c30046c5"/>
                <w:id w:val="5498"/>
              </w:sdtPr>
              <w:sdtEndPr>
                <w:rPr>
                  <w:sz w:val="18"/>
                  <w:szCs w:val="18"/>
                </w:rPr>
              </w:sdtEndPr>
              <w:sdtContent>
                <w:tc>
                  <w:tcPr>
                    <w:tcW w:w="431" w:type="pct"/>
                  </w:tcPr>
                  <w:p>
                    <w:pPr>
                      <w:rPr>
                        <w:sz w:val="18"/>
                        <w:szCs w:val="18"/>
                      </w:rPr>
                    </w:pPr>
                    <w:r>
                      <w:rPr>
                        <w:rFonts w:hint="eastAsia"/>
                        <w:sz w:val="18"/>
                        <w:szCs w:val="18"/>
                      </w:rPr>
                      <w:t>（一）综合收益总额</w:t>
                    </w:r>
                  </w:p>
                </w:tc>
              </w:sdtContent>
            </w:sdt>
            <w:tc>
              <w:tcPr>
                <w:tcW w:w="497" w:type="pct"/>
                <w:vAlign w:val="center"/>
              </w:tcPr>
              <w:p>
                <w:pPr>
                  <w:jc w:val="right"/>
                  <w:rPr>
                    <w:rFonts w:hint="default" w:ascii="Times New Roman" w:hAnsi="Times New Roman" w:cs="Times New Roman"/>
                    <w:sz w:val="18"/>
                    <w:szCs w:val="18"/>
                  </w:rPr>
                </w:pPr>
              </w:p>
            </w:tc>
            <w:tc>
              <w:tcPr>
                <w:tcW w:w="100"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500"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404" w:type="pct"/>
                <w:vAlign w:val="center"/>
              </w:tcPr>
              <w:p>
                <w:pPr>
                  <w:jc w:val="right"/>
                  <w:rPr>
                    <w:rFonts w:hint="default" w:ascii="Times New Roman" w:hAnsi="Times New Roman" w:cs="Times New Roman"/>
                    <w:sz w:val="18"/>
                    <w:szCs w:val="18"/>
                  </w:rPr>
                </w:pPr>
              </w:p>
            </w:tc>
            <w:tc>
              <w:tcPr>
                <w:tcW w:w="93" w:type="pct"/>
                <w:vAlign w:val="center"/>
              </w:tcPr>
              <w:p>
                <w:pPr>
                  <w:jc w:val="right"/>
                  <w:rPr>
                    <w:rFonts w:hint="default" w:ascii="Times New Roman" w:hAnsi="Times New Roman" w:cs="Times New Roman"/>
                    <w:sz w:val="18"/>
                    <w:szCs w:val="18"/>
                  </w:rPr>
                </w:pPr>
              </w:p>
            </w:tc>
            <w:tc>
              <w:tcPr>
                <w:tcW w:w="473" w:type="pct"/>
                <w:vAlign w:val="center"/>
              </w:tcPr>
              <w:p>
                <w:pPr>
                  <w:jc w:val="right"/>
                  <w:rPr>
                    <w:rFonts w:hint="default" w:ascii="Times New Roman" w:hAnsi="Times New Roman" w:cs="Times New Roman"/>
                    <w:sz w:val="18"/>
                    <w:szCs w:val="18"/>
                  </w:rPr>
                </w:pPr>
              </w:p>
            </w:tc>
            <w:tc>
              <w:tcPr>
                <w:tcW w:w="78" w:type="pct"/>
                <w:vAlign w:val="center"/>
              </w:tcPr>
              <w:p>
                <w:pPr>
                  <w:jc w:val="right"/>
                  <w:rPr>
                    <w:rFonts w:hint="default" w:ascii="Times New Roman" w:hAnsi="Times New Roman" w:cs="Times New Roman"/>
                    <w:sz w:val="18"/>
                    <w:szCs w:val="18"/>
                  </w:rPr>
                </w:pPr>
              </w:p>
            </w:tc>
            <w:tc>
              <w:tcPr>
                <w:tcW w:w="50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rPr>
                  <w:t>-38,589,058.32</w:t>
                </w:r>
              </w:p>
            </w:tc>
            <w:tc>
              <w:tcPr>
                <w:tcW w:w="77" w:type="pct"/>
                <w:vAlign w:val="center"/>
              </w:tcPr>
              <w:p>
                <w:pPr>
                  <w:jc w:val="right"/>
                  <w:rPr>
                    <w:rFonts w:hint="default" w:ascii="Times New Roman" w:hAnsi="Times New Roman" w:cs="Times New Roman"/>
                    <w:sz w:val="18"/>
                    <w:szCs w:val="18"/>
                  </w:rPr>
                </w:pPr>
              </w:p>
            </w:tc>
            <w:tc>
              <w:tcPr>
                <w:tcW w:w="565"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-38,589,058.32</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cs="Times New Roman"/>
                    <w:color w:val="auto"/>
                    <w:sz w:val="18"/>
                    <w:szCs w:val="18"/>
                  </w:rPr>
                  <w:t>-57,213.45</w:t>
                </w:r>
              </w:p>
            </w:tc>
            <w:tc>
              <w:tcPr>
                <w:tcW w:w="538"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color w:val="auto"/>
                    <w:sz w:val="18"/>
                    <w:szCs w:val="18"/>
                  </w:rPr>
                  <w:t>-38,646,271.77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cb1a0919fe148e5893e9977ac112e36"/>
                <w:id w:val="5499"/>
              </w:sdtPr>
              <w:sdtContent>
                <w:tc>
                  <w:tcPr>
                    <w:tcW w:w="431" w:type="pct"/>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1ba2ed8c6b439788c9acf67433da0c"/>
                <w:id w:val="5500"/>
              </w:sdtPr>
              <w:sdtContent>
                <w:tc>
                  <w:tcPr>
                    <w:tcW w:w="431" w:type="pct"/>
                  </w:tcPr>
                  <w:p>
                    <w:pPr>
                      <w:rPr>
                        <w:sz w:val="18"/>
                        <w:szCs w:val="18"/>
                      </w:rPr>
                    </w:pPr>
                    <w:r>
                      <w:rPr>
                        <w:rFonts w:hint="eastAsia"/>
                        <w:sz w:val="18"/>
                        <w:szCs w:val="18"/>
                      </w:rPr>
                      <w:t>1．所有者投入的普通股</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90ad87987d54aec9ebb059ca9fe2d83"/>
                <w:id w:val="5501"/>
              </w:sdtPr>
              <w:sdtContent>
                <w:tc>
                  <w:tcPr>
                    <w:tcW w:w="431" w:type="pct"/>
                  </w:tcPr>
                  <w:p>
                    <w:pPr>
                      <w:rPr>
                        <w:sz w:val="18"/>
                        <w:szCs w:val="18"/>
                      </w:rPr>
                    </w:pPr>
                    <w:r>
                      <w:rPr>
                        <w:rFonts w:hint="eastAsia"/>
                        <w:sz w:val="18"/>
                        <w:szCs w:val="18"/>
                      </w:rPr>
                      <w:t>2．其他权益工具持有者投入资本</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580ad15ab461695606b09453b2233"/>
                <w:id w:val="5502"/>
              </w:sdtPr>
              <w:sdtContent>
                <w:tc>
                  <w:tcPr>
                    <w:tcW w:w="431" w:type="pct"/>
                  </w:tcPr>
                  <w:p>
                    <w:pPr>
                      <w:rPr>
                        <w:sz w:val="18"/>
                        <w:szCs w:val="18"/>
                      </w:rPr>
                    </w:pPr>
                    <w:r>
                      <w:rPr>
                        <w:rFonts w:hint="eastAsia"/>
                        <w:sz w:val="18"/>
                        <w:szCs w:val="18"/>
                      </w:rPr>
                      <w:t>3</w:t>
                    </w:r>
                    <w:r>
                      <w:rPr>
                        <w:sz w:val="18"/>
                        <w:szCs w:val="18"/>
                      </w:rPr>
                      <w:t>．股份支付计入所有者权益的金额</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d1c7d278224bfa80a28845c7639c86"/>
                <w:id w:val="5503"/>
              </w:sdtPr>
              <w:sdtContent>
                <w:tc>
                  <w:tcPr>
                    <w:tcW w:w="431" w:type="pct"/>
                  </w:tcPr>
                  <w:p>
                    <w:pPr>
                      <w:rPr>
                        <w:sz w:val="18"/>
                        <w:szCs w:val="18"/>
                      </w:rPr>
                    </w:pPr>
                    <w:r>
                      <w:rPr>
                        <w:rFonts w:hint="eastAsia"/>
                        <w:sz w:val="18"/>
                        <w:szCs w:val="18"/>
                      </w:rPr>
                      <w:t>4</w:t>
                    </w:r>
                    <w:r>
                      <w:rPr>
                        <w:sz w:val="18"/>
                        <w:szCs w:val="18"/>
                      </w:rPr>
                      <w:t>．其他</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4c1a0d22784a4a81a90a7b772560b9"/>
                <w:id w:val="5504"/>
              </w:sdtPr>
              <w:sdtContent>
                <w:tc>
                  <w:tcPr>
                    <w:tcW w:w="431" w:type="pct"/>
                  </w:tcPr>
                  <w:p>
                    <w:pPr>
                      <w:rPr>
                        <w:sz w:val="18"/>
                        <w:szCs w:val="18"/>
                      </w:rPr>
                    </w:pPr>
                    <w:r>
                      <w:rPr>
                        <w:sz w:val="18"/>
                        <w:szCs w:val="18"/>
                      </w:rPr>
                      <w:t>（</w:t>
                    </w:r>
                    <w:r>
                      <w:rPr>
                        <w:rFonts w:hint="eastAsia"/>
                        <w:sz w:val="18"/>
                        <w:szCs w:val="18"/>
                      </w:rPr>
                      <w:t>三</w:t>
                    </w:r>
                    <w:r>
                      <w:rPr>
                        <w:sz w:val="18"/>
                        <w:szCs w:val="18"/>
                      </w:rPr>
                      <w:t>）利润分配</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a49eb420a24cdbb4f7f5ce05660344"/>
                <w:id w:val="5505"/>
              </w:sdtPr>
              <w:sdtContent>
                <w:tc>
                  <w:tcPr>
                    <w:tcW w:w="431" w:type="pct"/>
                  </w:tcPr>
                  <w:p>
                    <w:pPr>
                      <w:rPr>
                        <w:sz w:val="18"/>
                        <w:szCs w:val="18"/>
                      </w:rPr>
                    </w:pPr>
                    <w:r>
                      <w:rPr>
                        <w:sz w:val="18"/>
                        <w:szCs w:val="18"/>
                      </w:rPr>
                      <w:t>1．提取盈余公积</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30083ca1b684aa0b92b69b31995ea1b"/>
                <w:id w:val="5506"/>
              </w:sdtPr>
              <w:sdtContent>
                <w:tc>
                  <w:tcPr>
                    <w:tcW w:w="431" w:type="pct"/>
                  </w:tcPr>
                  <w:p>
                    <w:pPr>
                      <w:rPr>
                        <w:sz w:val="18"/>
                        <w:szCs w:val="18"/>
                      </w:rPr>
                    </w:pPr>
                    <w:r>
                      <w:rPr>
                        <w:sz w:val="18"/>
                        <w:szCs w:val="18"/>
                      </w:rPr>
                      <w:t>2．提取一般风险准备</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9b1d04bab14e67b22ee23afd215d76"/>
                <w:id w:val="5507"/>
              </w:sdtPr>
              <w:sdtContent>
                <w:tc>
                  <w:tcPr>
                    <w:tcW w:w="431" w:type="pct"/>
                  </w:tcPr>
                  <w:p>
                    <w:pPr>
                      <w:rPr>
                        <w:sz w:val="18"/>
                        <w:szCs w:val="18"/>
                      </w:rPr>
                    </w:pPr>
                    <w:r>
                      <w:rPr>
                        <w:sz w:val="18"/>
                        <w:szCs w:val="18"/>
                      </w:rPr>
                      <w:t>3．对所有者（或股东）的分配</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5628e129d04d23a2d71da503cecfdd"/>
                <w:id w:val="5508"/>
              </w:sdtPr>
              <w:sdtContent>
                <w:tc>
                  <w:tcPr>
                    <w:tcW w:w="431" w:type="pct"/>
                  </w:tcPr>
                  <w:p>
                    <w:pPr>
                      <w:rPr>
                        <w:sz w:val="18"/>
                        <w:szCs w:val="18"/>
                      </w:rPr>
                    </w:pPr>
                    <w:r>
                      <w:rPr>
                        <w:sz w:val="18"/>
                        <w:szCs w:val="18"/>
                      </w:rPr>
                      <w:t>4．其他</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953b61d69004a7a91974afa1318df0a"/>
                <w:id w:val="5509"/>
              </w:sdtPr>
              <w:sdtContent>
                <w:tc>
                  <w:tcPr>
                    <w:tcW w:w="431"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8fa3d290b3473aacd1d849016a2959"/>
                <w:id w:val="5510"/>
              </w:sdtPr>
              <w:sdtContent>
                <w:tc>
                  <w:tcPr>
                    <w:tcW w:w="431" w:type="pct"/>
                  </w:tcPr>
                  <w:p>
                    <w:pPr>
                      <w:rPr>
                        <w:sz w:val="18"/>
                        <w:szCs w:val="18"/>
                      </w:rPr>
                    </w:pPr>
                    <w:r>
                      <w:rPr>
                        <w:sz w:val="18"/>
                        <w:szCs w:val="18"/>
                      </w:rPr>
                      <w:t>1．资本公积转增资本（或股本）</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beb2e6cbbd4ba2a65e4f369c7e7929"/>
                <w:id w:val="5511"/>
              </w:sdtPr>
              <w:sdtContent>
                <w:tc>
                  <w:tcPr>
                    <w:tcW w:w="431" w:type="pct"/>
                  </w:tcPr>
                  <w:p>
                    <w:pPr>
                      <w:rPr>
                        <w:sz w:val="18"/>
                        <w:szCs w:val="18"/>
                      </w:rPr>
                    </w:pPr>
                    <w:r>
                      <w:rPr>
                        <w:sz w:val="18"/>
                        <w:szCs w:val="18"/>
                      </w:rPr>
                      <w:t>2．盈余公积转增资本（或股本）</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f2b570df754e85bb72c0f63cdd3f1c"/>
                <w:id w:val="5512"/>
              </w:sdtPr>
              <w:sdtContent>
                <w:tc>
                  <w:tcPr>
                    <w:tcW w:w="431" w:type="pct"/>
                  </w:tcPr>
                  <w:p>
                    <w:pPr>
                      <w:rPr>
                        <w:sz w:val="18"/>
                        <w:szCs w:val="18"/>
                      </w:rPr>
                    </w:pPr>
                    <w:r>
                      <w:rPr>
                        <w:sz w:val="18"/>
                        <w:szCs w:val="18"/>
                      </w:rPr>
                      <w:t>3．盈余公积弥补亏损</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tcPr>
              <w:sdt>
                <w:sdtPr>
                  <w:rPr>
                    <w:sz w:val="18"/>
                    <w:szCs w:val="18"/>
                  </w:rPr>
                  <w:tag w:val="_PLD_88022ba02c7c4775ba5e9f75f6b07fa4"/>
                  <w:id w:val="5513"/>
                </w:sdtPr>
                <w:sdtEndPr>
                  <w:rPr>
                    <w:sz w:val="18"/>
                    <w:szCs w:val="18"/>
                  </w:rPr>
                </w:sdtEndPr>
                <w:sdtContent>
                  <w:p>
                    <w:r>
                      <w:rPr>
                        <w:sz w:val="18"/>
                        <w:szCs w:val="18"/>
                      </w:rPr>
                      <w:t>4．设定受益计划变动额结转留存收益</w:t>
                    </w:r>
                  </w:p>
                </w:sdtContent>
              </w:sdt>
            </w:tc>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tcPr>
              <w:sdt>
                <w:sdtPr>
                  <w:rPr>
                    <w:sz w:val="18"/>
                    <w:szCs w:val="18"/>
                  </w:rPr>
                  <w:tag w:val="_PLD_0259028a18dd4c059a8b77a9e4fe86f9"/>
                  <w:id w:val="5514"/>
                </w:sdtPr>
                <w:sdtEndPr>
                  <w:rPr>
                    <w:sz w:val="18"/>
                    <w:szCs w:val="18"/>
                  </w:rPr>
                </w:sdtEndPr>
                <w:sdtContent>
                  <w:p>
                    <w:pPr>
                      <w:rPr>
                        <w:sz w:val="18"/>
                        <w:szCs w:val="18"/>
                      </w:rPr>
                    </w:pPr>
                    <w:r>
                      <w:rPr>
                        <w:sz w:val="18"/>
                        <w:szCs w:val="18"/>
                      </w:rPr>
                      <w:t>5．其他综合收益结转留存收益</w:t>
                    </w:r>
                  </w:p>
                </w:sdtContent>
              </w:sdt>
            </w:tc>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44253ac18b45ceaa765e5b2f55d052"/>
                <w:id w:val="5515"/>
              </w:sdtPr>
              <w:sdtContent>
                <w:tc>
                  <w:tcPr>
                    <w:tcW w:w="431" w:type="pct"/>
                  </w:tcPr>
                  <w:p>
                    <w:pPr>
                      <w:rPr>
                        <w:sz w:val="18"/>
                        <w:szCs w:val="18"/>
                      </w:rPr>
                    </w:pPr>
                    <w:r>
                      <w:rPr>
                        <w:sz w:val="18"/>
                        <w:szCs w:val="18"/>
                      </w:rPr>
                      <w:t>6．其他</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bf2260615f4991a49bda77fd1fc28b"/>
                <w:id w:val="5516"/>
              </w:sdtPr>
              <w:sdtContent>
                <w:tc>
                  <w:tcPr>
                    <w:tcW w:w="431" w:type="pct"/>
                  </w:tcPr>
                  <w:p>
                    <w:pPr>
                      <w:rPr>
                        <w:sz w:val="18"/>
                        <w:szCs w:val="18"/>
                      </w:rPr>
                    </w:pPr>
                    <w:r>
                      <w:rPr>
                        <w:rFonts w:hint="eastAsia"/>
                        <w:sz w:val="18"/>
                        <w:szCs w:val="18"/>
                      </w:rPr>
                      <w:t>（五）专项储备</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e833fa15ec452384f3784c7a9b36fe"/>
                <w:id w:val="5517"/>
              </w:sdtPr>
              <w:sdtContent>
                <w:tc>
                  <w:tcPr>
                    <w:tcW w:w="431" w:type="pct"/>
                  </w:tcPr>
                  <w:p>
                    <w:pPr>
                      <w:rPr>
                        <w:sz w:val="18"/>
                        <w:szCs w:val="18"/>
                      </w:rPr>
                    </w:pPr>
                    <w:r>
                      <w:rPr>
                        <w:rFonts w:hint="eastAsia"/>
                        <w:sz w:val="18"/>
                        <w:szCs w:val="18"/>
                      </w:rPr>
                      <w:t>1．本期提取</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01fc21ab7954268be9851ddd0cf2d8a"/>
                <w:id w:val="5518"/>
              </w:sdtPr>
              <w:sdtContent>
                <w:tc>
                  <w:tcPr>
                    <w:tcW w:w="431" w:type="pct"/>
                  </w:tcPr>
                  <w:p>
                    <w:pPr>
                      <w:rPr>
                        <w:sz w:val="18"/>
                        <w:szCs w:val="18"/>
                      </w:rPr>
                    </w:pPr>
                    <w:r>
                      <w:rPr>
                        <w:rFonts w:hint="eastAsia"/>
                        <w:sz w:val="18"/>
                        <w:szCs w:val="18"/>
                      </w:rPr>
                      <w:t>2．本期使用</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b1e5b489b047e98cf38f8c5f130759"/>
                <w:id w:val="5519"/>
              </w:sdtPr>
              <w:sdtContent>
                <w:tc>
                  <w:tcPr>
                    <w:tcW w:w="431" w:type="pct"/>
                  </w:tcPr>
                  <w:p>
                    <w:pPr>
                      <w:rPr>
                        <w:sz w:val="18"/>
                        <w:szCs w:val="18"/>
                      </w:rPr>
                    </w:pPr>
                    <w:r>
                      <w:rPr>
                        <w:rFonts w:hint="eastAsia"/>
                        <w:sz w:val="18"/>
                        <w:szCs w:val="18"/>
                      </w:rPr>
                      <w:t>（六）其他</w:t>
                    </w:r>
                  </w:p>
                </w:tc>
              </w:sdtContent>
            </w:sdt>
            <w:tc>
              <w:tcPr>
                <w:tcW w:w="497" w:type="pct"/>
              </w:tcPr>
              <w:p>
                <w:pPr>
                  <w:jc w:val="right"/>
                  <w:rPr>
                    <w:sz w:val="18"/>
                    <w:szCs w:val="18"/>
                  </w:rPr>
                </w:pPr>
              </w:p>
            </w:tc>
            <w:tc>
              <w:tcPr>
                <w:tcW w:w="100" w:type="pct"/>
              </w:tcPr>
              <w:p>
                <w:pPr>
                  <w:jc w:val="right"/>
                  <w:rPr>
                    <w:sz w:val="18"/>
                    <w:szCs w:val="18"/>
                  </w:rPr>
                </w:pPr>
              </w:p>
            </w:tc>
            <w:tc>
              <w:tcPr>
                <w:tcW w:w="79" w:type="pct"/>
              </w:tcPr>
              <w:p>
                <w:pPr>
                  <w:jc w:val="right"/>
                  <w:rPr>
                    <w:sz w:val="18"/>
                    <w:szCs w:val="18"/>
                  </w:rPr>
                </w:pPr>
              </w:p>
            </w:tc>
            <w:tc>
              <w:tcPr>
                <w:tcW w:w="77" w:type="pct"/>
              </w:tcPr>
              <w:p>
                <w:pPr>
                  <w:jc w:val="right"/>
                  <w:rPr>
                    <w:sz w:val="18"/>
                    <w:szCs w:val="18"/>
                  </w:rPr>
                </w:pPr>
              </w:p>
            </w:tc>
            <w:tc>
              <w:tcPr>
                <w:tcW w:w="500" w:type="pct"/>
              </w:tcPr>
              <w:p>
                <w:pPr>
                  <w:jc w:val="right"/>
                  <w:rPr>
                    <w:sz w:val="18"/>
                    <w:szCs w:val="18"/>
                  </w:rPr>
                </w:pPr>
              </w:p>
            </w:tc>
            <w:tc>
              <w:tcPr>
                <w:tcW w:w="77" w:type="pct"/>
              </w:tcPr>
              <w:p>
                <w:pPr>
                  <w:jc w:val="right"/>
                  <w:rPr>
                    <w:sz w:val="18"/>
                    <w:szCs w:val="18"/>
                  </w:rPr>
                </w:pPr>
              </w:p>
            </w:tc>
            <w:tc>
              <w:tcPr>
                <w:tcW w:w="404" w:type="pct"/>
              </w:tcPr>
              <w:p>
                <w:pPr>
                  <w:jc w:val="right"/>
                  <w:rPr>
                    <w:sz w:val="18"/>
                    <w:szCs w:val="18"/>
                  </w:rPr>
                </w:pPr>
              </w:p>
            </w:tc>
            <w:tc>
              <w:tcPr>
                <w:tcW w:w="93" w:type="pct"/>
              </w:tcPr>
              <w:p>
                <w:pPr>
                  <w:jc w:val="right"/>
                  <w:rPr>
                    <w:sz w:val="18"/>
                    <w:szCs w:val="18"/>
                  </w:rPr>
                </w:pPr>
              </w:p>
            </w:tc>
            <w:tc>
              <w:tcPr>
                <w:tcW w:w="473" w:type="pct"/>
              </w:tcPr>
              <w:p>
                <w:pPr>
                  <w:jc w:val="right"/>
                  <w:rPr>
                    <w:sz w:val="18"/>
                    <w:szCs w:val="18"/>
                  </w:rPr>
                </w:pPr>
              </w:p>
            </w:tc>
            <w:tc>
              <w:tcPr>
                <w:tcW w:w="78" w:type="pct"/>
              </w:tcPr>
              <w:p>
                <w:pPr>
                  <w:jc w:val="right"/>
                  <w:rPr>
                    <w:sz w:val="18"/>
                    <w:szCs w:val="18"/>
                  </w:rPr>
                </w:pPr>
              </w:p>
            </w:tc>
            <w:tc>
              <w:tcPr>
                <w:tcW w:w="501" w:type="pct"/>
              </w:tcPr>
              <w:p>
                <w:pPr>
                  <w:jc w:val="right"/>
                  <w:rPr>
                    <w:sz w:val="18"/>
                    <w:szCs w:val="18"/>
                  </w:rPr>
                </w:pPr>
              </w:p>
            </w:tc>
            <w:tc>
              <w:tcPr>
                <w:tcW w:w="77" w:type="pct"/>
              </w:tcPr>
              <w:p>
                <w:pPr>
                  <w:jc w:val="right"/>
                  <w:rPr>
                    <w:sz w:val="18"/>
                    <w:szCs w:val="18"/>
                  </w:rPr>
                </w:pPr>
              </w:p>
            </w:tc>
            <w:tc>
              <w:tcPr>
                <w:tcW w:w="565" w:type="pct"/>
              </w:tcPr>
              <w:p>
                <w:pPr>
                  <w:jc w:val="right"/>
                  <w:rPr>
                    <w:sz w:val="18"/>
                    <w:szCs w:val="18"/>
                  </w:rPr>
                </w:pPr>
              </w:p>
            </w:tc>
            <w:tc>
              <w:tcPr>
                <w:tcW w:w="499" w:type="pct"/>
              </w:tcPr>
              <w:p>
                <w:pPr>
                  <w:jc w:val="right"/>
                  <w:rPr>
                    <w:sz w:val="18"/>
                    <w:szCs w:val="18"/>
                  </w:rPr>
                </w:pPr>
              </w:p>
            </w:tc>
            <w:tc>
              <w:tcPr>
                <w:tcW w:w="538"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55d7c321c84166a15737d2581911bf"/>
                <w:id w:val="5520"/>
              </w:sdtPr>
              <w:sdtContent>
                <w:tc>
                  <w:tcPr>
                    <w:tcW w:w="431" w:type="pct"/>
                  </w:tcPr>
                  <w:p>
                    <w:pPr>
                      <w:rPr>
                        <w:sz w:val="18"/>
                        <w:szCs w:val="18"/>
                      </w:rPr>
                    </w:pPr>
                    <w:r>
                      <w:rPr>
                        <w:sz w:val="18"/>
                        <w:szCs w:val="18"/>
                      </w:rPr>
                      <w:t>四、本期期末余额</w:t>
                    </w:r>
                  </w:p>
                </w:tc>
              </w:sdtContent>
            </w:sdt>
            <w:tc>
              <w:tcPr>
                <w:tcW w:w="497"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100" w:type="pct"/>
                <w:vAlign w:val="center"/>
              </w:tcPr>
              <w:p>
                <w:pPr>
                  <w:jc w:val="right"/>
                  <w:rPr>
                    <w:rFonts w:hint="default" w:ascii="Times New Roman" w:hAnsi="Times New Roman" w:cs="Times New Roman"/>
                    <w:sz w:val="18"/>
                    <w:szCs w:val="18"/>
                  </w:rPr>
                </w:pPr>
              </w:p>
            </w:tc>
            <w:tc>
              <w:tcPr>
                <w:tcW w:w="79" w:type="pct"/>
                <w:vAlign w:val="center"/>
              </w:tcPr>
              <w:p>
                <w:pPr>
                  <w:jc w:val="right"/>
                  <w:rPr>
                    <w:rFonts w:hint="default" w:ascii="Times New Roman" w:hAnsi="Times New Roman" w:cs="Times New Roman"/>
                    <w:sz w:val="18"/>
                    <w:szCs w:val="18"/>
                  </w:rPr>
                </w:pPr>
              </w:p>
            </w:tc>
            <w:tc>
              <w:tcPr>
                <w:tcW w:w="77" w:type="pct"/>
                <w:vAlign w:val="center"/>
              </w:tcPr>
              <w:p>
                <w:pPr>
                  <w:jc w:val="right"/>
                  <w:rPr>
                    <w:rFonts w:hint="default" w:ascii="Times New Roman" w:hAnsi="Times New Roman" w:cs="Times New Roman"/>
                    <w:sz w:val="18"/>
                    <w:szCs w:val="18"/>
                  </w:rPr>
                </w:pPr>
              </w:p>
            </w:tc>
            <w:tc>
              <w:tcPr>
                <w:tcW w:w="500"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1,184,901,870.95</w:t>
                </w:r>
              </w:p>
            </w:tc>
            <w:tc>
              <w:tcPr>
                <w:tcW w:w="77" w:type="pct"/>
                <w:vAlign w:val="center"/>
              </w:tcPr>
              <w:p>
                <w:pPr>
                  <w:jc w:val="right"/>
                  <w:rPr>
                    <w:rFonts w:hint="default" w:ascii="Times New Roman" w:hAnsi="Times New Roman" w:cs="Times New Roman"/>
                    <w:sz w:val="18"/>
                    <w:szCs w:val="18"/>
                  </w:rPr>
                </w:pPr>
              </w:p>
            </w:tc>
            <w:tc>
              <w:tcPr>
                <w:tcW w:w="404" w:type="pct"/>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-8,825,807.26</w:t>
                </w:r>
              </w:p>
            </w:tc>
            <w:tc>
              <w:tcPr>
                <w:tcW w:w="93" w:type="pct"/>
                <w:vAlign w:val="center"/>
              </w:tcPr>
              <w:p>
                <w:pPr>
                  <w:jc w:val="right"/>
                  <w:rPr>
                    <w:rFonts w:hint="default" w:ascii="Times New Roman" w:hAnsi="Times New Roman" w:cs="Times New Roman"/>
                    <w:sz w:val="18"/>
                    <w:szCs w:val="18"/>
                  </w:rPr>
                </w:pPr>
              </w:p>
            </w:tc>
            <w:tc>
              <w:tcPr>
                <w:tcW w:w="473"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245,621,848.75</w:t>
                </w:r>
              </w:p>
            </w:tc>
            <w:tc>
              <w:tcPr>
                <w:tcW w:w="78" w:type="pct"/>
                <w:vAlign w:val="center"/>
              </w:tcPr>
              <w:p>
                <w:pPr>
                  <w:jc w:val="right"/>
                  <w:rPr>
                    <w:rFonts w:hint="default" w:ascii="Times New Roman" w:hAnsi="Times New Roman" w:cs="Times New Roman"/>
                    <w:sz w:val="18"/>
                    <w:szCs w:val="18"/>
                  </w:rPr>
                </w:pPr>
              </w:p>
            </w:tc>
            <w:tc>
              <w:tcPr>
                <w:tcW w:w="501"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125,345,760.90</w:t>
                </w:r>
              </w:p>
            </w:tc>
            <w:tc>
              <w:tcPr>
                <w:tcW w:w="77" w:type="pct"/>
                <w:vAlign w:val="center"/>
              </w:tcPr>
              <w:p>
                <w:pPr>
                  <w:jc w:val="right"/>
                  <w:rPr>
                    <w:rFonts w:hint="default" w:ascii="Times New Roman" w:hAnsi="Times New Roman" w:cs="Times New Roman"/>
                    <w:sz w:val="18"/>
                    <w:szCs w:val="18"/>
                  </w:rPr>
                </w:pPr>
              </w:p>
            </w:tc>
            <w:tc>
              <w:tcPr>
                <w:tcW w:w="565"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2,097,043,673.34</w:t>
                </w:r>
              </w:p>
            </w:tc>
            <w:tc>
              <w:tcPr>
                <w:tcW w:w="499" w:type="pct"/>
                <w:vAlign w:val="center"/>
              </w:tcPr>
              <w:p>
                <w:pPr>
                  <w:jc w:val="right"/>
                  <w:rPr>
                    <w:rFonts w:hint="default" w:ascii="Times New Roman" w:hAnsi="Times New Roman" w:cs="Times New Roman"/>
                    <w:sz w:val="18"/>
                    <w:szCs w:val="18"/>
                  </w:rPr>
                </w:pPr>
                <w:r>
                  <w:rPr>
                    <w:rFonts w:hint="default" w:ascii="Times New Roman" w:hAnsi="Times New Roman" w:eastAsia="宋体" w:cs="Times New Roman"/>
                    <w:sz w:val="18"/>
                    <w:szCs w:val="18"/>
                    <w:lang w:eastAsia="zh-CN"/>
                  </w:rPr>
                  <w:t>-5,474,234.18</w:t>
                </w:r>
              </w:p>
            </w:tc>
            <w:tc>
              <w:tcPr>
                <w:tcW w:w="538" w:type="pct"/>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2,091,569,439.16</w:t>
                </w:r>
              </w:p>
            </w:tc>
          </w:tr>
        </w:tbl>
        <w:p/>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26379"/>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26380"/>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6381"/>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p>
      <w:pPr>
        <w:rPr>
          <w:szCs w:val="21"/>
        </w:rPr>
      </w:pPr>
    </w:p>
    <w:p>
      <w:pPr>
        <w:rPr>
          <w:szCs w:val="21"/>
        </w:rPr>
      </w:pPr>
    </w:p>
    <w:sdt>
      <w:sdtPr>
        <w:rPr>
          <w:b/>
          <w:szCs w:val="21"/>
        </w:rPr>
        <w:tag w:val="_GBC_24560eea01804b8b9d3678736eb60ca8"/>
        <w:id w:val="26382"/>
        <w:placeholder>
          <w:docPart w:val="GBC22222222222222222222222222222"/>
        </w:placeholder>
      </w:sdtPr>
      <w:sdtEndPr>
        <w:rPr>
          <w:rFonts w:hint="eastAsia"/>
          <w:b w:val="0"/>
          <w:szCs w:val="21"/>
        </w:rPr>
      </w:sdtEndPr>
      <w:sdtContent>
        <w:p>
          <w:pPr>
            <w:tabs>
              <w:tab w:val="left" w:pos="10080"/>
            </w:tabs>
            <w:snapToGrid w:val="0"/>
            <w:spacing w:line="240" w:lineRule="atLeast"/>
            <w:ind w:right="25" w:rightChars="12"/>
            <w:jc w:val="center"/>
            <w:outlineLvl w:val="2"/>
            <w:rPr>
              <w:b/>
              <w:szCs w:val="21"/>
            </w:rPr>
          </w:pPr>
          <w:r>
            <w:rPr>
              <w:b/>
              <w:szCs w:val="21"/>
            </w:rPr>
            <w:t>母公司</w:t>
          </w:r>
          <w:r>
            <w:rPr>
              <w:rFonts w:hint="eastAsia"/>
              <w:b/>
              <w:szCs w:val="21"/>
            </w:rPr>
            <w:t>所有者权益变动表</w:t>
          </w:r>
        </w:p>
        <w:p>
          <w:pPr>
            <w:tabs>
              <w:tab w:val="left" w:pos="10080"/>
            </w:tabs>
            <w:snapToGrid w:val="0"/>
            <w:spacing w:line="240" w:lineRule="atLeast"/>
            <w:ind w:right="25" w:rightChars="12"/>
            <w:jc w:val="center"/>
            <w:rPr>
              <w:rFonts w:hint="default" w:ascii="Times New Roman" w:hAnsi="Times New Roman" w:cs="Times New Roman"/>
              <w:b/>
              <w:bCs/>
              <w:szCs w:val="21"/>
            </w:rPr>
          </w:pPr>
          <w:r>
            <w:rPr>
              <w:rFonts w:hint="default" w:ascii="Times New Roman" w:hAnsi="Times New Roman" w:cs="Times New Roman"/>
              <w:szCs w:val="21"/>
            </w:rPr>
            <w:t>2023年1—12月</w:t>
          </w:r>
        </w:p>
        <w:p>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63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股东权益调节表"/>
              <w:tag w:val="_GBC_5214b7a188334da286fc3038d017d072"/>
              <w:id w:val="263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15546"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1"/>
            <w:gridCol w:w="2005"/>
            <w:gridCol w:w="763"/>
            <w:gridCol w:w="1037"/>
            <w:gridCol w:w="886"/>
            <w:gridCol w:w="1569"/>
            <w:gridCol w:w="695"/>
            <w:gridCol w:w="681"/>
            <w:gridCol w:w="628"/>
            <w:gridCol w:w="1527"/>
            <w:gridCol w:w="1620"/>
            <w:gridCol w:w="1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243181199ca48faaab1b52ea7b6f562"/>
                <w:id w:val="5647"/>
              </w:sdtPr>
              <w:sdtContent>
                <w:tc>
                  <w:tcPr>
                    <w:tcW w:w="2291" w:type="dxa"/>
                    <w:vMerge w:val="restart"/>
                    <w:vAlign w:val="center"/>
                  </w:tcPr>
                  <w:p>
                    <w:pPr>
                      <w:adjustRightInd w:val="0"/>
                      <w:snapToGrid w:val="0"/>
                      <w:jc w:val="center"/>
                      <w:rPr>
                        <w:sz w:val="18"/>
                        <w:szCs w:val="18"/>
                      </w:rPr>
                    </w:pPr>
                    <w:r>
                      <w:rPr>
                        <w:rFonts w:hint="eastAsia"/>
                        <w:sz w:val="18"/>
                        <w:szCs w:val="18"/>
                      </w:rPr>
                      <w:t>项目</w:t>
                    </w:r>
                  </w:p>
                </w:tc>
              </w:sdtContent>
            </w:sdt>
            <w:tc>
              <w:tcPr>
                <w:tcW w:w="13255" w:type="dxa"/>
                <w:gridSpan w:val="11"/>
                <w:vAlign w:val="center"/>
              </w:tcPr>
              <w:p>
                <w:pPr>
                  <w:adjustRightInd w:val="0"/>
                  <w:snapToGrid w:val="0"/>
                  <w:jc w:val="center"/>
                </w:pPr>
                <w:r>
                  <w:rPr>
                    <w:rFonts w:hint="eastAsia"/>
                  </w:rPr>
                  <w:t xml:space="preserve"> </w:t>
                </w:r>
                <w:sdt>
                  <w:sdtPr>
                    <w:rPr>
                      <w:rFonts w:hint="eastAsia"/>
                    </w:rPr>
                    <w:tag w:val="_PLD_53ebc36a4faa4485960520df843f0c63"/>
                    <w:id w:val="5648"/>
                  </w:sdtPr>
                  <w:sdtEndPr>
                    <w:rPr>
                      <w:rFonts w:hint="eastAsia"/>
                    </w:rPr>
                  </w:sdtEndPr>
                  <w:sdtContent>
                    <w:r>
                      <w:rPr>
                        <w:rFonts w:hint="eastAsia"/>
                        <w:sz w:val="18"/>
                      </w:rPr>
                      <w:t>2023年度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291" w:type="dxa"/>
                <w:vMerge w:val="continue"/>
              </w:tcPr>
              <w:p>
                <w:pPr>
                  <w:adjustRightInd w:val="0"/>
                  <w:snapToGrid w:val="0"/>
                  <w:rPr>
                    <w:sz w:val="18"/>
                    <w:szCs w:val="18"/>
                  </w:rPr>
                </w:pPr>
              </w:p>
            </w:tc>
            <w:sdt>
              <w:sdtPr>
                <w:tag w:val="_PLD_d42b0ce5c44e4777bd36491652f20dd8"/>
                <w:id w:val="5649"/>
              </w:sdtPr>
              <w:sdtContent>
                <w:tc>
                  <w:tcPr>
                    <w:tcW w:w="2005" w:type="dxa"/>
                    <w:vMerge w:val="restart"/>
                    <w:tcBorders>
                      <w:right w:val="single" w:color="auto" w:sz="4" w:space="0"/>
                    </w:tcBorders>
                    <w:vAlign w:val="center"/>
                  </w:tcPr>
                  <w:p>
                    <w:pPr>
                      <w:adjustRightInd w:val="0"/>
                      <w:snapToGrid w:val="0"/>
                      <w:jc w:val="center"/>
                      <w:rPr>
                        <w:sz w:val="18"/>
                        <w:szCs w:val="18"/>
                      </w:rPr>
                    </w:pPr>
                    <w:r>
                      <w:rPr>
                        <w:sz w:val="18"/>
                        <w:szCs w:val="18"/>
                      </w:rPr>
                      <w:t>实收资本 (或股本)</w:t>
                    </w:r>
                  </w:p>
                </w:tc>
              </w:sdtContent>
            </w:sdt>
            <w:sdt>
              <w:sdtPr>
                <w:tag w:val="_PLD_2b96b9233b354a859329aa59fac6fc9e"/>
                <w:id w:val="5650"/>
              </w:sdtPr>
              <w:sdtContent>
                <w:tc>
                  <w:tcPr>
                    <w:tcW w:w="2686"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dafb11707213467d9f285bde7429767a"/>
                <w:id w:val="5651"/>
              </w:sdtPr>
              <w:sdtContent>
                <w:tc>
                  <w:tcPr>
                    <w:tcW w:w="1569" w:type="dxa"/>
                    <w:vMerge w:val="restart"/>
                    <w:vAlign w:val="center"/>
                  </w:tcPr>
                  <w:p>
                    <w:pPr>
                      <w:adjustRightInd w:val="0"/>
                      <w:snapToGrid w:val="0"/>
                      <w:jc w:val="center"/>
                      <w:rPr>
                        <w:sz w:val="18"/>
                        <w:szCs w:val="18"/>
                      </w:rPr>
                    </w:pPr>
                    <w:r>
                      <w:rPr>
                        <w:sz w:val="18"/>
                        <w:szCs w:val="18"/>
                      </w:rPr>
                      <w:t>资本公积</w:t>
                    </w:r>
                  </w:p>
                </w:tc>
              </w:sdtContent>
            </w:sdt>
            <w:sdt>
              <w:sdtPr>
                <w:tag w:val="_PLD_2fb702eaa01c41839715d0f477a28608"/>
                <w:id w:val="5652"/>
              </w:sdtPr>
              <w:sdtContent>
                <w:tc>
                  <w:tcPr>
                    <w:tcW w:w="695" w:type="dxa"/>
                    <w:vMerge w:val="restart"/>
                    <w:vAlign w:val="center"/>
                  </w:tcPr>
                  <w:p>
                    <w:pPr>
                      <w:adjustRightInd w:val="0"/>
                      <w:snapToGrid w:val="0"/>
                      <w:jc w:val="center"/>
                      <w:rPr>
                        <w:sz w:val="18"/>
                        <w:szCs w:val="18"/>
                      </w:rPr>
                    </w:pPr>
                    <w:r>
                      <w:rPr>
                        <w:sz w:val="18"/>
                        <w:szCs w:val="18"/>
                      </w:rPr>
                      <w:t>减：库存股</w:t>
                    </w:r>
                  </w:p>
                </w:tc>
              </w:sdtContent>
            </w:sdt>
            <w:sdt>
              <w:sdtPr>
                <w:tag w:val="_PLD_01fd07c61bdc4289ad848770e21829f0"/>
                <w:id w:val="5653"/>
              </w:sdtPr>
              <w:sdtContent>
                <w:tc>
                  <w:tcPr>
                    <w:tcW w:w="681" w:type="dxa"/>
                    <w:vMerge w:val="restart"/>
                    <w:vAlign w:val="center"/>
                  </w:tcPr>
                  <w:p>
                    <w:pPr>
                      <w:jc w:val="center"/>
                      <w:rPr>
                        <w:sz w:val="18"/>
                        <w:szCs w:val="18"/>
                      </w:rPr>
                    </w:pPr>
                    <w:r>
                      <w:rPr>
                        <w:rFonts w:hint="eastAsia"/>
                        <w:sz w:val="18"/>
                        <w:szCs w:val="18"/>
                      </w:rPr>
                      <w:t>其他综合收益</w:t>
                    </w:r>
                  </w:p>
                </w:tc>
              </w:sdtContent>
            </w:sdt>
            <w:sdt>
              <w:sdtPr>
                <w:tag w:val="_PLD_90a7206226784441ae3a059bd6e2aeb9"/>
                <w:id w:val="5654"/>
              </w:sdtPr>
              <w:sdtContent>
                <w:tc>
                  <w:tcPr>
                    <w:tcW w:w="628"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9a70df1813948df997635772bea7de3"/>
                <w:id w:val="5655"/>
              </w:sdtPr>
              <w:sdtContent>
                <w:tc>
                  <w:tcPr>
                    <w:tcW w:w="1527" w:type="dxa"/>
                    <w:vMerge w:val="restart"/>
                    <w:vAlign w:val="center"/>
                  </w:tcPr>
                  <w:p>
                    <w:pPr>
                      <w:adjustRightInd w:val="0"/>
                      <w:snapToGrid w:val="0"/>
                      <w:jc w:val="center"/>
                      <w:rPr>
                        <w:sz w:val="18"/>
                        <w:szCs w:val="18"/>
                      </w:rPr>
                    </w:pPr>
                    <w:r>
                      <w:rPr>
                        <w:sz w:val="18"/>
                        <w:szCs w:val="18"/>
                      </w:rPr>
                      <w:t>盈余公积</w:t>
                    </w:r>
                  </w:p>
                </w:tc>
              </w:sdtContent>
            </w:sdt>
            <w:sdt>
              <w:sdtPr>
                <w:tag w:val="_PLD_9b2be5c2b4a3447c85cf695b1da440fa"/>
                <w:id w:val="5656"/>
              </w:sdtPr>
              <w:sdtContent>
                <w:tc>
                  <w:tcPr>
                    <w:tcW w:w="1620" w:type="dxa"/>
                    <w:vMerge w:val="restart"/>
                    <w:vAlign w:val="center"/>
                  </w:tcPr>
                  <w:p>
                    <w:pPr>
                      <w:adjustRightInd w:val="0"/>
                      <w:snapToGrid w:val="0"/>
                      <w:jc w:val="center"/>
                      <w:rPr>
                        <w:sz w:val="18"/>
                        <w:szCs w:val="18"/>
                      </w:rPr>
                    </w:pPr>
                    <w:r>
                      <w:rPr>
                        <w:sz w:val="18"/>
                        <w:szCs w:val="18"/>
                      </w:rPr>
                      <w:t>未分配利润</w:t>
                    </w:r>
                  </w:p>
                </w:tc>
              </w:sdtContent>
            </w:sdt>
            <w:sdt>
              <w:sdtPr>
                <w:tag w:val="_PLD_61dd0378fbe645dfb87cfecfbc846206"/>
                <w:id w:val="5657"/>
              </w:sdtPr>
              <w:sdtContent>
                <w:tc>
                  <w:tcPr>
                    <w:tcW w:w="1844"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291" w:type="dxa"/>
                <w:vMerge w:val="continue"/>
              </w:tcPr>
              <w:p>
                <w:pPr>
                  <w:adjustRightInd w:val="0"/>
                  <w:snapToGrid w:val="0"/>
                  <w:rPr>
                    <w:sz w:val="18"/>
                    <w:szCs w:val="18"/>
                  </w:rPr>
                </w:pPr>
              </w:p>
            </w:tc>
            <w:tc>
              <w:tcPr>
                <w:tcW w:w="2005" w:type="dxa"/>
                <w:vMerge w:val="continue"/>
                <w:tcBorders>
                  <w:right w:val="single" w:color="auto" w:sz="4" w:space="0"/>
                </w:tcBorders>
                <w:vAlign w:val="center"/>
              </w:tcPr>
              <w:p>
                <w:pPr>
                  <w:adjustRightInd w:val="0"/>
                  <w:snapToGrid w:val="0"/>
                  <w:jc w:val="center"/>
                  <w:rPr>
                    <w:sz w:val="18"/>
                    <w:szCs w:val="18"/>
                  </w:rPr>
                </w:pPr>
              </w:p>
            </w:tc>
            <w:sdt>
              <w:sdtPr>
                <w:tag w:val="_PLD_506dd395f17d4bea92c50a0850471ea4"/>
                <w:id w:val="5658"/>
              </w:sdtPr>
              <w:sdtContent>
                <w:tc>
                  <w:tcPr>
                    <w:tcW w:w="763"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d66ebd59f659426db31ba0d488ae47d0"/>
                <w:id w:val="5659"/>
              </w:sdtPr>
              <w:sdtContent>
                <w:tc>
                  <w:tcPr>
                    <w:tcW w:w="1037"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997e05d9124249eeb1a10ac094efcb41"/>
                <w:id w:val="5660"/>
              </w:sdtPr>
              <w:sdtContent>
                <w:tc>
                  <w:tcPr>
                    <w:tcW w:w="886"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569" w:type="dxa"/>
                <w:vMerge w:val="continue"/>
              </w:tcPr>
              <w:p>
                <w:pPr>
                  <w:adjustRightInd w:val="0"/>
                  <w:snapToGrid w:val="0"/>
                  <w:jc w:val="center"/>
                  <w:rPr>
                    <w:sz w:val="18"/>
                    <w:szCs w:val="18"/>
                  </w:rPr>
                </w:pPr>
              </w:p>
            </w:tc>
            <w:tc>
              <w:tcPr>
                <w:tcW w:w="695" w:type="dxa"/>
                <w:vMerge w:val="continue"/>
              </w:tcPr>
              <w:p>
                <w:pPr>
                  <w:adjustRightInd w:val="0"/>
                  <w:snapToGrid w:val="0"/>
                  <w:jc w:val="center"/>
                  <w:rPr>
                    <w:sz w:val="18"/>
                    <w:szCs w:val="18"/>
                  </w:rPr>
                </w:pPr>
              </w:p>
            </w:tc>
            <w:tc>
              <w:tcPr>
                <w:tcW w:w="681" w:type="dxa"/>
                <w:vMerge w:val="continue"/>
              </w:tcPr>
              <w:p>
                <w:pPr>
                  <w:jc w:val="center"/>
                  <w:rPr>
                    <w:sz w:val="18"/>
                    <w:szCs w:val="18"/>
                  </w:rPr>
                </w:pPr>
              </w:p>
            </w:tc>
            <w:tc>
              <w:tcPr>
                <w:tcW w:w="628" w:type="dxa"/>
                <w:vMerge w:val="continue"/>
              </w:tcPr>
              <w:p>
                <w:pPr>
                  <w:adjustRightInd w:val="0"/>
                  <w:snapToGrid w:val="0"/>
                  <w:jc w:val="center"/>
                  <w:rPr>
                    <w:sz w:val="18"/>
                    <w:szCs w:val="18"/>
                  </w:rPr>
                </w:pPr>
              </w:p>
            </w:tc>
            <w:tc>
              <w:tcPr>
                <w:tcW w:w="1527" w:type="dxa"/>
                <w:vMerge w:val="continue"/>
              </w:tcPr>
              <w:p>
                <w:pPr>
                  <w:adjustRightInd w:val="0"/>
                  <w:snapToGrid w:val="0"/>
                  <w:jc w:val="center"/>
                  <w:rPr>
                    <w:sz w:val="18"/>
                    <w:szCs w:val="18"/>
                  </w:rPr>
                </w:pPr>
              </w:p>
            </w:tc>
            <w:tc>
              <w:tcPr>
                <w:tcW w:w="1620" w:type="dxa"/>
                <w:vMerge w:val="continue"/>
              </w:tcPr>
              <w:p>
                <w:pPr>
                  <w:adjustRightInd w:val="0"/>
                  <w:snapToGrid w:val="0"/>
                  <w:jc w:val="center"/>
                  <w:rPr>
                    <w:sz w:val="18"/>
                    <w:szCs w:val="18"/>
                  </w:rPr>
                </w:pPr>
              </w:p>
            </w:tc>
            <w:tc>
              <w:tcPr>
                <w:tcW w:w="1844" w:type="dxa"/>
                <w:vMerge w:val="continue"/>
              </w:tcPr>
              <w:p>
                <w:pPr>
                  <w:adjustRightInd w:val="0"/>
                  <w:snapToGrid w:val="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08f8c5f19f2b42f7ae650f62c6878570"/>
                <w:id w:val="5661"/>
              </w:sdtPr>
              <w:sdtContent>
                <w:tc>
                  <w:tcPr>
                    <w:tcW w:w="2291" w:type="dxa"/>
                  </w:tcPr>
                  <w:p>
                    <w:pPr>
                      <w:rPr>
                        <w:sz w:val="18"/>
                        <w:szCs w:val="18"/>
                      </w:rPr>
                    </w:pPr>
                    <w:r>
                      <w:rPr>
                        <w:sz w:val="18"/>
                        <w:szCs w:val="18"/>
                      </w:rPr>
                      <w:t>一、上年</w:t>
                    </w:r>
                    <w:r>
                      <w:rPr>
                        <w:rFonts w:hint="eastAsia"/>
                        <w:sz w:val="18"/>
                        <w:szCs w:val="18"/>
                      </w:rPr>
                      <w:t>年</w:t>
                    </w:r>
                    <w:r>
                      <w:rPr>
                        <w:sz w:val="18"/>
                        <w:szCs w:val="18"/>
                      </w:rPr>
                      <w:t>末余额</w:t>
                    </w:r>
                  </w:p>
                </w:tc>
              </w:sdtContent>
            </w:sdt>
            <w:tc>
              <w:tcPr>
                <w:tcW w:w="2005"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69" w:type="dxa"/>
                <w:tcBorders>
                  <w:lef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217,325,819.43</w:t>
                </w:r>
              </w:p>
            </w:tc>
            <w:tc>
              <w:tcPr>
                <w:tcW w:w="1620"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660,253,527.62</w:t>
                </w:r>
              </w:p>
            </w:tc>
            <w:tc>
              <w:tcPr>
                <w:tcW w:w="184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2,006,850,736.12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977aa291b254801929edbd8e09eff6f"/>
                <w:id w:val="5662"/>
              </w:sdtPr>
              <w:sdtContent>
                <w:tc>
                  <w:tcPr>
                    <w:tcW w:w="2291" w:type="dxa"/>
                  </w:tcPr>
                  <w:p>
                    <w:pPr>
                      <w:rPr>
                        <w:sz w:val="18"/>
                        <w:szCs w:val="18"/>
                      </w:rPr>
                    </w:pPr>
                    <w:r>
                      <w:rPr>
                        <w:sz w:val="18"/>
                        <w:szCs w:val="18"/>
                      </w:rPr>
                      <w:t>加：会计政策变更</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69" w:type="dxa"/>
                <w:tcBorders>
                  <w:left w:val="single" w:color="auto" w:sz="4" w:space="0"/>
                </w:tcBorders>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dcd3d26f66745c0b48a5fac832ef867"/>
                <w:id w:val="5663"/>
              </w:sdtPr>
              <w:sdtContent>
                <w:tc>
                  <w:tcPr>
                    <w:tcW w:w="2291" w:type="dxa"/>
                  </w:tcPr>
                  <w:p>
                    <w:pPr>
                      <w:ind w:firstLine="420" w:firstLineChars="200"/>
                      <w:rPr>
                        <w:sz w:val="18"/>
                        <w:szCs w:val="18"/>
                      </w:rPr>
                    </w:pPr>
                    <w:r>
                      <w:rPr>
                        <w:sz w:val="18"/>
                        <w:szCs w:val="18"/>
                      </w:rPr>
                      <w:t>前期差错更正</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69" w:type="dxa"/>
                <w:tcBorders>
                  <w:left w:val="single" w:color="auto" w:sz="4" w:space="0"/>
                </w:tcBorders>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e1d4d884e6e401b8c40d08e9d6c5d32"/>
                <w:id w:val="5664"/>
              </w:sdtPr>
              <w:sdtContent>
                <w:tc>
                  <w:tcPr>
                    <w:tcW w:w="2291" w:type="dxa"/>
                  </w:tcPr>
                  <w:p>
                    <w:pPr>
                      <w:ind w:firstLine="420" w:firstLineChars="200"/>
                      <w:rPr>
                        <w:sz w:val="18"/>
                        <w:szCs w:val="18"/>
                      </w:rPr>
                    </w:pPr>
                    <w:r>
                      <w:rPr>
                        <w:rFonts w:hint="eastAsia"/>
                        <w:sz w:val="18"/>
                        <w:szCs w:val="18"/>
                      </w:rPr>
                      <w:t>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69" w:type="dxa"/>
                <w:tcBorders>
                  <w:left w:val="single" w:color="auto" w:sz="4" w:space="0"/>
                </w:tcBorders>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sdt>
              <w:sdtPr>
                <w:tag w:val="_PLD_abc6effbbaad4f92a93b112da199425f"/>
                <w:id w:val="5665"/>
              </w:sdtPr>
              <w:sdtContent>
                <w:tc>
                  <w:tcPr>
                    <w:tcW w:w="2291"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2005"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69" w:type="dxa"/>
                <w:tcBorders>
                  <w:lef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217,325,819.43</w:t>
                </w:r>
              </w:p>
            </w:tc>
            <w:tc>
              <w:tcPr>
                <w:tcW w:w="1620"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660,253,527.62</w:t>
                </w:r>
              </w:p>
            </w:tc>
            <w:tc>
              <w:tcPr>
                <w:tcW w:w="184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2,006,850,736.12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eea8f5bd284adbb011ea489737927b"/>
                <w:id w:val="5666"/>
              </w:sdtPr>
              <w:sdtContent>
                <w:tc>
                  <w:tcPr>
                    <w:tcW w:w="2291"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77,215.90 </w:t>
                </w:r>
              </w:p>
            </w:tc>
            <w:tc>
              <w:tcPr>
                <w:tcW w:w="1620" w:type="dxa"/>
                <w:vAlign w:val="center"/>
              </w:tcPr>
              <w:p>
                <w:pPr>
                  <w:jc w:val="right"/>
                  <w:rPr>
                    <w:rFonts w:hint="default" w:ascii="Times New Roman" w:hAnsi="Times New Roman" w:cs="Times New Roman"/>
                    <w:sz w:val="18"/>
                    <w:szCs w:val="18"/>
                  </w:rPr>
                </w:pPr>
                <w:r>
                  <w:rPr>
                    <w:rFonts w:hint="eastAsia" w:ascii="Times New Roman" w:hAnsi="Times New Roman" w:cs="Times New Roman"/>
                    <w:sz w:val="18"/>
                    <w:szCs w:val="18"/>
                    <w:lang w:eastAsia="zh-CN"/>
                  </w:rPr>
                  <w:t>694,943.11</w:t>
                </w:r>
              </w:p>
            </w:tc>
            <w:tc>
              <w:tcPr>
                <w:tcW w:w="1844" w:type="dxa"/>
                <w:vAlign w:val="center"/>
              </w:tcPr>
              <w:p>
                <w:pPr>
                  <w:keepNext w:val="0"/>
                  <w:keepLines w:val="0"/>
                  <w:widowControl/>
                  <w:suppressLineNumbers w:val="0"/>
                  <w:jc w:val="right"/>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772,159.01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6bc7260292e4c19ad140bdfdf1ee46c"/>
                <w:id w:val="5667"/>
              </w:sdtPr>
              <w:sdtContent>
                <w:tc>
                  <w:tcPr>
                    <w:tcW w:w="2291" w:type="dxa"/>
                  </w:tcPr>
                  <w:p>
                    <w:pPr>
                      <w:rPr>
                        <w:sz w:val="18"/>
                        <w:szCs w:val="18"/>
                      </w:rPr>
                    </w:pPr>
                    <w:r>
                      <w:rPr>
                        <w:rFonts w:hint="eastAsia"/>
                        <w:sz w:val="18"/>
                        <w:szCs w:val="18"/>
                      </w:rPr>
                      <w:t>（一）综合收益总额</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lang w:eastAsia="zh-CN"/>
                  </w:rPr>
                </w:pPr>
                <w:r>
                  <w:rPr>
                    <w:rFonts w:hint="eastAsia" w:ascii="Times New Roman" w:hAnsi="Times New Roman" w:cs="Times New Roman"/>
                    <w:sz w:val="18"/>
                    <w:szCs w:val="18"/>
                    <w:lang w:eastAsia="zh-CN"/>
                  </w:rPr>
                  <w:t>772,159.01</w:t>
                </w:r>
              </w:p>
            </w:tc>
            <w:tc>
              <w:tcPr>
                <w:tcW w:w="1844" w:type="dxa"/>
                <w:vAlign w:val="center"/>
              </w:tcPr>
              <w:p>
                <w:pPr>
                  <w:jc w:val="right"/>
                  <w:rPr>
                    <w:rFonts w:hint="default" w:ascii="Times New Roman" w:hAnsi="Times New Roman" w:cs="Times New Roman"/>
                    <w:sz w:val="18"/>
                    <w:szCs w:val="18"/>
                    <w:lang w:eastAsia="zh-CN"/>
                  </w:rPr>
                </w:pPr>
                <w:r>
                  <w:rPr>
                    <w:rFonts w:hint="eastAsia" w:ascii="Times New Roman" w:hAnsi="Times New Roman" w:cs="Times New Roman"/>
                    <w:sz w:val="18"/>
                    <w:szCs w:val="18"/>
                    <w:lang w:eastAsia="zh-CN"/>
                  </w:rPr>
                  <w:t>772,159.01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8006a38fe64d8788706ec54fa4a47b"/>
                <w:id w:val="5668"/>
              </w:sdtPr>
              <w:sdtContent>
                <w:tc>
                  <w:tcPr>
                    <w:tcW w:w="2291"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b7ce2356df4876b71161948845f6e6"/>
                <w:id w:val="5669"/>
              </w:sdtPr>
              <w:sdtContent>
                <w:tc>
                  <w:tcPr>
                    <w:tcW w:w="2291" w:type="dxa"/>
                  </w:tcPr>
                  <w:p>
                    <w:pPr>
                      <w:rPr>
                        <w:sz w:val="18"/>
                        <w:szCs w:val="18"/>
                      </w:rPr>
                    </w:pPr>
                    <w:r>
                      <w:rPr>
                        <w:rFonts w:hint="eastAsia"/>
                        <w:sz w:val="18"/>
                        <w:szCs w:val="18"/>
                      </w:rPr>
                      <w:t>1．所有者投入的普通股</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364b722055ed48639a8a73b5223e270d"/>
                <w:id w:val="5670"/>
              </w:sdtPr>
              <w:sdtContent>
                <w:tc>
                  <w:tcPr>
                    <w:tcW w:w="2291" w:type="dxa"/>
                  </w:tcPr>
                  <w:p>
                    <w:pPr>
                      <w:rPr>
                        <w:sz w:val="18"/>
                        <w:szCs w:val="18"/>
                      </w:rPr>
                    </w:pPr>
                    <w:r>
                      <w:rPr>
                        <w:rFonts w:hint="eastAsia"/>
                        <w:sz w:val="18"/>
                        <w:szCs w:val="18"/>
                      </w:rPr>
                      <w:t>2．其他权益工具持有者投入资本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224ee219054e4248b57b186593db85a6"/>
                <w:id w:val="5671"/>
              </w:sdtPr>
              <w:sdtContent>
                <w:tc>
                  <w:tcPr>
                    <w:tcW w:w="2291" w:type="dxa"/>
                  </w:tcPr>
                  <w:p>
                    <w:pPr>
                      <w:rPr>
                        <w:sz w:val="18"/>
                        <w:szCs w:val="18"/>
                      </w:rPr>
                    </w:pPr>
                    <w:r>
                      <w:rPr>
                        <w:rFonts w:hint="eastAsia"/>
                        <w:sz w:val="18"/>
                        <w:szCs w:val="18"/>
                      </w:rPr>
                      <w:t>3</w:t>
                    </w:r>
                    <w:r>
                      <w:rPr>
                        <w:sz w:val="18"/>
                        <w:szCs w:val="18"/>
                      </w:rPr>
                      <w:t>．股份支付计入所有者权益的金额</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2bb07b8c813f401e9b889121fc03b9bd"/>
                <w:id w:val="5672"/>
              </w:sdtPr>
              <w:sdtContent>
                <w:tc>
                  <w:tcPr>
                    <w:tcW w:w="2291" w:type="dxa"/>
                  </w:tcPr>
                  <w:p>
                    <w:pPr>
                      <w:rPr>
                        <w:sz w:val="18"/>
                        <w:szCs w:val="18"/>
                      </w:rPr>
                    </w:pPr>
                    <w:r>
                      <w:rPr>
                        <w:rFonts w:hint="eastAsia"/>
                        <w:sz w:val="18"/>
                        <w:szCs w:val="18"/>
                      </w:rPr>
                      <w:t>4</w:t>
                    </w:r>
                    <w:r>
                      <w:rPr>
                        <w:sz w:val="18"/>
                        <w:szCs w:val="18"/>
                      </w:rPr>
                      <w:t>．其他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280cf7ceeaa4dd8b4b782055ca20607"/>
                <w:id w:val="5673"/>
              </w:sdtPr>
              <w:sdtContent>
                <w:tc>
                  <w:tcPr>
                    <w:tcW w:w="2291" w:type="dxa"/>
                  </w:tcPr>
                  <w:p>
                    <w:pPr>
                      <w:rPr>
                        <w:sz w:val="18"/>
                        <w:szCs w:val="18"/>
                      </w:rPr>
                    </w:pPr>
                    <w:r>
                      <w:rPr>
                        <w:sz w:val="18"/>
                        <w:szCs w:val="18"/>
                      </w:rPr>
                      <w:t>（</w:t>
                    </w:r>
                    <w:r>
                      <w:rPr>
                        <w:rFonts w:hint="eastAsia"/>
                        <w:sz w:val="18"/>
                        <w:szCs w:val="18"/>
                      </w:rPr>
                      <w:t>三</w:t>
                    </w:r>
                    <w:r>
                      <w:rPr>
                        <w:sz w:val="18"/>
                        <w:szCs w:val="18"/>
                      </w:rPr>
                      <w:t>）利润分配</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77,215.90 </w:t>
                </w:r>
              </w:p>
            </w:tc>
            <w:tc>
              <w:tcPr>
                <w:tcW w:w="1620" w:type="dxa"/>
                <w:vAlign w:val="center"/>
              </w:tcPr>
              <w:p>
                <w:pPr>
                  <w:jc w:val="right"/>
                  <w:rPr>
                    <w:rFonts w:hint="default" w:ascii="Times New Roman" w:hAnsi="Times New Roman" w:cs="Times New Roman"/>
                    <w:sz w:val="18"/>
                    <w:szCs w:val="18"/>
                  </w:rPr>
                </w:pP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77,215.90</w:t>
                </w: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bae08be416ce4c01886da1cc65a38bd8"/>
                <w:id w:val="5674"/>
              </w:sdtPr>
              <w:sdtContent>
                <w:tc>
                  <w:tcPr>
                    <w:tcW w:w="2291" w:type="dxa"/>
                  </w:tcPr>
                  <w:p>
                    <w:pPr>
                      <w:rPr>
                        <w:sz w:val="18"/>
                        <w:szCs w:val="18"/>
                      </w:rPr>
                    </w:pPr>
                    <w:r>
                      <w:rPr>
                        <w:sz w:val="18"/>
                        <w:szCs w:val="18"/>
                      </w:rPr>
                      <w:t>1．提取盈余公积</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77,215.90 </w:t>
                </w:r>
              </w:p>
            </w:tc>
            <w:tc>
              <w:tcPr>
                <w:tcW w:w="1620" w:type="dxa"/>
                <w:vAlign w:val="center"/>
              </w:tcPr>
              <w:p>
                <w:pPr>
                  <w:jc w:val="right"/>
                  <w:rPr>
                    <w:rFonts w:hint="default" w:ascii="Times New Roman" w:hAnsi="Times New Roman" w:cs="Times New Roman"/>
                    <w:sz w:val="18"/>
                    <w:szCs w:val="18"/>
                  </w:rPr>
                </w:pPr>
                <w:r>
                  <w:rPr>
                    <w:rFonts w:hint="eastAsia" w:ascii="Times New Roman" w:hAnsi="Times New Roman" w:cs="Times New Roman"/>
                    <w:sz w:val="18"/>
                    <w:szCs w:val="18"/>
                    <w:lang w:val="en-US" w:eastAsia="zh-CN"/>
                  </w:rPr>
                  <w:t>-</w:t>
                </w:r>
                <w:r>
                  <w:rPr>
                    <w:rFonts w:hint="default" w:ascii="Times New Roman" w:hAnsi="Times New Roman" w:cs="Times New Roman"/>
                    <w:sz w:val="18"/>
                    <w:szCs w:val="18"/>
                  </w:rPr>
                  <w:t>77,215.90</w:t>
                </w: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4deac8941f8344f99337c17d7e8feb6f"/>
                <w:id w:val="5675"/>
              </w:sdtPr>
              <w:sdtContent>
                <w:tc>
                  <w:tcPr>
                    <w:tcW w:w="2291" w:type="dxa"/>
                  </w:tcPr>
                  <w:p>
                    <w:pPr>
                      <w:rPr>
                        <w:sz w:val="18"/>
                        <w:szCs w:val="18"/>
                      </w:rPr>
                    </w:pPr>
                    <w:r>
                      <w:rPr>
                        <w:rFonts w:hint="eastAsia"/>
                        <w:sz w:val="18"/>
                        <w:szCs w:val="18"/>
                      </w:rPr>
                      <w:t>2</w:t>
                    </w:r>
                    <w:r>
                      <w:rPr>
                        <w:sz w:val="18"/>
                        <w:szCs w:val="18"/>
                      </w:rPr>
                      <w:t>．对所有者（或股东）的分配</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f58a7e98f194ea88a1175d96b9527b1"/>
                <w:id w:val="5676"/>
              </w:sdtPr>
              <w:sdtContent>
                <w:tc>
                  <w:tcPr>
                    <w:tcW w:w="2291" w:type="dxa"/>
                  </w:tcPr>
                  <w:p>
                    <w:pPr>
                      <w:rPr>
                        <w:sz w:val="18"/>
                        <w:szCs w:val="18"/>
                      </w:rPr>
                    </w:pPr>
                    <w:r>
                      <w:rPr>
                        <w:rFonts w:hint="eastAsia"/>
                        <w:sz w:val="18"/>
                        <w:szCs w:val="18"/>
                      </w:rPr>
                      <w:t>3</w:t>
                    </w:r>
                    <w:r>
                      <w:rPr>
                        <w:sz w:val="18"/>
                        <w:szCs w:val="18"/>
                      </w:rPr>
                      <w:t>．其他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8938fb7f04ef4f54b6183645ffa42f40"/>
                <w:id w:val="5677"/>
              </w:sdtPr>
              <w:sdtContent>
                <w:tc>
                  <w:tcPr>
                    <w:tcW w:w="2291"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805f473e3b5c4efd99b4c472dc99ddb5"/>
                <w:id w:val="5678"/>
              </w:sdtPr>
              <w:sdtContent>
                <w:tc>
                  <w:tcPr>
                    <w:tcW w:w="2291" w:type="dxa"/>
                  </w:tcPr>
                  <w:p>
                    <w:pPr>
                      <w:rPr>
                        <w:sz w:val="18"/>
                        <w:szCs w:val="18"/>
                      </w:rPr>
                    </w:pPr>
                    <w:r>
                      <w:rPr>
                        <w:sz w:val="18"/>
                        <w:szCs w:val="18"/>
                      </w:rPr>
                      <w:t>1．资本公积转增资本（或股本）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2dd17db22d54e02ba5942412d96f3ac"/>
                <w:id w:val="5679"/>
              </w:sdtPr>
              <w:sdtContent>
                <w:tc>
                  <w:tcPr>
                    <w:tcW w:w="2291" w:type="dxa"/>
                  </w:tcPr>
                  <w:p>
                    <w:pPr>
                      <w:rPr>
                        <w:sz w:val="18"/>
                        <w:szCs w:val="18"/>
                      </w:rPr>
                    </w:pPr>
                    <w:r>
                      <w:rPr>
                        <w:sz w:val="18"/>
                        <w:szCs w:val="18"/>
                      </w:rPr>
                      <w:t>2．盈余公积转增资本（或股本）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tag w:val="_PLD_de8855f6aaf94578a33d614865e23362"/>
                <w:id w:val="5680"/>
              </w:sdtPr>
              <w:sdtContent>
                <w:tc>
                  <w:tcPr>
                    <w:tcW w:w="2291" w:type="dxa"/>
                  </w:tcPr>
                  <w:p>
                    <w:pPr>
                      <w:rPr>
                        <w:sz w:val="18"/>
                        <w:szCs w:val="18"/>
                      </w:rPr>
                    </w:pPr>
                    <w:r>
                      <w:rPr>
                        <w:sz w:val="18"/>
                        <w:szCs w:val="18"/>
                      </w:rPr>
                      <w:t>3．盈余公积弥补亏损</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91" w:type="dxa"/>
              </w:tcPr>
              <w:sdt>
                <w:sdtPr>
                  <w:rPr>
                    <w:sz w:val="18"/>
                    <w:szCs w:val="18"/>
                  </w:rPr>
                  <w:tag w:val="_PLD_0a2eca501c544dfc9dfd8d666c32970b"/>
                  <w:id w:val="5681"/>
                </w:sdtPr>
                <w:sdtEndPr>
                  <w:rPr>
                    <w:sz w:val="18"/>
                    <w:szCs w:val="18"/>
                  </w:rPr>
                </w:sdtEndPr>
                <w:sdtContent>
                  <w:p>
                    <w:r>
                      <w:rPr>
                        <w:sz w:val="18"/>
                        <w:szCs w:val="18"/>
                      </w:rPr>
                      <w:t>4．设定受益计划变动额结转留存收益</w:t>
                    </w:r>
                  </w:p>
                </w:sdtContent>
              </w:sdt>
            </w:tc>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2291" w:type="dxa"/>
              </w:tcPr>
              <w:sdt>
                <w:sdtPr>
                  <w:rPr>
                    <w:sz w:val="18"/>
                    <w:szCs w:val="18"/>
                  </w:rPr>
                  <w:tag w:val="_PLD_e2c794a3876347288864cf2ea4ed53e5"/>
                  <w:id w:val="5682"/>
                </w:sdtPr>
                <w:sdtEndPr>
                  <w:rPr>
                    <w:sz w:val="18"/>
                    <w:szCs w:val="18"/>
                  </w:rPr>
                </w:sdtEndPr>
                <w:sdtContent>
                  <w:p>
                    <w:pPr>
                      <w:rPr>
                        <w:sz w:val="18"/>
                        <w:szCs w:val="18"/>
                      </w:rPr>
                    </w:pPr>
                    <w:r>
                      <w:rPr>
                        <w:sz w:val="18"/>
                        <w:szCs w:val="18"/>
                      </w:rPr>
                      <w:t>5．其他综合收益结转留存收益</w:t>
                    </w:r>
                  </w:p>
                </w:sdtContent>
              </w:sdt>
            </w:tc>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91" w:type="dxa"/>
              </w:tcPr>
              <w:sdt>
                <w:sdtPr>
                  <w:rPr>
                    <w:sz w:val="18"/>
                    <w:szCs w:val="18"/>
                  </w:rPr>
                  <w:tag w:val="_PLD_921b15a12ec54658b00654a6a398aa0c"/>
                  <w:id w:val="5683"/>
                </w:sdtPr>
                <w:sdtEndPr>
                  <w:rPr>
                    <w:sz w:val="18"/>
                    <w:szCs w:val="18"/>
                  </w:rPr>
                </w:sdtEndPr>
                <w:sdtContent>
                  <w:p>
                    <w:r>
                      <w:rPr>
                        <w:sz w:val="18"/>
                        <w:szCs w:val="18"/>
                      </w:rPr>
                      <w:t>6．其他</w:t>
                    </w:r>
                  </w:p>
                </w:sdtContent>
              </w:sdt>
            </w:tc>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ea236cbce24c48eabfeb2f3f4a19c5a8"/>
                <w:id w:val="5684"/>
              </w:sdtPr>
              <w:sdtContent>
                <w:tc>
                  <w:tcPr>
                    <w:tcW w:w="2291" w:type="dxa"/>
                    <w:vAlign w:val="center"/>
                  </w:tcPr>
                  <w:p>
                    <w:pPr>
                      <w:rPr>
                        <w:sz w:val="18"/>
                        <w:szCs w:val="18"/>
                      </w:rPr>
                    </w:pPr>
                    <w:r>
                      <w:rPr>
                        <w:rFonts w:hint="eastAsia"/>
                        <w:sz w:val="18"/>
                        <w:szCs w:val="18"/>
                      </w:rPr>
                      <w:t>（五）专项储备</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798cf6aa8f24816a06eab77e71e6a42"/>
                <w:id w:val="5685"/>
              </w:sdtPr>
              <w:sdtContent>
                <w:tc>
                  <w:tcPr>
                    <w:tcW w:w="2291" w:type="dxa"/>
                    <w:vAlign w:val="center"/>
                  </w:tcPr>
                  <w:p>
                    <w:pPr>
                      <w:rPr>
                        <w:sz w:val="18"/>
                        <w:szCs w:val="18"/>
                      </w:rPr>
                    </w:pPr>
                    <w:r>
                      <w:rPr>
                        <w:rFonts w:hint="eastAsia"/>
                        <w:sz w:val="18"/>
                        <w:szCs w:val="18"/>
                      </w:rPr>
                      <w:t>1．本期提取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94f6f5256724757ad52c27b29a0bb7d"/>
                <w:id w:val="5686"/>
              </w:sdtPr>
              <w:sdtContent>
                <w:tc>
                  <w:tcPr>
                    <w:tcW w:w="2291" w:type="dxa"/>
                    <w:vAlign w:val="center"/>
                  </w:tcPr>
                  <w:p>
                    <w:pPr>
                      <w:rPr>
                        <w:sz w:val="18"/>
                        <w:szCs w:val="18"/>
                      </w:rPr>
                    </w:pPr>
                    <w:r>
                      <w:rPr>
                        <w:rFonts w:hint="eastAsia"/>
                        <w:sz w:val="18"/>
                        <w:szCs w:val="18"/>
                      </w:rPr>
                      <w:t>2．本期使用</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633049a29464fd58ed8f9bdc82f6c7b"/>
                <w:id w:val="5687"/>
              </w:sdtPr>
              <w:sdtContent>
                <w:tc>
                  <w:tcPr>
                    <w:tcW w:w="2291" w:type="dxa"/>
                  </w:tcPr>
                  <w:p>
                    <w:pPr>
                      <w:rPr>
                        <w:sz w:val="18"/>
                        <w:szCs w:val="18"/>
                      </w:rPr>
                    </w:pPr>
                    <w:r>
                      <w:rPr>
                        <w:rFonts w:hint="eastAsia"/>
                        <w:sz w:val="18"/>
                        <w:szCs w:val="18"/>
                      </w:rPr>
                      <w:t>（六）其他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cs="Times New Roman"/>
                    <w:sz w:val="18"/>
                    <w:szCs w:val="18"/>
                  </w:rPr>
                </w:pPr>
              </w:p>
            </w:tc>
            <w:tc>
              <w:tcPr>
                <w:tcW w:w="1620" w:type="dxa"/>
                <w:vAlign w:val="center"/>
              </w:tcPr>
              <w:p>
                <w:pPr>
                  <w:jc w:val="right"/>
                  <w:rPr>
                    <w:rFonts w:hint="default" w:ascii="Times New Roman" w:hAnsi="Times New Roman" w:cs="Times New Roman"/>
                    <w:sz w:val="18"/>
                    <w:szCs w:val="18"/>
                  </w:rPr>
                </w:pPr>
              </w:p>
            </w:tc>
            <w:tc>
              <w:tcPr>
                <w:tcW w:w="1844" w:type="dxa"/>
                <w:vAlign w:val="center"/>
              </w:tcPr>
              <w:p>
                <w:pPr>
                  <w:jc w:val="right"/>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d209cea233c428da026233fffdd75cf"/>
                <w:id w:val="5688"/>
              </w:sdtPr>
              <w:sdtContent>
                <w:tc>
                  <w:tcPr>
                    <w:tcW w:w="2291" w:type="dxa"/>
                  </w:tcPr>
                  <w:p>
                    <w:pPr>
                      <w:rPr>
                        <w:sz w:val="18"/>
                        <w:szCs w:val="18"/>
                      </w:rPr>
                    </w:pPr>
                    <w:r>
                      <w:rPr>
                        <w:sz w:val="18"/>
                        <w:szCs w:val="18"/>
                      </w:rPr>
                      <w:t>四、本期期末余额</w:t>
                    </w:r>
                  </w:p>
                </w:tc>
              </w:sdtContent>
            </w:sdt>
            <w:tc>
              <w:tcPr>
                <w:tcW w:w="2005"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63" w:type="dxa"/>
                <w:tcBorders>
                  <w:left w:val="single" w:color="auto" w:sz="4" w:space="0"/>
                  <w:right w:val="single" w:color="auto" w:sz="4" w:space="0"/>
                </w:tcBorders>
                <w:vAlign w:val="center"/>
              </w:tcPr>
              <w:p>
                <w:pPr>
                  <w:jc w:val="right"/>
                  <w:rPr>
                    <w:rFonts w:hint="default" w:ascii="Times New Roman" w:hAnsi="Times New Roman" w:eastAsia="宋体" w:cs="Times New Roman"/>
                    <w:sz w:val="18"/>
                    <w:szCs w:val="18"/>
                    <w:lang w:eastAsia="zh-CN"/>
                  </w:rPr>
                </w:pPr>
              </w:p>
            </w:tc>
            <w:tc>
              <w:tcPr>
                <w:tcW w:w="1037"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886" w:type="dxa"/>
                <w:tcBorders>
                  <w:left w:val="single" w:color="auto" w:sz="4" w:space="0"/>
                </w:tcBorders>
                <w:vAlign w:val="center"/>
              </w:tcPr>
              <w:p>
                <w:pPr>
                  <w:jc w:val="right"/>
                  <w:rPr>
                    <w:rFonts w:hint="default" w:ascii="Times New Roman" w:hAnsi="Times New Roman" w:cs="Times New Roman"/>
                    <w:sz w:val="18"/>
                    <w:szCs w:val="18"/>
                  </w:rPr>
                </w:pPr>
              </w:p>
            </w:tc>
            <w:tc>
              <w:tcPr>
                <w:tcW w:w="1569"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lang w:eastAsia="zh-CN"/>
                  </w:rPr>
                  <w:t>579,271,389.07</w:t>
                </w:r>
              </w:p>
            </w:tc>
            <w:tc>
              <w:tcPr>
                <w:tcW w:w="695" w:type="dxa"/>
                <w:vAlign w:val="center"/>
              </w:tcPr>
              <w:p>
                <w:pPr>
                  <w:jc w:val="right"/>
                  <w:rPr>
                    <w:rFonts w:hint="default" w:ascii="Times New Roman" w:hAnsi="Times New Roman" w:cs="Times New Roman"/>
                    <w:sz w:val="18"/>
                    <w:szCs w:val="18"/>
                  </w:rPr>
                </w:pPr>
              </w:p>
            </w:tc>
            <w:tc>
              <w:tcPr>
                <w:tcW w:w="681" w:type="dxa"/>
                <w:vAlign w:val="center"/>
              </w:tcPr>
              <w:p>
                <w:pPr>
                  <w:jc w:val="right"/>
                  <w:rPr>
                    <w:rFonts w:hint="default" w:ascii="Times New Roman" w:hAnsi="Times New Roman" w:cs="Times New Roman"/>
                    <w:sz w:val="18"/>
                    <w:szCs w:val="18"/>
                  </w:rPr>
                </w:pPr>
              </w:p>
            </w:tc>
            <w:tc>
              <w:tcPr>
                <w:tcW w:w="628" w:type="dxa"/>
                <w:vAlign w:val="center"/>
              </w:tcPr>
              <w:p>
                <w:pPr>
                  <w:jc w:val="right"/>
                  <w:rPr>
                    <w:rFonts w:hint="default" w:ascii="Times New Roman" w:hAnsi="Times New Roman" w:cs="Times New Roman"/>
                    <w:sz w:val="18"/>
                    <w:szCs w:val="18"/>
                  </w:rPr>
                </w:pPr>
              </w:p>
            </w:tc>
            <w:tc>
              <w:tcPr>
                <w:tcW w:w="1527" w:type="dxa"/>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color w:val="auto"/>
                    <w:sz w:val="18"/>
                    <w:szCs w:val="18"/>
                    <w:lang w:eastAsia="zh-CN"/>
                  </w:rPr>
                  <w:t>217,403,035.33</w:t>
                </w:r>
              </w:p>
            </w:tc>
            <w:tc>
              <w:tcPr>
                <w:tcW w:w="1620" w:type="dxa"/>
                <w:vAlign w:val="center"/>
              </w:tcPr>
              <w:p>
                <w:pPr>
                  <w:jc w:val="right"/>
                  <w:rPr>
                    <w:rFonts w:hint="default" w:ascii="Times New Roman" w:hAnsi="Times New Roman" w:eastAsia="宋体" w:cs="Times New Roman"/>
                    <w:sz w:val="18"/>
                    <w:szCs w:val="18"/>
                    <w:lang w:eastAsia="zh-CN"/>
                  </w:rPr>
                </w:pPr>
                <w:r>
                  <w:rPr>
                    <w:rFonts w:hint="eastAsia" w:ascii="Times New Roman" w:hAnsi="Times New Roman" w:cs="Times New Roman"/>
                    <w:color w:val="auto"/>
                    <w:sz w:val="18"/>
                    <w:szCs w:val="18"/>
                    <w:lang w:eastAsia="zh-CN"/>
                  </w:rPr>
                  <w:t>660,948,470.73</w:t>
                </w:r>
              </w:p>
            </w:tc>
            <w:tc>
              <w:tcPr>
                <w:tcW w:w="184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2,007,622,895.13</w:t>
                </w:r>
              </w:p>
            </w:tc>
          </w:tr>
        </w:tbl>
        <w:p/>
        <w:p/>
        <w:p/>
        <w:p/>
        <w:p/>
        <w:p>
          <w:pPr>
            <w:rPr>
              <w:szCs w:val="21"/>
            </w:rPr>
          </w:pPr>
        </w:p>
        <w:p>
          <w:pPr>
            <w:rPr>
              <w:szCs w:val="21"/>
            </w:rPr>
          </w:pPr>
        </w:p>
        <w:tbl>
          <w:tblPr>
            <w:tblStyle w:val="37"/>
            <w:tblW w:w="15573" w:type="dxa"/>
            <w:tblInd w:w="-71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91"/>
            <w:gridCol w:w="2005"/>
            <w:gridCol w:w="763"/>
            <w:gridCol w:w="982"/>
            <w:gridCol w:w="955"/>
            <w:gridCol w:w="1555"/>
            <w:gridCol w:w="695"/>
            <w:gridCol w:w="736"/>
            <w:gridCol w:w="600"/>
            <w:gridCol w:w="1514"/>
            <w:gridCol w:w="1704"/>
            <w:gridCol w:w="17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91" w:type="dxa"/>
                <w:vMerge w:val="restart"/>
                <w:vAlign w:val="center"/>
              </w:tcPr>
              <w:sdt>
                <w:sdtPr>
                  <w:rPr>
                    <w:rFonts w:hint="eastAsia"/>
                    <w:sz w:val="18"/>
                    <w:szCs w:val="18"/>
                  </w:rPr>
                  <w:tag w:val="_PLD_64a794ab75214f6d9d66748804bee4e8"/>
                  <w:id w:val="26427"/>
                </w:sdtPr>
                <w:sdtEndPr>
                  <w:rPr>
                    <w:rFonts w:hint="eastAsia"/>
                    <w:sz w:val="18"/>
                    <w:szCs w:val="18"/>
                  </w:rPr>
                </w:sdtEndPr>
                <w:sdtContent>
                  <w:p>
                    <w:pPr>
                      <w:adjustRightInd w:val="0"/>
                      <w:snapToGrid w:val="0"/>
                      <w:jc w:val="center"/>
                      <w:rPr>
                        <w:sz w:val="18"/>
                        <w:szCs w:val="18"/>
                      </w:rPr>
                    </w:pPr>
                    <w:r>
                      <w:rPr>
                        <w:rFonts w:hint="eastAsia"/>
                        <w:sz w:val="18"/>
                        <w:szCs w:val="18"/>
                      </w:rPr>
                      <w:t>项目</w:t>
                    </w:r>
                  </w:p>
                </w:sdtContent>
              </w:sdt>
            </w:tc>
            <w:tc>
              <w:tcPr>
                <w:tcW w:w="13282" w:type="dxa"/>
                <w:gridSpan w:val="11"/>
              </w:tcPr>
              <w:p>
                <w:pPr>
                  <w:adjustRightInd w:val="0"/>
                  <w:snapToGrid w:val="0"/>
                  <w:jc w:val="center"/>
                  <w:rPr>
                    <w:sz w:val="18"/>
                  </w:rPr>
                </w:pPr>
                <w:r>
                  <w:rPr>
                    <w:rFonts w:hint="default" w:ascii="Times New Roman" w:hAnsi="Times New Roman" w:cs="Times New Roman"/>
                    <w:sz w:val="18"/>
                  </w:rPr>
                  <w:t xml:space="preserve"> </w:t>
                </w:r>
                <w:sdt>
                  <w:sdtPr>
                    <w:rPr>
                      <w:rFonts w:hint="default" w:ascii="Times New Roman" w:hAnsi="Times New Roman" w:cs="Times New Roman"/>
                      <w:sz w:val="18"/>
                    </w:rPr>
                    <w:tag w:val="_PLD_6226137cffd442dfb505b8cfe7d1f423"/>
                    <w:id w:val="26428"/>
                  </w:sdtPr>
                  <w:sdtEndPr>
                    <w:rPr>
                      <w:rFonts w:hint="default" w:ascii="Times New Roman" w:hAnsi="Times New Roman" w:cs="Times New Roman"/>
                      <w:sz w:val="18"/>
                    </w:rPr>
                  </w:sdtEndPr>
                  <w:sdtContent>
                    <w:r>
                      <w:rPr>
                        <w:rFonts w:hint="default" w:ascii="Times New Roman" w:hAnsi="Times New Roman" w:cs="Times New Roman"/>
                        <w:sz w:val="18"/>
                      </w:rPr>
                      <w:t>2022年度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291" w:type="dxa"/>
                <w:vMerge w:val="continue"/>
              </w:tcPr>
              <w:p>
                <w:pPr>
                  <w:adjustRightInd w:val="0"/>
                  <w:snapToGrid w:val="0"/>
                  <w:rPr>
                    <w:sz w:val="18"/>
                    <w:szCs w:val="18"/>
                  </w:rPr>
                </w:pPr>
              </w:p>
            </w:tc>
            <w:sdt>
              <w:sdtPr>
                <w:tag w:val="_PLD_e0e316f064db43a38ddec14c349b4dfa"/>
                <w:id w:val="26429"/>
              </w:sdtPr>
              <w:sdtContent>
                <w:tc>
                  <w:tcPr>
                    <w:tcW w:w="2005" w:type="dxa"/>
                    <w:vMerge w:val="restart"/>
                    <w:tcBorders>
                      <w:right w:val="single" w:color="auto" w:sz="4" w:space="0"/>
                    </w:tcBorders>
                    <w:vAlign w:val="center"/>
                  </w:tcPr>
                  <w:p>
                    <w:pPr>
                      <w:adjustRightInd w:val="0"/>
                      <w:snapToGrid w:val="0"/>
                      <w:jc w:val="center"/>
                      <w:rPr>
                        <w:sz w:val="18"/>
                        <w:szCs w:val="18"/>
                      </w:rPr>
                    </w:pPr>
                    <w:r>
                      <w:rPr>
                        <w:sz w:val="18"/>
                        <w:szCs w:val="18"/>
                      </w:rPr>
                      <w:t>实收资本 (或股本)</w:t>
                    </w:r>
                  </w:p>
                </w:tc>
              </w:sdtContent>
            </w:sdt>
            <w:sdt>
              <w:sdtPr>
                <w:tag w:val="_PLD_2c82747108ee4c518651265b45dbebcd"/>
                <w:id w:val="26430"/>
              </w:sdtPr>
              <w:sdtContent>
                <w:tc>
                  <w:tcPr>
                    <w:tcW w:w="2700"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c459549b516242be83fce2e92cc794e6"/>
                <w:id w:val="26431"/>
              </w:sdtPr>
              <w:sdtContent>
                <w:tc>
                  <w:tcPr>
                    <w:tcW w:w="1555" w:type="dxa"/>
                    <w:vMerge w:val="restart"/>
                    <w:vAlign w:val="center"/>
                  </w:tcPr>
                  <w:p>
                    <w:pPr>
                      <w:adjustRightInd w:val="0"/>
                      <w:snapToGrid w:val="0"/>
                      <w:jc w:val="center"/>
                      <w:rPr>
                        <w:sz w:val="18"/>
                        <w:szCs w:val="18"/>
                      </w:rPr>
                    </w:pPr>
                    <w:r>
                      <w:rPr>
                        <w:sz w:val="18"/>
                        <w:szCs w:val="18"/>
                      </w:rPr>
                      <w:t>资本公积</w:t>
                    </w:r>
                  </w:p>
                </w:tc>
              </w:sdtContent>
            </w:sdt>
            <w:sdt>
              <w:sdtPr>
                <w:tag w:val="_PLD_9979085a666a4b7a9ee698268b0bb615"/>
                <w:id w:val="26432"/>
              </w:sdtPr>
              <w:sdtContent>
                <w:tc>
                  <w:tcPr>
                    <w:tcW w:w="695" w:type="dxa"/>
                    <w:vMerge w:val="restart"/>
                    <w:vAlign w:val="center"/>
                  </w:tcPr>
                  <w:p>
                    <w:pPr>
                      <w:adjustRightInd w:val="0"/>
                      <w:snapToGrid w:val="0"/>
                      <w:jc w:val="center"/>
                      <w:rPr>
                        <w:sz w:val="18"/>
                        <w:szCs w:val="18"/>
                      </w:rPr>
                    </w:pPr>
                    <w:r>
                      <w:rPr>
                        <w:sz w:val="18"/>
                        <w:szCs w:val="18"/>
                      </w:rPr>
                      <w:t>减：库存股</w:t>
                    </w:r>
                  </w:p>
                </w:tc>
              </w:sdtContent>
            </w:sdt>
            <w:sdt>
              <w:sdtPr>
                <w:tag w:val="_PLD_3b870c2efbdc421980e0e6ed21bc828a"/>
                <w:id w:val="26433"/>
              </w:sdtPr>
              <w:sdtContent>
                <w:tc>
                  <w:tcPr>
                    <w:tcW w:w="736" w:type="dxa"/>
                    <w:vMerge w:val="restart"/>
                    <w:vAlign w:val="center"/>
                  </w:tcPr>
                  <w:p>
                    <w:pPr>
                      <w:jc w:val="center"/>
                      <w:rPr>
                        <w:sz w:val="18"/>
                        <w:szCs w:val="18"/>
                      </w:rPr>
                    </w:pPr>
                    <w:r>
                      <w:rPr>
                        <w:rFonts w:hint="eastAsia"/>
                        <w:sz w:val="18"/>
                        <w:szCs w:val="18"/>
                      </w:rPr>
                      <w:t>其他综合收益</w:t>
                    </w:r>
                  </w:p>
                </w:tc>
              </w:sdtContent>
            </w:sdt>
            <w:sdt>
              <w:sdtPr>
                <w:tag w:val="_PLD_68a9918174cf4752ad67388e59bb3c51"/>
                <w:id w:val="26434"/>
              </w:sdtPr>
              <w:sdtContent>
                <w:tc>
                  <w:tcPr>
                    <w:tcW w:w="600"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ddda9b1710646a5811c9efb65bf8703"/>
                <w:id w:val="26435"/>
              </w:sdtPr>
              <w:sdtContent>
                <w:tc>
                  <w:tcPr>
                    <w:tcW w:w="1514" w:type="dxa"/>
                    <w:vMerge w:val="restart"/>
                    <w:vAlign w:val="center"/>
                  </w:tcPr>
                  <w:p>
                    <w:pPr>
                      <w:adjustRightInd w:val="0"/>
                      <w:snapToGrid w:val="0"/>
                      <w:jc w:val="center"/>
                      <w:rPr>
                        <w:sz w:val="18"/>
                        <w:szCs w:val="18"/>
                      </w:rPr>
                    </w:pPr>
                    <w:r>
                      <w:rPr>
                        <w:sz w:val="18"/>
                        <w:szCs w:val="18"/>
                      </w:rPr>
                      <w:t>盈余公积</w:t>
                    </w:r>
                  </w:p>
                </w:tc>
              </w:sdtContent>
            </w:sdt>
            <w:sdt>
              <w:sdtPr>
                <w:tag w:val="_PLD_d210b1f3e63743b7b7ad078da7c00997"/>
                <w:id w:val="26436"/>
              </w:sdtPr>
              <w:sdtContent>
                <w:tc>
                  <w:tcPr>
                    <w:tcW w:w="1704" w:type="dxa"/>
                    <w:vMerge w:val="restart"/>
                    <w:vAlign w:val="center"/>
                  </w:tcPr>
                  <w:p>
                    <w:pPr>
                      <w:adjustRightInd w:val="0"/>
                      <w:snapToGrid w:val="0"/>
                      <w:jc w:val="center"/>
                      <w:rPr>
                        <w:sz w:val="18"/>
                        <w:szCs w:val="18"/>
                      </w:rPr>
                    </w:pPr>
                    <w:r>
                      <w:rPr>
                        <w:sz w:val="18"/>
                        <w:szCs w:val="18"/>
                      </w:rPr>
                      <w:t>未分配利润</w:t>
                    </w:r>
                  </w:p>
                </w:tc>
              </w:sdtContent>
            </w:sdt>
            <w:sdt>
              <w:sdtPr>
                <w:tag w:val="_PLD_d0efa115b304401592a693cab0f3a46a"/>
                <w:id w:val="26437"/>
              </w:sdtPr>
              <w:sdtContent>
                <w:tc>
                  <w:tcPr>
                    <w:tcW w:w="1773"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291" w:type="dxa"/>
                <w:vMerge w:val="continue"/>
              </w:tcPr>
              <w:p>
                <w:pPr>
                  <w:adjustRightInd w:val="0"/>
                  <w:snapToGrid w:val="0"/>
                  <w:rPr>
                    <w:sz w:val="18"/>
                    <w:szCs w:val="18"/>
                  </w:rPr>
                </w:pPr>
              </w:p>
            </w:tc>
            <w:tc>
              <w:tcPr>
                <w:tcW w:w="2005" w:type="dxa"/>
                <w:vMerge w:val="continue"/>
                <w:tcBorders>
                  <w:right w:val="single" w:color="auto" w:sz="4" w:space="0"/>
                </w:tcBorders>
              </w:tcPr>
              <w:p>
                <w:pPr>
                  <w:adjustRightInd w:val="0"/>
                  <w:snapToGrid w:val="0"/>
                  <w:jc w:val="center"/>
                  <w:rPr>
                    <w:sz w:val="18"/>
                    <w:szCs w:val="18"/>
                  </w:rPr>
                </w:pPr>
              </w:p>
            </w:tc>
            <w:sdt>
              <w:sdtPr>
                <w:tag w:val="_PLD_f219b4732c3e4bd5a67b8c298432fd3d"/>
                <w:id w:val="26438"/>
              </w:sdtPr>
              <w:sdtContent>
                <w:tc>
                  <w:tcPr>
                    <w:tcW w:w="763"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9c8ca36c728447658d99fee93d742edf"/>
                <w:id w:val="26439"/>
              </w:sdtPr>
              <w:sdtContent>
                <w:tc>
                  <w:tcPr>
                    <w:tcW w:w="982"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d053abd77b574111883b8fafe3a173d2"/>
                <w:id w:val="26440"/>
              </w:sdtPr>
              <w:sdtContent>
                <w:tc>
                  <w:tcPr>
                    <w:tcW w:w="955"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555" w:type="dxa"/>
                <w:vMerge w:val="continue"/>
              </w:tcPr>
              <w:p>
                <w:pPr>
                  <w:adjustRightInd w:val="0"/>
                  <w:snapToGrid w:val="0"/>
                  <w:jc w:val="center"/>
                  <w:rPr>
                    <w:sz w:val="18"/>
                    <w:szCs w:val="18"/>
                  </w:rPr>
                </w:pPr>
              </w:p>
            </w:tc>
            <w:tc>
              <w:tcPr>
                <w:tcW w:w="695" w:type="dxa"/>
                <w:vMerge w:val="continue"/>
              </w:tcPr>
              <w:p>
                <w:pPr>
                  <w:adjustRightInd w:val="0"/>
                  <w:snapToGrid w:val="0"/>
                  <w:jc w:val="center"/>
                  <w:rPr>
                    <w:sz w:val="18"/>
                    <w:szCs w:val="18"/>
                  </w:rPr>
                </w:pPr>
              </w:p>
            </w:tc>
            <w:tc>
              <w:tcPr>
                <w:tcW w:w="736" w:type="dxa"/>
                <w:vMerge w:val="continue"/>
              </w:tcPr>
              <w:p>
                <w:pPr>
                  <w:jc w:val="center"/>
                  <w:rPr>
                    <w:sz w:val="18"/>
                    <w:szCs w:val="18"/>
                  </w:rPr>
                </w:pPr>
              </w:p>
            </w:tc>
            <w:tc>
              <w:tcPr>
                <w:tcW w:w="600" w:type="dxa"/>
                <w:vMerge w:val="continue"/>
              </w:tcPr>
              <w:p>
                <w:pPr>
                  <w:adjustRightInd w:val="0"/>
                  <w:snapToGrid w:val="0"/>
                  <w:jc w:val="center"/>
                  <w:rPr>
                    <w:sz w:val="18"/>
                    <w:szCs w:val="18"/>
                  </w:rPr>
                </w:pPr>
              </w:p>
            </w:tc>
            <w:tc>
              <w:tcPr>
                <w:tcW w:w="1514" w:type="dxa"/>
                <w:vMerge w:val="continue"/>
              </w:tcPr>
              <w:p>
                <w:pPr>
                  <w:adjustRightInd w:val="0"/>
                  <w:snapToGrid w:val="0"/>
                  <w:jc w:val="center"/>
                  <w:rPr>
                    <w:sz w:val="18"/>
                    <w:szCs w:val="18"/>
                  </w:rPr>
                </w:pPr>
              </w:p>
            </w:tc>
            <w:tc>
              <w:tcPr>
                <w:tcW w:w="1704" w:type="dxa"/>
                <w:vMerge w:val="continue"/>
              </w:tcPr>
              <w:p>
                <w:pPr>
                  <w:adjustRightInd w:val="0"/>
                  <w:snapToGrid w:val="0"/>
                  <w:jc w:val="center"/>
                  <w:rPr>
                    <w:sz w:val="18"/>
                    <w:szCs w:val="18"/>
                  </w:rPr>
                </w:pPr>
              </w:p>
            </w:tc>
            <w:tc>
              <w:tcPr>
                <w:tcW w:w="1773" w:type="dxa"/>
                <w:vMerge w:val="continue"/>
              </w:tcPr>
              <w:p>
                <w:pPr>
                  <w:adjustRightInd w:val="0"/>
                  <w:snapToGrid w:val="0"/>
                  <w:jc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b9f68f704bb4acfae62b3d3cbf0d790"/>
                <w:id w:val="26441"/>
              </w:sdtPr>
              <w:sdtContent>
                <w:tc>
                  <w:tcPr>
                    <w:tcW w:w="2291" w:type="dxa"/>
                  </w:tcPr>
                  <w:p>
                    <w:pPr>
                      <w:rPr>
                        <w:sz w:val="18"/>
                        <w:szCs w:val="18"/>
                      </w:rPr>
                    </w:pPr>
                    <w:r>
                      <w:rPr>
                        <w:sz w:val="18"/>
                        <w:szCs w:val="18"/>
                      </w:rPr>
                      <w:t>一、上年</w:t>
                    </w:r>
                    <w:r>
                      <w:rPr>
                        <w:rFonts w:hint="eastAsia"/>
                        <w:sz w:val="18"/>
                        <w:szCs w:val="18"/>
                      </w:rPr>
                      <w:t>年</w:t>
                    </w:r>
                    <w:r>
                      <w:rPr>
                        <w:sz w:val="18"/>
                        <w:szCs w:val="18"/>
                      </w:rPr>
                      <w:t>末余额</w:t>
                    </w:r>
                  </w:p>
                </w:tc>
              </w:sdtContent>
            </w:sdt>
            <w:tc>
              <w:tcPr>
                <w:tcW w:w="2005"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55" w:type="dxa"/>
                <w:tcBorders>
                  <w:lef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217,325,819.43</w:t>
                </w:r>
              </w:p>
            </w:tc>
            <w:tc>
              <w:tcPr>
                <w:tcW w:w="170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694,795,482.03</w:t>
                </w:r>
              </w:p>
            </w:tc>
            <w:tc>
              <w:tcPr>
                <w:tcW w:w="1773"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2,041,392,690.53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f7c284bf05bc4bb48bad7c818c157aa9"/>
                <w:id w:val="26442"/>
              </w:sdtPr>
              <w:sdtContent>
                <w:tc>
                  <w:tcPr>
                    <w:tcW w:w="2291" w:type="dxa"/>
                  </w:tcPr>
                  <w:p>
                    <w:pPr>
                      <w:rPr>
                        <w:sz w:val="18"/>
                        <w:szCs w:val="18"/>
                      </w:rPr>
                    </w:pPr>
                    <w:r>
                      <w:rPr>
                        <w:sz w:val="18"/>
                        <w:szCs w:val="18"/>
                      </w:rPr>
                      <w:t>加：会计政策变更</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55" w:type="dxa"/>
                <w:tcBorders>
                  <w:left w:val="single" w:color="auto" w:sz="4" w:space="0"/>
                </w:tcBorders>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84d86ae618141938210b68f81aeafe0"/>
                <w:id w:val="26443"/>
              </w:sdtPr>
              <w:sdtContent>
                <w:tc>
                  <w:tcPr>
                    <w:tcW w:w="2291" w:type="dxa"/>
                  </w:tcPr>
                  <w:p>
                    <w:pPr>
                      <w:ind w:firstLine="420" w:firstLineChars="200"/>
                      <w:rPr>
                        <w:sz w:val="18"/>
                        <w:szCs w:val="18"/>
                      </w:rPr>
                    </w:pPr>
                    <w:r>
                      <w:rPr>
                        <w:sz w:val="18"/>
                        <w:szCs w:val="18"/>
                      </w:rPr>
                      <w:t>前期差错更正</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55" w:type="dxa"/>
                <w:tcBorders>
                  <w:left w:val="single" w:color="auto" w:sz="4" w:space="0"/>
                </w:tcBorders>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ae13695d51ae418dba0671a598b76ffb"/>
                <w:id w:val="26444"/>
              </w:sdtPr>
              <w:sdtContent>
                <w:tc>
                  <w:tcPr>
                    <w:tcW w:w="2291" w:type="dxa"/>
                  </w:tcPr>
                  <w:p>
                    <w:pPr>
                      <w:ind w:firstLine="420" w:firstLineChars="200"/>
                      <w:rPr>
                        <w:sz w:val="18"/>
                        <w:szCs w:val="18"/>
                      </w:rPr>
                    </w:pPr>
                    <w:r>
                      <w:rPr>
                        <w:rFonts w:hint="eastAsia"/>
                        <w:sz w:val="18"/>
                        <w:szCs w:val="18"/>
                      </w:rPr>
                      <w:t>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55" w:type="dxa"/>
                <w:tcBorders>
                  <w:left w:val="single" w:color="auto" w:sz="4" w:space="0"/>
                </w:tcBorders>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841ceb909a14a2abffb67eeb3435694"/>
                <w:id w:val="26445"/>
              </w:sdtPr>
              <w:sdtContent>
                <w:tc>
                  <w:tcPr>
                    <w:tcW w:w="2291"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2005"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1555" w:type="dxa"/>
                <w:tcBorders>
                  <w:lef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217,325,819.43</w:t>
                </w:r>
              </w:p>
            </w:tc>
            <w:tc>
              <w:tcPr>
                <w:tcW w:w="1704"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694,795,482.03 </w:t>
                </w:r>
              </w:p>
            </w:tc>
            <w:tc>
              <w:tcPr>
                <w:tcW w:w="177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2,041,392,690.53 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302909e63784410386a25e7b0c2339c7"/>
                <w:id w:val="26446"/>
              </w:sdtPr>
              <w:sdtContent>
                <w:tc>
                  <w:tcPr>
                    <w:tcW w:w="2291"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-34,541,954.41 </w:t>
                </w:r>
              </w:p>
            </w:tc>
            <w:tc>
              <w:tcPr>
                <w:tcW w:w="177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-34,541,954.41 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5b6c314fb34fb6b0c677b992754d48"/>
                <w:id w:val="26447"/>
              </w:sdtPr>
              <w:sdtContent>
                <w:tc>
                  <w:tcPr>
                    <w:tcW w:w="2291" w:type="dxa"/>
                  </w:tcPr>
                  <w:p>
                    <w:pPr>
                      <w:rPr>
                        <w:sz w:val="18"/>
                        <w:szCs w:val="18"/>
                      </w:rPr>
                    </w:pPr>
                    <w:r>
                      <w:rPr>
                        <w:rFonts w:hint="eastAsia"/>
                        <w:sz w:val="18"/>
                        <w:szCs w:val="18"/>
                      </w:rPr>
                      <w:t>（一）综合收益总额</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-34,541,954.41 </w:t>
                </w:r>
              </w:p>
            </w:tc>
            <w:tc>
              <w:tcPr>
                <w:tcW w:w="1773" w:type="dxa"/>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-34,541,954.41 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f759bcfeb8744e79a2c846685bf5bf7"/>
                <w:id w:val="26448"/>
              </w:sdtPr>
              <w:sdtContent>
                <w:tc>
                  <w:tcPr>
                    <w:tcW w:w="2291"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ca71442ff4441faa275f28e1236357f"/>
                <w:id w:val="26449"/>
              </w:sdtPr>
              <w:sdtContent>
                <w:tc>
                  <w:tcPr>
                    <w:tcW w:w="2291" w:type="dxa"/>
                  </w:tcPr>
                  <w:p>
                    <w:pPr>
                      <w:rPr>
                        <w:sz w:val="18"/>
                        <w:szCs w:val="18"/>
                      </w:rPr>
                    </w:pPr>
                    <w:r>
                      <w:rPr>
                        <w:rFonts w:hint="eastAsia"/>
                        <w:sz w:val="18"/>
                        <w:szCs w:val="18"/>
                      </w:rPr>
                      <w:t>1．所有者投入的普通股</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c9217abeeb6e46ac8415ee33ff13a461"/>
                <w:id w:val="26450"/>
              </w:sdtPr>
              <w:sdtContent>
                <w:tc>
                  <w:tcPr>
                    <w:tcW w:w="2291" w:type="dxa"/>
                  </w:tcPr>
                  <w:p>
                    <w:pPr>
                      <w:rPr>
                        <w:sz w:val="18"/>
                        <w:szCs w:val="18"/>
                      </w:rPr>
                    </w:pPr>
                    <w:r>
                      <w:rPr>
                        <w:rFonts w:hint="eastAsia"/>
                        <w:sz w:val="18"/>
                        <w:szCs w:val="18"/>
                      </w:rPr>
                      <w:t>2．其他权益工具持有者投入资本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b62e12f39a04fa3a5e1647793ab3e5e"/>
                <w:id w:val="26451"/>
              </w:sdtPr>
              <w:sdtContent>
                <w:tc>
                  <w:tcPr>
                    <w:tcW w:w="2291" w:type="dxa"/>
                  </w:tcPr>
                  <w:p>
                    <w:pPr>
                      <w:rPr>
                        <w:sz w:val="18"/>
                        <w:szCs w:val="18"/>
                      </w:rPr>
                    </w:pPr>
                    <w:r>
                      <w:rPr>
                        <w:rFonts w:hint="eastAsia"/>
                        <w:sz w:val="18"/>
                        <w:szCs w:val="18"/>
                      </w:rPr>
                      <w:t>3</w:t>
                    </w:r>
                    <w:r>
                      <w:rPr>
                        <w:sz w:val="18"/>
                        <w:szCs w:val="18"/>
                      </w:rPr>
                      <w:t>．股份支付计入所有者权益的金额</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09a354c759244b168ea7e28904658be8"/>
                <w:id w:val="26452"/>
              </w:sdtPr>
              <w:sdtContent>
                <w:tc>
                  <w:tcPr>
                    <w:tcW w:w="2291" w:type="dxa"/>
                  </w:tcPr>
                  <w:p>
                    <w:pPr>
                      <w:rPr>
                        <w:sz w:val="18"/>
                        <w:szCs w:val="18"/>
                      </w:rPr>
                    </w:pPr>
                    <w:r>
                      <w:rPr>
                        <w:rFonts w:hint="eastAsia"/>
                        <w:sz w:val="18"/>
                        <w:szCs w:val="18"/>
                      </w:rPr>
                      <w:t>4</w:t>
                    </w:r>
                    <w:r>
                      <w:rPr>
                        <w:sz w:val="18"/>
                        <w:szCs w:val="18"/>
                      </w:rPr>
                      <w:t>．其他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806901fee79c40f688fa2f02ab1d596d"/>
                <w:id w:val="26453"/>
              </w:sdtPr>
              <w:sdtContent>
                <w:tc>
                  <w:tcPr>
                    <w:tcW w:w="2291" w:type="dxa"/>
                  </w:tcPr>
                  <w:p>
                    <w:pPr>
                      <w:rPr>
                        <w:sz w:val="18"/>
                        <w:szCs w:val="18"/>
                      </w:rPr>
                    </w:pPr>
                    <w:r>
                      <w:rPr>
                        <w:sz w:val="18"/>
                        <w:szCs w:val="18"/>
                      </w:rPr>
                      <w:t>（</w:t>
                    </w:r>
                    <w:r>
                      <w:rPr>
                        <w:rFonts w:hint="eastAsia"/>
                        <w:sz w:val="18"/>
                        <w:szCs w:val="18"/>
                      </w:rPr>
                      <w:t>三</w:t>
                    </w:r>
                    <w:r>
                      <w:rPr>
                        <w:sz w:val="18"/>
                        <w:szCs w:val="18"/>
                      </w:rPr>
                      <w:t>）利润分配</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5936c2d33e22476597644c98158847c6"/>
                <w:id w:val="26454"/>
              </w:sdtPr>
              <w:sdtContent>
                <w:tc>
                  <w:tcPr>
                    <w:tcW w:w="2291" w:type="dxa"/>
                  </w:tcPr>
                  <w:p>
                    <w:pPr>
                      <w:rPr>
                        <w:sz w:val="18"/>
                        <w:szCs w:val="18"/>
                      </w:rPr>
                    </w:pPr>
                    <w:r>
                      <w:rPr>
                        <w:sz w:val="18"/>
                        <w:szCs w:val="18"/>
                      </w:rPr>
                      <w:t>1．提取盈余公积</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10044b047ac492dbe47ba7aedd16fad"/>
                <w:id w:val="26455"/>
              </w:sdtPr>
              <w:sdtContent>
                <w:tc>
                  <w:tcPr>
                    <w:tcW w:w="2291" w:type="dxa"/>
                  </w:tcPr>
                  <w:p>
                    <w:pPr>
                      <w:rPr>
                        <w:sz w:val="18"/>
                        <w:szCs w:val="18"/>
                      </w:rPr>
                    </w:pPr>
                    <w:r>
                      <w:rPr>
                        <w:rFonts w:hint="eastAsia"/>
                        <w:sz w:val="18"/>
                        <w:szCs w:val="18"/>
                      </w:rPr>
                      <w:t>2</w:t>
                    </w:r>
                    <w:r>
                      <w:rPr>
                        <w:sz w:val="18"/>
                        <w:szCs w:val="18"/>
                      </w:rPr>
                      <w:t>．对所有者（或股东）的分配</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65affb7384874e8facf889d04ab4dd24"/>
                <w:id w:val="26456"/>
              </w:sdtPr>
              <w:sdtContent>
                <w:tc>
                  <w:tcPr>
                    <w:tcW w:w="2291" w:type="dxa"/>
                  </w:tcPr>
                  <w:p>
                    <w:pPr>
                      <w:rPr>
                        <w:sz w:val="18"/>
                        <w:szCs w:val="18"/>
                      </w:rPr>
                    </w:pPr>
                    <w:r>
                      <w:rPr>
                        <w:rFonts w:hint="eastAsia"/>
                        <w:sz w:val="18"/>
                        <w:szCs w:val="18"/>
                      </w:rPr>
                      <w:t>3</w:t>
                    </w:r>
                    <w:r>
                      <w:rPr>
                        <w:sz w:val="18"/>
                        <w:szCs w:val="18"/>
                      </w:rPr>
                      <w:t>．其他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ed39015638e6485d9ecad98bd3aaac6b"/>
                <w:id w:val="26457"/>
              </w:sdtPr>
              <w:sdtContent>
                <w:tc>
                  <w:tcPr>
                    <w:tcW w:w="2291"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16ddc46b3a95453788bdcaaebfae99fa"/>
                <w:id w:val="26458"/>
              </w:sdtPr>
              <w:sdtContent>
                <w:tc>
                  <w:tcPr>
                    <w:tcW w:w="2291" w:type="dxa"/>
                  </w:tcPr>
                  <w:p>
                    <w:pPr>
                      <w:rPr>
                        <w:sz w:val="18"/>
                        <w:szCs w:val="18"/>
                      </w:rPr>
                    </w:pPr>
                    <w:r>
                      <w:rPr>
                        <w:sz w:val="18"/>
                        <w:szCs w:val="18"/>
                      </w:rPr>
                      <w:t>1．资本公积转增资本（或股本）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f2b4bbca85e4693b990e3e25811eeab"/>
                <w:id w:val="26459"/>
              </w:sdtPr>
              <w:sdtContent>
                <w:tc>
                  <w:tcPr>
                    <w:tcW w:w="2291" w:type="dxa"/>
                  </w:tcPr>
                  <w:p>
                    <w:pPr>
                      <w:rPr>
                        <w:sz w:val="18"/>
                        <w:szCs w:val="18"/>
                      </w:rPr>
                    </w:pPr>
                    <w:r>
                      <w:rPr>
                        <w:sz w:val="18"/>
                        <w:szCs w:val="18"/>
                      </w:rPr>
                      <w:t>2．盈余公积转增资本（或股本）</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15d6c710562e41cc9b0f916bb42a3ecd"/>
                <w:id w:val="26460"/>
              </w:sdtPr>
              <w:sdtContent>
                <w:tc>
                  <w:tcPr>
                    <w:tcW w:w="2291" w:type="dxa"/>
                  </w:tcPr>
                  <w:p>
                    <w:pPr>
                      <w:rPr>
                        <w:sz w:val="18"/>
                        <w:szCs w:val="18"/>
                      </w:rPr>
                    </w:pPr>
                    <w:r>
                      <w:rPr>
                        <w:sz w:val="18"/>
                        <w:szCs w:val="18"/>
                      </w:rPr>
                      <w:t>3．盈余公积弥补亏损</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91" w:type="dxa"/>
              </w:tcPr>
              <w:sdt>
                <w:sdtPr>
                  <w:rPr>
                    <w:sz w:val="18"/>
                    <w:szCs w:val="18"/>
                  </w:rPr>
                  <w:tag w:val="_PLD_f4cb17050ad540c1b6765bbc5ef1d185"/>
                  <w:id w:val="26461"/>
                </w:sdtPr>
                <w:sdtEndPr>
                  <w:rPr>
                    <w:sz w:val="18"/>
                    <w:szCs w:val="18"/>
                  </w:rPr>
                </w:sdtEndPr>
                <w:sdtContent>
                  <w:p>
                    <w:r>
                      <w:rPr>
                        <w:sz w:val="18"/>
                        <w:szCs w:val="18"/>
                      </w:rPr>
                      <w:t>4．设定受益计划变动额结转留存收益</w:t>
                    </w:r>
                  </w:p>
                </w:sdtContent>
              </w:sdt>
            </w:tc>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91" w:type="dxa"/>
              </w:tcPr>
              <w:sdt>
                <w:sdtPr>
                  <w:rPr>
                    <w:sz w:val="18"/>
                    <w:szCs w:val="18"/>
                  </w:rPr>
                  <w:tag w:val="_PLD_d570b02e3d674dc1a938a4710387119c"/>
                  <w:id w:val="26462"/>
                </w:sdtPr>
                <w:sdtEndPr>
                  <w:rPr>
                    <w:sz w:val="18"/>
                    <w:szCs w:val="18"/>
                  </w:rPr>
                </w:sdtEndPr>
                <w:sdtContent>
                  <w:p>
                    <w:pPr>
                      <w:rPr>
                        <w:sz w:val="18"/>
                        <w:szCs w:val="18"/>
                      </w:rPr>
                    </w:pPr>
                    <w:r>
                      <w:rPr>
                        <w:sz w:val="18"/>
                        <w:szCs w:val="18"/>
                      </w:rPr>
                      <w:t>5．其他综合收益结转留存收益</w:t>
                    </w:r>
                  </w:p>
                </w:sdtContent>
              </w:sdt>
            </w:tc>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91" w:type="dxa"/>
              </w:tcPr>
              <w:sdt>
                <w:sdtPr>
                  <w:rPr>
                    <w:sz w:val="18"/>
                    <w:szCs w:val="18"/>
                  </w:rPr>
                  <w:tag w:val="_PLD_a5cd874c23c44b928dffd9bc4a74c38d"/>
                  <w:id w:val="26463"/>
                </w:sdtPr>
                <w:sdtEndPr>
                  <w:rPr>
                    <w:sz w:val="18"/>
                    <w:szCs w:val="18"/>
                  </w:rPr>
                </w:sdtEndPr>
                <w:sdtContent>
                  <w:p>
                    <w:r>
                      <w:rPr>
                        <w:sz w:val="18"/>
                        <w:szCs w:val="18"/>
                      </w:rPr>
                      <w:t>6．其他</w:t>
                    </w:r>
                  </w:p>
                </w:sdtContent>
              </w:sdt>
            </w:tc>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6b13ecec0044452bf1609cb679a8ac5"/>
                <w:id w:val="26464"/>
              </w:sdtPr>
              <w:sdtContent>
                <w:tc>
                  <w:tcPr>
                    <w:tcW w:w="2291" w:type="dxa"/>
                    <w:vAlign w:val="center"/>
                  </w:tcPr>
                  <w:p>
                    <w:pPr>
                      <w:rPr>
                        <w:sz w:val="18"/>
                        <w:szCs w:val="18"/>
                      </w:rPr>
                    </w:pPr>
                    <w:r>
                      <w:rPr>
                        <w:rFonts w:hint="eastAsia"/>
                        <w:sz w:val="18"/>
                        <w:szCs w:val="18"/>
                      </w:rPr>
                      <w:t>（五）专项储备</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cbede54ab9934d5ea45cda3f59593c28"/>
                <w:id w:val="26465"/>
              </w:sdtPr>
              <w:sdtContent>
                <w:tc>
                  <w:tcPr>
                    <w:tcW w:w="2291" w:type="dxa"/>
                    <w:vAlign w:val="center"/>
                  </w:tcPr>
                  <w:p>
                    <w:pPr>
                      <w:rPr>
                        <w:sz w:val="18"/>
                        <w:szCs w:val="18"/>
                      </w:rPr>
                    </w:pPr>
                    <w:r>
                      <w:rPr>
                        <w:rFonts w:hint="eastAsia"/>
                        <w:sz w:val="18"/>
                        <w:szCs w:val="18"/>
                      </w:rPr>
                      <w:t>1．本期提取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7900abe823e94277be091b3f1c7a54a5"/>
                <w:id w:val="26466"/>
              </w:sdtPr>
              <w:sdtContent>
                <w:tc>
                  <w:tcPr>
                    <w:tcW w:w="2291" w:type="dxa"/>
                    <w:vAlign w:val="center"/>
                  </w:tcPr>
                  <w:p>
                    <w:pPr>
                      <w:rPr>
                        <w:sz w:val="18"/>
                        <w:szCs w:val="18"/>
                      </w:rPr>
                    </w:pPr>
                    <w:r>
                      <w:rPr>
                        <w:rFonts w:hint="eastAsia"/>
                        <w:sz w:val="18"/>
                        <w:szCs w:val="18"/>
                      </w:rPr>
                      <w:t>2．本期使用</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7cf659a70268475ea7233d8b82adad5a"/>
                <w:id w:val="26467"/>
              </w:sdtPr>
              <w:sdtContent>
                <w:tc>
                  <w:tcPr>
                    <w:tcW w:w="2291" w:type="dxa"/>
                  </w:tcPr>
                  <w:p>
                    <w:pPr>
                      <w:rPr>
                        <w:sz w:val="18"/>
                        <w:szCs w:val="18"/>
                      </w:rPr>
                    </w:pPr>
                    <w:r>
                      <w:rPr>
                        <w:rFonts w:hint="eastAsia"/>
                        <w:sz w:val="18"/>
                        <w:szCs w:val="18"/>
                      </w:rPr>
                      <w:t>（六）其他</w:t>
                    </w:r>
                  </w:p>
                </w:tc>
              </w:sdtContent>
            </w:sdt>
            <w:tc>
              <w:tcPr>
                <w:tcW w:w="2005" w:type="dxa"/>
                <w:tcBorders>
                  <w:right w:val="single" w:color="auto" w:sz="4" w:space="0"/>
                </w:tcBorders>
                <w:vAlign w:val="center"/>
              </w:tcPr>
              <w:p>
                <w:pPr>
                  <w:jc w:val="right"/>
                  <w:rPr>
                    <w:rFonts w:hint="default" w:ascii="Times New Roman" w:hAnsi="Times New Roman" w:cs="Times New Roman"/>
                    <w:sz w:val="18"/>
                    <w:szCs w:val="18"/>
                  </w:rPr>
                </w:pP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cs="Times New Roman"/>
                    <w:sz w:val="18"/>
                    <w:szCs w:val="18"/>
                  </w:rPr>
                </w:pP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cs="Times New Roman"/>
                    <w:sz w:val="18"/>
                    <w:szCs w:val="18"/>
                  </w:rPr>
                </w:pPr>
              </w:p>
            </w:tc>
            <w:tc>
              <w:tcPr>
                <w:tcW w:w="1704" w:type="dxa"/>
                <w:vAlign w:val="center"/>
              </w:tcPr>
              <w:p>
                <w:pPr>
                  <w:jc w:val="right"/>
                  <w:rPr>
                    <w:rFonts w:hint="default" w:ascii="Times New Roman" w:hAnsi="Times New Roman" w:cs="Times New Roman"/>
                    <w:sz w:val="18"/>
                    <w:szCs w:val="18"/>
                  </w:rPr>
                </w:pPr>
              </w:p>
            </w:tc>
            <w:tc>
              <w:tcPr>
                <w:tcW w:w="1773" w:type="dxa"/>
                <w:vAlign w:val="center"/>
              </w:tcPr>
              <w:p>
                <w:pPr>
                  <w:jc w:val="right"/>
                  <w:rPr>
                    <w:rFonts w:hint="default"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eacf5a90be4746898504dda5c8a2c0"/>
                <w:id w:val="26468"/>
              </w:sdtPr>
              <w:sdtContent>
                <w:tc>
                  <w:tcPr>
                    <w:tcW w:w="2291" w:type="dxa"/>
                  </w:tcPr>
                  <w:p>
                    <w:pPr>
                      <w:rPr>
                        <w:sz w:val="18"/>
                        <w:szCs w:val="18"/>
                      </w:rPr>
                    </w:pPr>
                    <w:r>
                      <w:rPr>
                        <w:sz w:val="18"/>
                        <w:szCs w:val="18"/>
                      </w:rPr>
                      <w:t>四、本期期末余额</w:t>
                    </w:r>
                  </w:p>
                </w:tc>
              </w:sdtContent>
            </w:sdt>
            <w:tc>
              <w:tcPr>
                <w:tcW w:w="2005" w:type="dxa"/>
                <w:tcBorders>
                  <w:right w:val="single" w:color="auto" w:sz="4" w:space="0"/>
                </w:tcBorders>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550,000,000.00</w:t>
                </w:r>
              </w:p>
            </w:tc>
            <w:tc>
              <w:tcPr>
                <w:tcW w:w="763"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82" w:type="dxa"/>
                <w:tcBorders>
                  <w:left w:val="single" w:color="auto" w:sz="4" w:space="0"/>
                  <w:right w:val="single" w:color="auto" w:sz="4" w:space="0"/>
                </w:tcBorders>
                <w:vAlign w:val="center"/>
              </w:tcPr>
              <w:p>
                <w:pPr>
                  <w:jc w:val="right"/>
                  <w:rPr>
                    <w:rFonts w:hint="default" w:ascii="Times New Roman" w:hAnsi="Times New Roman" w:cs="Times New Roman"/>
                    <w:sz w:val="18"/>
                    <w:szCs w:val="18"/>
                  </w:rPr>
                </w:pPr>
              </w:p>
            </w:tc>
            <w:tc>
              <w:tcPr>
                <w:tcW w:w="955" w:type="dxa"/>
                <w:tcBorders>
                  <w:left w:val="single" w:color="auto" w:sz="4" w:space="0"/>
                </w:tcBorders>
                <w:vAlign w:val="center"/>
              </w:tcPr>
              <w:p>
                <w:pPr>
                  <w:jc w:val="right"/>
                  <w:rPr>
                    <w:rFonts w:hint="default" w:ascii="Times New Roman" w:hAnsi="Times New Roman" w:cs="Times New Roman"/>
                    <w:sz w:val="18"/>
                    <w:szCs w:val="18"/>
                  </w:rPr>
                </w:pPr>
              </w:p>
            </w:tc>
            <w:tc>
              <w:tcPr>
                <w:tcW w:w="1555"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579,271,389.07</w:t>
                </w:r>
              </w:p>
            </w:tc>
            <w:tc>
              <w:tcPr>
                <w:tcW w:w="695" w:type="dxa"/>
                <w:vAlign w:val="center"/>
              </w:tcPr>
              <w:p>
                <w:pPr>
                  <w:jc w:val="right"/>
                  <w:rPr>
                    <w:rFonts w:hint="default" w:ascii="Times New Roman" w:hAnsi="Times New Roman" w:cs="Times New Roman"/>
                    <w:sz w:val="18"/>
                    <w:szCs w:val="18"/>
                  </w:rPr>
                </w:pPr>
              </w:p>
            </w:tc>
            <w:tc>
              <w:tcPr>
                <w:tcW w:w="736" w:type="dxa"/>
                <w:vAlign w:val="center"/>
              </w:tcPr>
              <w:p>
                <w:pPr>
                  <w:jc w:val="right"/>
                  <w:rPr>
                    <w:rFonts w:hint="default" w:ascii="Times New Roman" w:hAnsi="Times New Roman" w:cs="Times New Roman"/>
                    <w:sz w:val="18"/>
                    <w:szCs w:val="18"/>
                  </w:rPr>
                </w:pPr>
              </w:p>
            </w:tc>
            <w:tc>
              <w:tcPr>
                <w:tcW w:w="600" w:type="dxa"/>
                <w:vAlign w:val="center"/>
              </w:tcPr>
              <w:p>
                <w:pPr>
                  <w:jc w:val="right"/>
                  <w:rPr>
                    <w:rFonts w:hint="default" w:ascii="Times New Roman" w:hAnsi="Times New Roman" w:cs="Times New Roman"/>
                    <w:sz w:val="18"/>
                    <w:szCs w:val="18"/>
                  </w:rPr>
                </w:pPr>
              </w:p>
            </w:tc>
            <w:tc>
              <w:tcPr>
                <w:tcW w:w="151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217,325,819.43</w:t>
                </w:r>
              </w:p>
            </w:tc>
            <w:tc>
              <w:tcPr>
                <w:tcW w:w="1704"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660,253,527.62</w:t>
                </w:r>
              </w:p>
            </w:tc>
            <w:tc>
              <w:tcPr>
                <w:tcW w:w="1773" w:type="dxa"/>
                <w:vAlign w:val="center"/>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2,006,850,736.12</w:t>
                </w:r>
              </w:p>
            </w:tc>
          </w:tr>
        </w:tbl>
        <w:p/>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26469"/>
              <w:placeholder>
                <w:docPart w:val="GBC22222222222222222222222222222"/>
              </w:placeholder>
              <w:text/>
            </w:sdtPr>
            <w:sdtEndPr>
              <w:rPr>
                <w:rFonts w:hint="eastAsia"/>
                <w:szCs w:val="21"/>
              </w:rPr>
            </w:sdtEndPr>
            <w:sdtContent>
              <w:r>
                <w:rPr>
                  <w:rFonts w:hint="eastAsia"/>
                  <w:szCs w:val="21"/>
                  <w:lang w:eastAsia="zh-CN"/>
                </w:rPr>
                <w:t>林钻煌</w:t>
              </w:r>
            </w:sdtContent>
          </w:sdt>
          <w:r>
            <w:rPr>
              <w:rFonts w:hint="eastAsia"/>
              <w:szCs w:val="21"/>
            </w:rPr>
            <w:t xml:space="preserve"> </w:t>
          </w:r>
          <w:r>
            <w:rPr>
              <w:rFonts w:hint="eastAsia"/>
              <w:szCs w:val="21"/>
              <w:lang w:val="en-US" w:eastAsia="zh-CN"/>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26470"/>
              <w:placeholder>
                <w:docPart w:val="GBC22222222222222222222222222222"/>
              </w:placeholder>
              <w:text/>
            </w:sdtPr>
            <w:sdtEndPr>
              <w:rPr>
                <w:rFonts w:hint="eastAsia"/>
                <w:szCs w:val="21"/>
              </w:rPr>
            </w:sdtEndPr>
            <w:sdtContent>
              <w:r>
                <w:rPr>
                  <w:rFonts w:hint="eastAsia"/>
                  <w:szCs w:val="21"/>
                  <w:lang w:eastAsia="zh-CN"/>
                </w:rPr>
                <w:t>王为民</w:t>
              </w:r>
            </w:sdtContent>
          </w:sdt>
          <w:r>
            <w:rPr>
              <w:rFonts w:hint="eastAsia"/>
              <w:szCs w:val="21"/>
            </w:rPr>
            <w:t xml:space="preserve"> </w:t>
          </w:r>
          <w:r>
            <w:rPr>
              <w:rFonts w:hint="eastAsia"/>
              <w:szCs w:val="21"/>
              <w:lang w:val="en-US" w:eastAsia="zh-CN"/>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6471"/>
              <w:placeholder>
                <w:docPart w:val="GBC22222222222222222222222222222"/>
              </w:placeholder>
              <w:text/>
            </w:sdtPr>
            <w:sdtEndPr>
              <w:rPr>
                <w:rFonts w:hint="eastAsia"/>
                <w:szCs w:val="21"/>
              </w:rPr>
            </w:sdtEndPr>
            <w:sdtContent>
              <w:r>
                <w:rPr>
                  <w:rFonts w:hint="eastAsia"/>
                  <w:szCs w:val="21"/>
                  <w:lang w:eastAsia="zh-CN"/>
                </w:rPr>
                <w:t>游发禄</w:t>
              </w:r>
            </w:sdtContent>
          </w:sdt>
        </w:p>
      </w:sdtContent>
    </w:sdt>
    <w:p>
      <w:pPr>
        <w:rPr>
          <w:color w:val="FF0000"/>
        </w:rPr>
      </w:pPr>
    </w:p>
    <w:bookmarkEnd w:id="160"/>
    <w:p>
      <w:pPr>
        <w:snapToGrid w:val="0"/>
        <w:spacing w:line="240" w:lineRule="atLeast"/>
        <w:ind w:right="-153" w:rightChars="-73"/>
        <w:rPr>
          <w:b/>
          <w:bCs/>
          <w:color w:val="FF0000"/>
          <w:szCs w:val="21"/>
        </w:rPr>
      </w:pPr>
      <w:bookmarkStart w:id="161" w:name="_Hlk24980162"/>
      <w:bookmarkEnd w:id="161"/>
    </w:p>
    <w:p>
      <w:pPr>
        <w:snapToGrid w:val="0"/>
        <w:spacing w:line="240" w:lineRule="atLeast"/>
        <w:ind w:right="-153" w:rightChars="-73"/>
        <w:rPr>
          <w:b/>
          <w:bCs/>
          <w:color w:val="FF0000"/>
          <w:szCs w:val="21"/>
        </w:rPr>
      </w:pPr>
    </w:p>
    <w:p>
      <w:pPr>
        <w:snapToGrid w:val="0"/>
        <w:spacing w:line="240" w:lineRule="atLeast"/>
        <w:rPr>
          <w:szCs w:val="21"/>
        </w:rPr>
        <w:sectPr>
          <w:pgSz w:w="16838" w:h="11906" w:orient="landscape"/>
          <w:pgMar w:top="1276" w:right="1440" w:bottom="1797" w:left="1525" w:header="856" w:footer="992" w:gutter="0"/>
          <w:cols w:space="425" w:num="1"/>
          <w:docGrid w:linePitch="312" w:charSpace="0"/>
        </w:sectPr>
      </w:pPr>
      <w:bookmarkStart w:id="162" w:name="_Hlk533930396"/>
    </w:p>
    <w:bookmarkEnd w:id="162"/>
    <w:p>
      <w:pPr>
        <w:pStyle w:val="3"/>
        <w:numPr>
          <w:ilvl w:val="0"/>
          <w:numId w:val="60"/>
        </w:numPr>
        <w:rPr>
          <w:rFonts w:ascii="宋体" w:hAnsi="宋体"/>
        </w:rPr>
      </w:pPr>
      <w:r>
        <w:rPr>
          <w:rFonts w:ascii="宋体" w:hAnsi="宋体"/>
        </w:rPr>
        <w:t>公司基本情况</w:t>
      </w:r>
    </w:p>
    <w:p>
      <w:pPr>
        <w:pStyle w:val="229"/>
        <w:numPr>
          <w:ilvl w:val="0"/>
          <w:numId w:val="61"/>
        </w:numPr>
      </w:pPr>
      <w:r>
        <w:rPr>
          <w:rFonts w:hint="eastAsia"/>
        </w:rPr>
        <w:t>公司概况</w:t>
      </w:r>
    </w:p>
    <w:sdt>
      <w:sdtPr>
        <w:rPr>
          <w:rFonts w:hint="eastAsia"/>
          <w:szCs w:val="21"/>
        </w:rPr>
        <w:alias w:val="是否适用：公司概况[双击切换]"/>
        <w:tag w:val="_GBC_7b613deb8c7f4027b73602e5cd1d4a2e"/>
        <w:id w:val="2647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6473"/>
        <w:placeholder>
          <w:docPart w:val="GBC22222222222222222222222222222"/>
        </w:placeholder>
      </w:sdtPr>
      <w:sdtEndPr>
        <w:rPr>
          <w:szCs w:val="21"/>
        </w:rPr>
      </w:sdtEndPr>
      <w:sdtContent>
        <w:p>
          <w:pPr>
            <w:pStyle w:val="237"/>
            <w:widowControl w:val="0"/>
            <w:spacing w:line="400" w:lineRule="exact"/>
            <w:ind w:firstLine="420"/>
            <w:outlineLvl w:val="2"/>
            <w:rPr>
              <w:rFonts w:cs="宋体"/>
              <w:color w:val="000000"/>
              <w:szCs w:val="21"/>
            </w:rPr>
          </w:pPr>
          <w:r>
            <w:rPr>
              <w:rFonts w:hint="eastAsia" w:cs="宋体"/>
              <w:color w:val="000000"/>
              <w:szCs w:val="21"/>
            </w:rPr>
            <w:t>公司名称：柳州两面针股份有限公司</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英文名称：</w:t>
          </w:r>
          <w:r>
            <w:rPr>
              <w:rFonts w:hint="eastAsia" w:ascii="Times New Roman" w:hAnsi="Times New Roman" w:eastAsia="宋体" w:cs="宋体"/>
              <w:color w:val="000000"/>
              <w:kern w:val="2"/>
              <w:szCs w:val="21"/>
            </w:rPr>
            <w:t>LIUZHOULIANGMIANZHENCO</w:t>
          </w:r>
          <w:r>
            <w:rPr>
              <w:rFonts w:ascii="Times New Roman" w:hAnsi="Times New Roman" w:eastAsia="宋体" w:cs="Times New Roman"/>
              <w:color w:val="000000"/>
              <w:kern w:val="2"/>
              <w:szCs w:val="21"/>
            </w:rPr>
            <w:t>.,</w:t>
          </w:r>
          <w:r>
            <w:rPr>
              <w:rFonts w:hint="eastAsia" w:ascii="Times New Roman" w:hAnsi="Times New Roman" w:eastAsia="宋体" w:cs="宋体"/>
              <w:color w:val="000000"/>
              <w:kern w:val="2"/>
              <w:szCs w:val="21"/>
            </w:rPr>
            <w:t>LTD</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注册地址：广西柳州市东环大道</w:t>
          </w:r>
          <w:r>
            <w:rPr>
              <w:rFonts w:hint="eastAsia" w:ascii="Times New Roman" w:hAnsi="Times New Roman" w:eastAsia="宋体" w:cs="宋体"/>
              <w:color w:val="000000"/>
              <w:kern w:val="2"/>
              <w:szCs w:val="21"/>
            </w:rPr>
            <w:t>282</w:t>
          </w:r>
          <w:r>
            <w:rPr>
              <w:rFonts w:hint="eastAsia" w:ascii="宋体" w:hAnsi="宋体" w:eastAsia="宋体" w:cs="宋体"/>
              <w:color w:val="000000"/>
              <w:kern w:val="2"/>
              <w:szCs w:val="21"/>
            </w:rPr>
            <w:t>号</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注册资本：</w:t>
          </w:r>
          <w:r>
            <w:rPr>
              <w:rFonts w:ascii="Times New Roman" w:hAnsi="Times New Roman" w:eastAsia="宋体" w:cs="Times New Roman"/>
              <w:color w:val="000000"/>
              <w:kern w:val="2"/>
              <w:szCs w:val="21"/>
            </w:rPr>
            <w:t>550,000,000.00</w:t>
          </w:r>
          <w:r>
            <w:rPr>
              <w:rFonts w:hint="eastAsia" w:ascii="宋体" w:hAnsi="宋体" w:eastAsia="宋体" w:cs="宋体"/>
              <w:color w:val="000000"/>
              <w:kern w:val="2"/>
              <w:szCs w:val="21"/>
            </w:rPr>
            <w:t>元</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统一社会信用代码：</w:t>
          </w:r>
          <w:r>
            <w:rPr>
              <w:rFonts w:hint="eastAsia" w:ascii="Times New Roman" w:hAnsi="Times New Roman" w:eastAsia="宋体" w:cs="宋体"/>
              <w:color w:val="000000"/>
              <w:kern w:val="2"/>
              <w:szCs w:val="21"/>
            </w:rPr>
            <w:t>914502001982303373</w:t>
          </w:r>
        </w:p>
        <w:p>
          <w:pPr>
            <w:widowControl w:val="0"/>
            <w:autoSpaceDE w:val="0"/>
            <w:autoSpaceDN w:val="0"/>
            <w:adjustRightInd w:val="0"/>
            <w:spacing w:line="400" w:lineRule="exact"/>
            <w:ind w:firstLine="420" w:firstLineChars="200"/>
            <w:jc w:val="both"/>
            <w:rPr>
              <w:rFonts w:ascii="宋体" w:hAnsi="宋体" w:eastAsia="宋体" w:cs="宋体"/>
              <w:color w:val="000000"/>
              <w:kern w:val="2"/>
              <w:szCs w:val="21"/>
            </w:rPr>
          </w:pPr>
          <w:r>
            <w:rPr>
              <w:rFonts w:hint="eastAsia" w:ascii="宋体" w:hAnsi="宋体" w:eastAsia="宋体" w:cs="宋体"/>
              <w:color w:val="000000"/>
              <w:kern w:val="2"/>
              <w:szCs w:val="21"/>
            </w:rPr>
            <w:t>企业法定代表人：林钻煌</w:t>
          </w:r>
        </w:p>
        <w:p>
          <w:pPr>
            <w:pStyle w:val="237"/>
            <w:widowControl w:val="0"/>
            <w:spacing w:line="400" w:lineRule="exact"/>
            <w:ind w:firstLine="422" w:firstLineChars="200"/>
            <w:rPr>
              <w:rFonts w:hint="eastAsia" w:cs="宋体"/>
              <w:b/>
              <w:bCs/>
              <w:color w:val="000000"/>
              <w:szCs w:val="21"/>
            </w:rPr>
          </w:pPr>
          <w:r>
            <w:rPr>
              <w:rFonts w:hint="eastAsia" w:cs="宋体"/>
              <w:b/>
              <w:bCs/>
              <w:color w:val="000000"/>
              <w:szCs w:val="21"/>
            </w:rPr>
            <w:t>（一）公司简介</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柳州两面针股份有限公司（以下简称“本公司”或“公司”）前身为柳州市牙膏厂，1993年经广西壮族自治区经济体制改革委员会桂体改股字[1993]156号文批准，由柳州市牙膏厂独家发起，采取定向募集方式设立为股份有限公司，总股本7,500万元人民币，每股面值1元。</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根据广西壮族自治区经济体制改革委员会桂体改股字[1997]10号文件批复，同意本公司1996年度分红派息方案，即公司向全体股东每10股送红股2股，共送红股1,500万股。至此，本公司总股本为9,000万股。</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2003年11月，经中国证券监督管理委员会证监发行字[2003]136号文核准，本公司向社会公开发行人民币普通股股票6,000万股，并于2004年1月30日在上海证券交易所上市。证券简称为“两面针”，证券代码为“600249”。公开发行后，本公司注册资本为人民币150,000,000.00元。</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经过历年的派送红股、转增股本及增发新股，截止2019年12月31日，本公司累计发行股本总数55,000万股，注册资本为55,000.00万元。。</w:t>
          </w:r>
        </w:p>
        <w:p>
          <w:pPr>
            <w:widowControl w:val="0"/>
            <w:autoSpaceDE w:val="0"/>
            <w:autoSpaceDN w:val="0"/>
            <w:adjustRightInd w:val="0"/>
            <w:spacing w:line="400" w:lineRule="exact"/>
            <w:ind w:firstLine="422" w:firstLineChars="200"/>
            <w:jc w:val="both"/>
            <w:rPr>
              <w:rFonts w:hint="eastAsia" w:ascii="Times New Roman" w:hAnsi="Times New Roman" w:eastAsia="宋体" w:cs="宋体"/>
              <w:b/>
              <w:bCs/>
              <w:color w:val="000000"/>
              <w:kern w:val="2"/>
              <w:sz w:val="21"/>
              <w:szCs w:val="21"/>
            </w:rPr>
          </w:pPr>
          <w:r>
            <w:rPr>
              <w:rFonts w:hint="eastAsia" w:ascii="Times New Roman" w:hAnsi="Times New Roman" w:eastAsia="宋体" w:cs="宋体"/>
              <w:b/>
              <w:bCs/>
              <w:color w:val="000000"/>
              <w:kern w:val="2"/>
              <w:sz w:val="21"/>
              <w:szCs w:val="21"/>
            </w:rPr>
            <w:t>（二）本公司实际控制人</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截至2023年12月31日，广西柳州市产业投资发展集团有限公司（原名称柳州市产业投资有限公司）持有本公司183,360,652股，占公司总股本的33.34%，为公司的实际控制人。</w:t>
          </w:r>
        </w:p>
        <w:p>
          <w:pPr>
            <w:widowControl w:val="0"/>
            <w:autoSpaceDE w:val="0"/>
            <w:autoSpaceDN w:val="0"/>
            <w:adjustRightInd w:val="0"/>
            <w:spacing w:line="400" w:lineRule="exact"/>
            <w:ind w:firstLine="422" w:firstLineChars="200"/>
            <w:jc w:val="both"/>
            <w:rPr>
              <w:rFonts w:hint="eastAsia" w:ascii="Times New Roman" w:hAnsi="Times New Roman" w:eastAsia="宋体" w:cs="宋体"/>
              <w:b/>
              <w:bCs/>
              <w:color w:val="000000"/>
              <w:kern w:val="2"/>
              <w:sz w:val="21"/>
              <w:szCs w:val="21"/>
            </w:rPr>
          </w:pPr>
          <w:r>
            <w:rPr>
              <w:rFonts w:hint="eastAsia" w:ascii="Times New Roman" w:hAnsi="Times New Roman" w:eastAsia="宋体" w:cs="宋体"/>
              <w:b/>
              <w:bCs/>
              <w:color w:val="000000"/>
              <w:kern w:val="2"/>
              <w:sz w:val="21"/>
              <w:szCs w:val="21"/>
            </w:rPr>
            <w:t>（三）公司业务性质和主要经营活动</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公司以日化产业为主营业务，现有业务分为日化及医药二个板块。日化板块主要产品为牙膏（含酒店用品牙膏）、洗涤用品；医药板块主要为药品的生产销售。</w:t>
          </w:r>
        </w:p>
        <w:p>
          <w:pPr>
            <w:widowControl w:val="0"/>
            <w:autoSpaceDE w:val="0"/>
            <w:autoSpaceDN w:val="0"/>
            <w:adjustRightInd w:val="0"/>
            <w:spacing w:line="400" w:lineRule="exact"/>
            <w:ind w:firstLine="422" w:firstLineChars="200"/>
            <w:jc w:val="both"/>
            <w:rPr>
              <w:rFonts w:hint="eastAsia" w:ascii="Times New Roman" w:hAnsi="Times New Roman" w:eastAsia="宋体" w:cs="宋体"/>
              <w:b/>
              <w:bCs/>
              <w:color w:val="000000"/>
              <w:kern w:val="2"/>
              <w:sz w:val="21"/>
              <w:szCs w:val="21"/>
            </w:rPr>
          </w:pPr>
          <w:r>
            <w:rPr>
              <w:rFonts w:hint="eastAsia" w:ascii="Times New Roman" w:hAnsi="Times New Roman" w:eastAsia="宋体" w:cs="宋体"/>
              <w:b/>
              <w:bCs/>
              <w:color w:val="000000"/>
              <w:kern w:val="2"/>
              <w:sz w:val="21"/>
              <w:szCs w:val="21"/>
            </w:rPr>
            <w:t>（四）财务报表的批准报出</w:t>
          </w:r>
        </w:p>
        <w:p>
          <w:pPr>
            <w:widowControl w:val="0"/>
            <w:autoSpaceDE w:val="0"/>
            <w:autoSpaceDN w:val="0"/>
            <w:adjustRightInd w:val="0"/>
            <w:spacing w:line="400" w:lineRule="exact"/>
            <w:ind w:firstLine="420" w:firstLineChars="200"/>
            <w:jc w:val="both"/>
            <w:rPr>
              <w:rFonts w:hint="eastAsia"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rPr>
            <w:t>本财务报表经本公司于2024年3月27日召开的第</w:t>
          </w:r>
          <w:r>
            <w:rPr>
              <w:rFonts w:hint="eastAsia" w:ascii="Times New Roman" w:hAnsi="Times New Roman" w:eastAsia="宋体" w:cs="宋体"/>
              <w:color w:val="000000"/>
              <w:kern w:val="2"/>
              <w:sz w:val="21"/>
              <w:szCs w:val="21"/>
              <w:lang w:val="en-US" w:eastAsia="zh-CN"/>
            </w:rPr>
            <w:t>八</w:t>
          </w:r>
          <w:r>
            <w:rPr>
              <w:rFonts w:hint="eastAsia" w:ascii="Times New Roman" w:hAnsi="Times New Roman" w:eastAsia="宋体" w:cs="宋体"/>
              <w:color w:val="000000"/>
              <w:kern w:val="2"/>
              <w:sz w:val="21"/>
              <w:szCs w:val="21"/>
            </w:rPr>
            <w:t>届董事会第</w:t>
          </w:r>
          <w:r>
            <w:rPr>
              <w:rFonts w:hint="eastAsia" w:ascii="Times New Roman" w:hAnsi="Times New Roman" w:eastAsia="宋体" w:cs="宋体"/>
              <w:color w:val="000000"/>
              <w:kern w:val="2"/>
              <w:sz w:val="21"/>
              <w:szCs w:val="21"/>
              <w:lang w:val="en-US" w:eastAsia="zh-CN"/>
            </w:rPr>
            <w:t>十八</w:t>
          </w:r>
          <w:r>
            <w:rPr>
              <w:rFonts w:hint="eastAsia" w:ascii="Times New Roman" w:hAnsi="Times New Roman" w:eastAsia="宋体" w:cs="宋体"/>
              <w:color w:val="000000"/>
              <w:kern w:val="2"/>
              <w:sz w:val="21"/>
              <w:szCs w:val="21"/>
            </w:rPr>
            <w:t>次会议批准报出。</w:t>
          </w:r>
        </w:p>
        <w:p>
          <w:pPr>
            <w:widowControl w:val="0"/>
            <w:autoSpaceDE w:val="0"/>
            <w:autoSpaceDN w:val="0"/>
            <w:adjustRightInd w:val="0"/>
            <w:spacing w:line="400" w:lineRule="exact"/>
            <w:jc w:val="both"/>
            <w:rPr>
              <w:szCs w:val="21"/>
            </w:rPr>
          </w:pPr>
        </w:p>
      </w:sdtContent>
    </w:sdt>
    <w:p>
      <w:pPr>
        <w:rPr>
          <w:szCs w:val="21"/>
        </w:rPr>
      </w:pPr>
    </w:p>
    <w:p>
      <w:pPr>
        <w:pStyle w:val="3"/>
        <w:numPr>
          <w:ilvl w:val="0"/>
          <w:numId w:val="60"/>
        </w:numPr>
        <w:rPr>
          <w:rFonts w:ascii="宋体" w:hAnsi="宋体"/>
        </w:rPr>
      </w:pPr>
      <w:r>
        <w:rPr>
          <w:rFonts w:hint="eastAsia" w:ascii="宋体" w:hAnsi="宋体"/>
        </w:rPr>
        <w:t>财务报表的编制基础</w:t>
      </w:r>
    </w:p>
    <w:p>
      <w:pPr>
        <w:pStyle w:val="229"/>
        <w:numPr>
          <w:ilvl w:val="0"/>
          <w:numId w:val="62"/>
        </w:numPr>
      </w:pPr>
      <w:r>
        <w:t>编制基础</w:t>
      </w:r>
    </w:p>
    <w:sdt>
      <w:sdtPr>
        <w:rPr>
          <w:rFonts w:hint="eastAsia" w:ascii="Times New Roman" w:hAnsi="Times New Roman" w:eastAsia="宋体" w:cs="宋体"/>
          <w:sz w:val="21"/>
          <w:szCs w:val="21"/>
        </w:rPr>
        <w:alias w:val="财务报表的编制基础"/>
        <w:tag w:val="_GBC_1dc2375ed7ab49628f5badf2d5006405"/>
        <w:id w:val="26474"/>
        <w:placeholder>
          <w:docPart w:val="GBC22222222222222222222222222222"/>
        </w:placeholder>
      </w:sdtPr>
      <w:sdtEndPr>
        <w:rPr>
          <w:rFonts w:hint="eastAsia" w:ascii="Times New Roman" w:hAnsi="Times New Roman" w:eastAsia="宋体" w:cs="宋体"/>
          <w:sz w:val="21"/>
          <w:szCs w:val="21"/>
        </w:rPr>
      </w:sdtEndPr>
      <w:sdtContent>
        <w:p>
          <w:pPr>
            <w:spacing w:line="400" w:lineRule="exact"/>
            <w:ind w:firstLine="420" w:firstLineChars="200"/>
            <w:rPr>
              <w:rFonts w:hint="eastAsia" w:ascii="Times New Roman" w:hAnsi="Times New Roman" w:eastAsia="宋体" w:cs="宋体"/>
              <w:sz w:val="21"/>
              <w:szCs w:val="21"/>
            </w:rPr>
          </w:pPr>
          <w:r>
            <w:rPr>
              <w:rFonts w:hint="eastAsia" w:ascii="Times New Roman" w:hAnsi="Times New Roman" w:eastAsia="宋体" w:cs="宋体"/>
              <w:sz w:val="21"/>
              <w:szCs w:val="21"/>
            </w:rPr>
            <w:t>本公司财务报表以持续经营为编制基础。</w:t>
          </w:r>
        </w:p>
      </w:sdtContent>
    </w:sdt>
    <w:p>
      <w:pPr>
        <w:pStyle w:val="237"/>
        <w:widowControl w:val="0"/>
        <w:spacing w:line="400" w:lineRule="exact"/>
        <w:ind w:firstLine="420" w:firstLineChars="200"/>
        <w:rPr>
          <w:rFonts w:hint="eastAsia" w:ascii="Times New Roman" w:hAnsi="Times New Roman" w:eastAsia="宋体" w:cs="宋体"/>
          <w:sz w:val="21"/>
          <w:szCs w:val="21"/>
        </w:rPr>
      </w:pPr>
      <w:r>
        <w:rPr>
          <w:rFonts w:hint="eastAsia" w:ascii="Times New Roman" w:hAnsi="Times New Roman" w:eastAsia="宋体" w:cs="宋体"/>
          <w:sz w:val="21"/>
          <w:szCs w:val="21"/>
        </w:rPr>
        <w:t>本公司财务报表以持续经营假设为基础，根据实际发生的交易和事项，按照财政部颁布的《企业会计准则——基本准则》和各项具体会计准则、企业会计准则应用指南、企业会计准则解释及其他相关规定（以下合称“企业会计准则”），以及中国证券监督管理委员会《公开发行证券的公司信息披露编报规则第15号——财务报告的一般规定》（2023年修订）的披露规定编制。</w:t>
      </w:r>
    </w:p>
    <w:p>
      <w:pPr>
        <w:pStyle w:val="237"/>
        <w:widowControl w:val="0"/>
        <w:spacing w:line="400" w:lineRule="exact"/>
        <w:ind w:firstLine="420" w:firstLineChars="200"/>
        <w:rPr>
          <w:rFonts w:hint="eastAsia" w:ascii="Times New Roman" w:hAnsi="Times New Roman" w:eastAsia="宋体" w:cs="宋体"/>
          <w:sz w:val="21"/>
          <w:szCs w:val="21"/>
        </w:rPr>
      </w:pPr>
      <w:r>
        <w:rPr>
          <w:rFonts w:hint="eastAsia" w:ascii="Times New Roman" w:hAnsi="Times New Roman" w:eastAsia="宋体" w:cs="宋体"/>
          <w:sz w:val="21"/>
          <w:szCs w:val="21"/>
        </w:rPr>
        <w:t>根据企业会计准则的相关规定，本公司会计核算以权责发生制为基础。除某些金融工具外，本财务报表均以历史成本为计量基础。资产如果发生减值，则按照相关规定计提相应的减值准备。</w:t>
      </w:r>
    </w:p>
    <w:sdt>
      <w:sdtPr>
        <w:rPr>
          <w:rFonts w:ascii="宋体" w:hAnsi="宋体" w:eastAsia="宋体" w:cs="宋体"/>
          <w:kern w:val="0"/>
          <w:sz w:val="21"/>
          <w:szCs w:val="21"/>
          <w:lang w:val="en-US" w:eastAsia="zh-CN" w:bidi="ar-SA"/>
        </w:rPr>
        <w:alias w:val="本年度合并财务报表范围"/>
        <w:tag w:val="_GBC_696c121eead146fba6371fa5b371b2fc"/>
        <w:id w:val="26475"/>
        <w:lock w:val="sdtLocked"/>
      </w:sdtPr>
      <w:sdtEndPr>
        <w:rPr>
          <w:rFonts w:hint="eastAsia" w:ascii="宋体" w:hAnsi="宋体" w:eastAsia="宋体" w:cs="宋体"/>
          <w:kern w:val="0"/>
          <w:sz w:val="21"/>
          <w:szCs w:val="21"/>
          <w:lang w:val="en-US" w:eastAsia="zh-CN" w:bidi="ar-SA"/>
        </w:rPr>
      </w:sdtEndPr>
      <w:sdtContent>
        <w:p>
          <w:pPr>
            <w:spacing w:line="240" w:lineRule="auto"/>
            <w:ind w:firstLine="0" w:firstLineChars="0"/>
            <w:rPr>
              <w:rFonts w:hint="eastAsia" w:ascii="Times New Roman" w:hAnsi="Times New Roman" w:eastAsia="宋体" w:cs="宋体"/>
              <w:sz w:val="21"/>
              <w:szCs w:val="21"/>
            </w:rPr>
          </w:pPr>
        </w:p>
      </w:sdtContent>
    </w:sdt>
    <w:p>
      <w:pPr>
        <w:pStyle w:val="229"/>
        <w:numPr>
          <w:ilvl w:val="0"/>
          <w:numId w:val="62"/>
        </w:numPr>
      </w:pPr>
      <w:r>
        <w:rPr>
          <w:rFonts w:hint="eastAsia"/>
        </w:rPr>
        <w:t>持续经营</w:t>
      </w:r>
    </w:p>
    <w:sdt>
      <w:sdtPr>
        <w:rPr>
          <w:rFonts w:hint="eastAsia"/>
          <w:szCs w:val="21"/>
        </w:rPr>
        <w:alias w:val="是否适用：持续经营[双击切换]"/>
        <w:tag w:val="_GBC_fa7177dc4f164e56b4df7bebc60acf50"/>
        <w:id w:val="26476"/>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eastAsia="宋体" w:cs="宋体"/>
          <w:szCs w:val="21"/>
        </w:rPr>
        <w:alias w:val="持续经营"/>
        <w:tag w:val="_GBC_dc876c24006b428987a041949eb554f3"/>
        <w:id w:val="26477"/>
        <w:placeholder>
          <w:docPart w:val="GBC22222222222222222222222222222"/>
        </w:placeholder>
      </w:sdtPr>
      <w:sdtEndPr>
        <w:rPr>
          <w:rFonts w:hint="eastAsia" w:ascii="宋体" w:hAnsi="宋体" w:eastAsia="宋体" w:cs="宋体"/>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ascii="Times New Roman" w:hAnsi="Times New Roman" w:eastAsia="宋体" w:cs="宋体"/>
              <w:sz w:val="21"/>
              <w:szCs w:val="21"/>
            </w:rPr>
            <w:t>本公司对报告期末起12个月的持续经营能力进行了评价，未发现对持续经营能力产生重大怀疑的事项或情况。因此，本财务报表系在持续经营假设的基础上编制。</w:t>
          </w:r>
        </w:p>
      </w:sdtContent>
    </w:sdt>
    <w:p>
      <w:pPr>
        <w:rPr>
          <w:szCs w:val="21"/>
        </w:rPr>
      </w:pPr>
    </w:p>
    <w:p>
      <w:pPr>
        <w:pStyle w:val="3"/>
        <w:numPr>
          <w:ilvl w:val="0"/>
          <w:numId w:val="60"/>
        </w:numPr>
        <w:rPr>
          <w:rFonts w:ascii="宋体" w:hAnsi="宋体"/>
        </w:rPr>
      </w:pPr>
      <w:r>
        <w:rPr>
          <w:rFonts w:hint="eastAsia" w:ascii="宋体" w:hAnsi="宋体"/>
        </w:rPr>
        <w:t>重</w:t>
      </w:r>
      <w:r>
        <w:rPr>
          <w:rFonts w:ascii="宋体" w:hAnsi="宋体"/>
        </w:rPr>
        <w:t>要会计政策</w:t>
      </w:r>
      <w:r>
        <w:rPr>
          <w:rFonts w:hint="eastAsia" w:ascii="宋体" w:hAnsi="宋体"/>
        </w:rPr>
        <w:t>及</w:t>
      </w:r>
      <w:r>
        <w:rPr>
          <w:rFonts w:ascii="宋体" w:hAnsi="宋体"/>
        </w:rPr>
        <w:t>会计估计</w:t>
      </w:r>
    </w:p>
    <w:p>
      <w:r>
        <w:rPr>
          <w:rFonts w:hint="eastAsia"/>
        </w:rPr>
        <w:t>具体会计政策和会计估计提示：</w:t>
      </w:r>
    </w:p>
    <w:sdt>
      <w:sdtPr>
        <w:alias w:val="是否适用：具体会计政策和会计估计提示[双击切换]"/>
        <w:tag w:val="_GBC_86fd142a599649f8a3574e6ddaba5f71"/>
        <w:id w:val="2647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pPr>
      <w:sdt>
        <w:sdtPr>
          <w:rPr>
            <w:rFonts w:ascii="Times New Roman" w:hAnsi="Times New Roman"/>
            <w:sz w:val="21"/>
          </w:rPr>
          <w:alias w:val="具体会计政策和会计估计提示"/>
          <w:tag w:val="_GBC_caddaeaf0d1a454ab0bede37f0db7782"/>
          <w:id w:val="26479"/>
          <w:placeholder>
            <w:docPart w:val="GBC22222222222222222222222222222"/>
          </w:placeholder>
        </w:sdtPr>
        <w:sdtEndPr>
          <w:rPr>
            <w:rFonts w:ascii="Times New Roman" w:hAnsi="Times New Roman"/>
            <w:color w:val="auto"/>
            <w:sz w:val="21"/>
            <w:highlight w:val="none"/>
          </w:rPr>
        </w:sdtEndPr>
        <w:sdtContent>
          <w:r>
            <w:rPr>
              <w:rFonts w:hint="eastAsia" w:ascii="Times New Roman" w:hAnsi="Times New Roman"/>
              <w:sz w:val="21"/>
            </w:rPr>
            <w:t>本公司根据生产经营特点确定具体会计政策和会计估计，主要体现在“</w:t>
          </w:r>
          <w:r>
            <w:rPr>
              <w:rFonts w:hint="eastAsia" w:ascii="Times New Roman" w:hAnsi="Times New Roman"/>
              <w:color w:val="auto"/>
              <w:sz w:val="21"/>
              <w:highlight w:val="none"/>
            </w:rPr>
            <w:t>五、重要会计政策及会计估计”之“1</w:t>
          </w:r>
          <w:r>
            <w:rPr>
              <w:rFonts w:hint="eastAsia" w:ascii="Times New Roman" w:hAnsi="Times New Roman"/>
              <w:color w:val="auto"/>
              <w:sz w:val="21"/>
              <w:highlight w:val="none"/>
              <w:lang w:val="en-US" w:eastAsia="zh-CN"/>
            </w:rPr>
            <w:t>6</w:t>
          </w:r>
          <w:r>
            <w:rPr>
              <w:rFonts w:hint="eastAsia" w:ascii="Times New Roman" w:hAnsi="Times New Roman"/>
              <w:color w:val="auto"/>
              <w:sz w:val="21"/>
              <w:highlight w:val="none"/>
            </w:rPr>
            <w:t>.存货”、“2</w:t>
          </w:r>
          <w:r>
            <w:rPr>
              <w:rFonts w:hint="eastAsia" w:ascii="Times New Roman" w:hAnsi="Times New Roman"/>
              <w:color w:val="auto"/>
              <w:sz w:val="21"/>
              <w:highlight w:val="none"/>
              <w:lang w:val="en-US" w:eastAsia="zh-CN"/>
            </w:rPr>
            <w:t>1</w:t>
          </w:r>
          <w:r>
            <w:rPr>
              <w:rFonts w:hint="eastAsia" w:ascii="Times New Roman" w:hAnsi="Times New Roman"/>
              <w:color w:val="auto"/>
              <w:sz w:val="21"/>
              <w:highlight w:val="none"/>
            </w:rPr>
            <w:t>.固定资产”、“2</w:t>
          </w:r>
          <w:r>
            <w:rPr>
              <w:rFonts w:hint="eastAsia" w:ascii="Times New Roman" w:hAnsi="Times New Roman"/>
              <w:color w:val="auto"/>
              <w:sz w:val="21"/>
              <w:highlight w:val="none"/>
              <w:lang w:val="en-US" w:eastAsia="zh-CN"/>
            </w:rPr>
            <w:t>6</w:t>
          </w:r>
          <w:r>
            <w:rPr>
              <w:rFonts w:hint="eastAsia" w:ascii="Times New Roman" w:hAnsi="Times New Roman"/>
              <w:color w:val="auto"/>
              <w:sz w:val="21"/>
              <w:highlight w:val="none"/>
            </w:rPr>
            <w:t>.无形资产”、“3</w:t>
          </w:r>
          <w:r>
            <w:rPr>
              <w:rFonts w:hint="eastAsia" w:ascii="Times New Roman" w:hAnsi="Times New Roman"/>
              <w:color w:val="auto"/>
              <w:sz w:val="21"/>
              <w:highlight w:val="none"/>
              <w:lang w:val="en-US" w:eastAsia="zh-CN"/>
            </w:rPr>
            <w:t>4</w:t>
          </w:r>
          <w:r>
            <w:rPr>
              <w:rFonts w:hint="eastAsia" w:ascii="Times New Roman" w:hAnsi="Times New Roman"/>
              <w:color w:val="auto"/>
              <w:sz w:val="21"/>
              <w:highlight w:val="none"/>
            </w:rPr>
            <w:t>.收入”。</w:t>
          </w:r>
        </w:sdtContent>
      </w:sdt>
    </w:p>
    <w:p/>
    <w:p>
      <w:pPr>
        <w:pStyle w:val="229"/>
        <w:numPr>
          <w:ilvl w:val="0"/>
          <w:numId w:val="63"/>
        </w:numPr>
      </w:pPr>
      <w:r>
        <w:t>遵循企业会计准则的声明</w:t>
      </w:r>
    </w:p>
    <w:sdt>
      <w:sdtPr>
        <w:rPr>
          <w:rFonts w:hint="eastAsia"/>
          <w:szCs w:val="21"/>
        </w:rPr>
        <w:alias w:val="会计准则和会计制度"/>
        <w:tag w:val="_GBC_a350b889163a4ef3bb500c021e6a6b47"/>
        <w:id w:val="26480"/>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szCs w:val="21"/>
            </w:rPr>
            <w:t>本公司所编制的财务报表符合企业会计准则的要求，真实、完整地反映了公司的财务状况、经营成果、股东权益变动和现金流量等有关信息。</w:t>
          </w:r>
        </w:p>
      </w:sdtContent>
    </w:sdt>
    <w:p>
      <w:pPr>
        <w:rPr>
          <w:szCs w:val="21"/>
        </w:rPr>
      </w:pPr>
    </w:p>
    <w:p>
      <w:pPr>
        <w:pStyle w:val="229"/>
        <w:numPr>
          <w:ilvl w:val="0"/>
          <w:numId w:val="63"/>
        </w:numPr>
      </w:pPr>
      <w:r>
        <w:t>会计期间</w:t>
      </w:r>
    </w:p>
    <w:sdt>
      <w:sdtPr>
        <w:rPr>
          <w:rFonts w:hint="eastAsia" w:ascii="Times New Roman" w:hAnsi="Times New Roman"/>
          <w:sz w:val="21"/>
          <w:szCs w:val="21"/>
        </w:rPr>
        <w:alias w:val="会计年度"/>
        <w:tag w:val="_GBC_fc896fba50b143f8a06984831f5d5600"/>
        <w:id w:val="26481"/>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ascii="Times New Roman" w:hAnsi="Times New Roman"/>
              <w:sz w:val="21"/>
              <w:szCs w:val="21"/>
            </w:rPr>
            <w:t>本公司会计年度自公历1月1日起至12月31日止。</w:t>
          </w:r>
        </w:p>
      </w:sdtContent>
    </w:sdt>
    <w:p>
      <w:pPr>
        <w:rPr>
          <w:szCs w:val="21"/>
        </w:rPr>
      </w:pPr>
    </w:p>
    <w:p>
      <w:pPr>
        <w:pStyle w:val="229"/>
        <w:numPr>
          <w:ilvl w:val="0"/>
          <w:numId w:val="63"/>
        </w:numPr>
      </w:pPr>
      <w:r>
        <w:rPr>
          <w:rFonts w:hint="eastAsia"/>
        </w:rPr>
        <w:t>营业周期</w:t>
      </w:r>
    </w:p>
    <w:sdt>
      <w:sdtPr>
        <w:rPr>
          <w:rFonts w:hint="eastAsia"/>
          <w:szCs w:val="21"/>
        </w:rPr>
        <w:alias w:val="是否适用：营业周期[双击切换]"/>
        <w:tag w:val="_GBC_41bd09d0a4bd429996597e58a613259e"/>
        <w:id w:val="2648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Times New Roman" w:hAnsi="Times New Roman"/>
          <w:sz w:val="21"/>
          <w:szCs w:val="21"/>
        </w:rPr>
        <w:alias w:val="营业周期"/>
        <w:tag w:val="_GBC_e145e43187d9463889884f48e9e0b234"/>
        <w:id w:val="26483"/>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cs="Times New Roman"/>
              <w:kern w:val="2"/>
              <w:szCs w:val="21"/>
            </w:rPr>
          </w:pPr>
          <w:r>
            <w:rPr>
              <w:rFonts w:hint="eastAsia" w:ascii="Times New Roman" w:hAnsi="Times New Roman"/>
              <w:sz w:val="21"/>
              <w:szCs w:val="21"/>
            </w:rPr>
            <w:t>本公司的营业周期较短，以12个月作为资产和负债的流动性划分标准。</w:t>
          </w:r>
        </w:p>
      </w:sdtContent>
    </w:sdt>
    <w:p>
      <w:pPr>
        <w:rPr>
          <w:szCs w:val="21"/>
        </w:rPr>
      </w:pPr>
    </w:p>
    <w:p>
      <w:pPr>
        <w:pStyle w:val="229"/>
        <w:numPr>
          <w:ilvl w:val="0"/>
          <w:numId w:val="63"/>
        </w:numPr>
      </w:pPr>
      <w:r>
        <w:t>记账本位币</w:t>
      </w:r>
    </w:p>
    <w:sdt>
      <w:sdtPr>
        <w:rPr>
          <w:rFonts w:hint="eastAsia"/>
          <w:szCs w:val="21"/>
        </w:rPr>
        <w:alias w:val="记账本位币"/>
        <w:tag w:val="_GBC_3749a2357eba44e8b968cb41cda75ff1"/>
        <w:id w:val="26484"/>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szCs w:val="21"/>
            </w:rPr>
            <w:t>本公司的记账本位币为人民币。</w:t>
          </w:r>
        </w:p>
      </w:sdtContent>
    </w:sdt>
    <w:p>
      <w:pPr>
        <w:rPr>
          <w:rFonts w:cs="Times New Roman"/>
          <w:kern w:val="2"/>
          <w:szCs w:val="21"/>
        </w:rPr>
      </w:pPr>
    </w:p>
    <w:p>
      <w:pPr>
        <w:pStyle w:val="229"/>
        <w:numPr>
          <w:ilvl w:val="0"/>
          <w:numId w:val="63"/>
        </w:numPr>
        <w:ind w:left="450" w:hanging="450"/>
        <w:rPr>
          <w:highlight w:val="none"/>
        </w:rPr>
      </w:pPr>
      <w:r>
        <w:rPr>
          <w:rFonts w:hint="eastAsia"/>
          <w:highlight w:val="none"/>
        </w:rPr>
        <w:t>重要性标准确定方法和选择依据</w:t>
      </w:r>
    </w:p>
    <w:sdt>
      <w:sdtPr>
        <w:rPr>
          <w:szCs w:val="21"/>
        </w:rPr>
        <w:alias w:val="是否适用：重要性标准确定方法和选择依据[双击切换]"/>
        <w:tag w:val="_GBC_66b24b4e2070411c88bbdeaf4b0ac338"/>
        <w:id w:val="26485"/>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8"/>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szCs w:val="21"/>
            </w:rPr>
            <w:tag w:val="_PLD_9f124ba78a1f4011868edb08cb914673"/>
            <w:id w:val="13920"/>
          </w:sdtPr>
          <w:sdtEndPr>
            <w:rPr>
              <w:rFonts w:hint="eastAsia" w:ascii="Times New Roman" w:hAnsi="Times New Roman"/>
              <w:szCs w:val="21"/>
            </w:rPr>
          </w:sdtEndPr>
          <w:sdtContent>
            <w:tc>
              <w:tcPr>
                <w:tcW w:w="3198" w:type="dxa"/>
              </w:tcPr>
              <w:p>
                <w:pPr>
                  <w:widowControl w:val="0"/>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szCs w:val="21"/>
            </w:rPr>
            <w:tag w:val="_PLD_c9e9f6dfae4c43e0b08da57b23829dd8"/>
            <w:id w:val="13921"/>
          </w:sdtPr>
          <w:sdtEndPr>
            <w:rPr>
              <w:rFonts w:ascii="Times New Roman" w:hAnsi="Times New Roman"/>
              <w:szCs w:val="21"/>
            </w:rPr>
          </w:sdtEndPr>
          <w:sdtContent>
            <w:tc>
              <w:tcPr>
                <w:tcW w:w="5625" w:type="dxa"/>
              </w:tcPr>
              <w:p>
                <w:pPr>
                  <w:widowControl w:val="0"/>
                  <w:jc w:val="center"/>
                  <w:rPr>
                    <w:rFonts w:ascii="Times New Roman" w:hAnsi="Times New Roman"/>
                    <w:szCs w:val="21"/>
                  </w:rPr>
                </w:pPr>
                <w:r>
                  <w:rPr>
                    <w:rFonts w:ascii="Times New Roman" w:hAnsi="Times New Roman"/>
                    <w:szCs w:val="21"/>
                  </w:rPr>
                  <w:t>重要性标准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vAlign w:val="center"/>
          </w:tcPr>
          <w:p>
            <w:pPr>
              <w:widowControl w:val="0"/>
              <w:jc w:val="both"/>
              <w:rPr>
                <w:rFonts w:ascii="Times New Roman" w:hAnsi="Times New Roman"/>
                <w:szCs w:val="21"/>
              </w:rPr>
            </w:pPr>
            <w:r>
              <w:rPr>
                <w:rFonts w:ascii="Times New Roman" w:hAnsi="Times New Roman"/>
              </w:rPr>
              <w:t>超过1年的重要预付账款</w:t>
            </w:r>
          </w:p>
        </w:tc>
        <w:tc>
          <w:tcPr>
            <w:tcW w:w="5625" w:type="dxa"/>
          </w:tcPr>
          <w:p>
            <w:pPr>
              <w:widowControl w:val="0"/>
              <w:jc w:val="both"/>
              <w:rPr>
                <w:rFonts w:ascii="Times New Roman" w:hAnsi="Times New Roman"/>
                <w:szCs w:val="21"/>
              </w:rPr>
            </w:pPr>
            <w:r>
              <w:rPr>
                <w:rFonts w:ascii="Times New Roman" w:hAnsi="Times New Roman"/>
              </w:rPr>
              <w:t>金额大于等于100万以上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vAlign w:val="center"/>
          </w:tcPr>
          <w:p>
            <w:pPr>
              <w:widowControl w:val="0"/>
              <w:jc w:val="both"/>
              <w:rPr>
                <w:rFonts w:ascii="Times New Roman" w:hAnsi="Times New Roman"/>
                <w:szCs w:val="21"/>
              </w:rPr>
            </w:pPr>
            <w:r>
              <w:rPr>
                <w:rFonts w:ascii="Times New Roman" w:hAnsi="Times New Roman"/>
              </w:rPr>
              <w:t>重要的在建工程项目</w:t>
            </w:r>
          </w:p>
        </w:tc>
        <w:tc>
          <w:tcPr>
            <w:tcW w:w="5625" w:type="dxa"/>
          </w:tcPr>
          <w:p>
            <w:pPr>
              <w:widowControl w:val="0"/>
              <w:jc w:val="both"/>
              <w:rPr>
                <w:rFonts w:ascii="Times New Roman" w:hAnsi="Times New Roman"/>
                <w:szCs w:val="21"/>
              </w:rPr>
            </w:pPr>
            <w:r>
              <w:rPr>
                <w:rFonts w:ascii="Times New Roman" w:hAnsi="Times New Roman"/>
              </w:rPr>
              <w:t>金额大于期初加本期增加合计10%，且大于等于100万以上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vAlign w:val="center"/>
          </w:tcPr>
          <w:p>
            <w:pPr>
              <w:widowControl w:val="0"/>
              <w:jc w:val="both"/>
              <w:rPr>
                <w:rFonts w:ascii="Times New Roman" w:hAnsi="Times New Roman"/>
                <w:szCs w:val="21"/>
              </w:rPr>
            </w:pPr>
            <w:r>
              <w:rPr>
                <w:rFonts w:ascii="Times New Roman" w:hAnsi="Times New Roman"/>
              </w:rPr>
              <w:t>账龄超过1年的重要应付账款</w:t>
            </w:r>
          </w:p>
        </w:tc>
        <w:tc>
          <w:tcPr>
            <w:tcW w:w="5625" w:type="dxa"/>
          </w:tcPr>
          <w:p>
            <w:pPr>
              <w:widowControl w:val="0"/>
              <w:jc w:val="both"/>
              <w:rPr>
                <w:rFonts w:ascii="Times New Roman" w:hAnsi="Times New Roman"/>
                <w:szCs w:val="21"/>
              </w:rPr>
            </w:pPr>
            <w:r>
              <w:rPr>
                <w:rFonts w:ascii="Times New Roman" w:hAnsi="Times New Roman"/>
              </w:rPr>
              <w:t>金额大于等于100万以上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vAlign w:val="center"/>
          </w:tcPr>
          <w:p>
            <w:pPr>
              <w:widowControl w:val="0"/>
              <w:jc w:val="both"/>
              <w:rPr>
                <w:rFonts w:ascii="Times New Roman" w:hAnsi="Times New Roman"/>
                <w:szCs w:val="21"/>
              </w:rPr>
            </w:pPr>
            <w:r>
              <w:rPr>
                <w:rFonts w:ascii="Times New Roman" w:hAnsi="Times New Roman"/>
              </w:rPr>
              <w:t>账龄超过1年的重要其他应付款</w:t>
            </w:r>
          </w:p>
        </w:tc>
        <w:tc>
          <w:tcPr>
            <w:tcW w:w="5625" w:type="dxa"/>
          </w:tcPr>
          <w:p>
            <w:pPr>
              <w:widowControl w:val="0"/>
              <w:jc w:val="both"/>
              <w:rPr>
                <w:rFonts w:ascii="Times New Roman" w:hAnsi="Times New Roman"/>
                <w:szCs w:val="21"/>
              </w:rPr>
            </w:pPr>
            <w:r>
              <w:rPr>
                <w:rFonts w:ascii="Times New Roman" w:hAnsi="Times New Roman"/>
              </w:rPr>
              <w:t>金额大于等于100万以上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vAlign w:val="center"/>
          </w:tcPr>
          <w:p>
            <w:pPr>
              <w:widowControl w:val="0"/>
              <w:jc w:val="both"/>
              <w:rPr>
                <w:rFonts w:ascii="Times New Roman" w:hAnsi="Times New Roman"/>
                <w:szCs w:val="21"/>
              </w:rPr>
            </w:pPr>
            <w:r>
              <w:rPr>
                <w:rFonts w:ascii="Times New Roman" w:hAnsi="Times New Roman"/>
              </w:rPr>
              <w:t>重要的非全资子公司</w:t>
            </w:r>
          </w:p>
        </w:tc>
        <w:tc>
          <w:tcPr>
            <w:tcW w:w="5625" w:type="dxa"/>
          </w:tcPr>
          <w:p>
            <w:pPr>
              <w:widowControl w:val="0"/>
              <w:jc w:val="both"/>
              <w:rPr>
                <w:rFonts w:ascii="Times New Roman" w:hAnsi="Times New Roman"/>
                <w:szCs w:val="21"/>
              </w:rPr>
            </w:pPr>
            <w:r>
              <w:rPr>
                <w:rFonts w:ascii="Times New Roman" w:hAnsi="Times New Roman"/>
              </w:rPr>
              <w:t>非全资子公司收入金额占公司总收入金额比例大于等于10%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vAlign w:val="center"/>
          </w:tcPr>
          <w:p>
            <w:pPr>
              <w:widowControl w:val="0"/>
              <w:jc w:val="both"/>
              <w:rPr>
                <w:rFonts w:ascii="Times New Roman" w:hAnsi="Times New Roman"/>
                <w:szCs w:val="21"/>
              </w:rPr>
            </w:pPr>
            <w:r>
              <w:rPr>
                <w:rFonts w:ascii="Times New Roman" w:hAnsi="Times New Roman"/>
              </w:rPr>
              <w:t>超过1年的重要预付账款</w:t>
            </w:r>
          </w:p>
        </w:tc>
        <w:tc>
          <w:tcPr>
            <w:tcW w:w="5625" w:type="dxa"/>
          </w:tcPr>
          <w:p>
            <w:pPr>
              <w:widowControl w:val="0"/>
              <w:jc w:val="both"/>
              <w:rPr>
                <w:rFonts w:ascii="Times New Roman" w:hAnsi="Times New Roman"/>
                <w:szCs w:val="21"/>
              </w:rPr>
            </w:pPr>
            <w:r>
              <w:rPr>
                <w:rFonts w:ascii="Times New Roman" w:hAnsi="Times New Roman"/>
              </w:rPr>
              <w:t>金额大于等于100万以上</w:t>
            </w:r>
          </w:p>
        </w:tc>
      </w:tr>
    </w:tbl>
    <w:p>
      <w:pPr>
        <w:rPr>
          <w:szCs w:val="21"/>
        </w:rPr>
      </w:pPr>
    </w:p>
    <w:p>
      <w:pPr>
        <w:rPr>
          <w:szCs w:val="21"/>
        </w:rPr>
      </w:pPr>
    </w:p>
    <w:p>
      <w:pPr>
        <w:pStyle w:val="229"/>
        <w:numPr>
          <w:ilvl w:val="0"/>
          <w:numId w:val="63"/>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26489"/>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
          <w:bCs/>
          <w:szCs w:val="21"/>
        </w:rPr>
        <w:alias w:val="同一控制下和非同一控制下企业合并的会计处理方法"/>
        <w:tag w:val="_GBC_ef4b9a8d4ac34f45a0f61a23267bcbb8"/>
        <w:id w:val="26490"/>
        <w:placeholder>
          <w:docPart w:val="GBC22222222222222222222222222222"/>
        </w:placeholder>
      </w:sdtPr>
      <w:sdtEndPr>
        <w:rPr>
          <w:rFonts w:hint="eastAsia" w:cs="Times New Roman" w:asciiTheme="minorEastAsia" w:hAnsiTheme="minorEastAsia" w:eastAsiaTheme="minorEastAsia"/>
          <w:b/>
          <w:bCs/>
          <w:color w:val="000000"/>
          <w:szCs w:val="21"/>
        </w:rPr>
      </w:sdtEndPr>
      <w:sdtContent>
        <w:p>
          <w:pPr>
            <w:pStyle w:val="237"/>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（1）分步实现企业合并过程中的各项交易的条款、条件以及经济影响符合以下一种或多种情况，将多次交易事项作为一揽子交易进行会计处理：</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①这些交易是同时或者在考虑了彼此影响的情况下订立的；</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②这些交易整体才能达成一项完整的商业结果；</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③一项交易的发生取决于其他至少一项交易的发生；</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④一项交易单独看是不经济的，但是和其他交易一并考虑时是经济的。</w:t>
          </w:r>
        </w:p>
        <w:p>
          <w:pPr>
            <w:pStyle w:val="237"/>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（2）同一控制下的企业合并</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如果存在或有对价并需要确认预计负债或资产，该预计负债或资产金额与后续或有对价结算金额的差额，调整资本公积（资本溢价或股本溢价），资本公积不足的，调整留存收益。</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合并日进一步取得股份新支付对价的账面价值之和的差额，调整资本公积；资本公积不足冲减的，调整留存收益。对于合并日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p>
        <w:p>
          <w:pPr>
            <w:pStyle w:val="237"/>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（3）非同一控制下的企业合并</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购买日是指本公司实际取得对被购买方控制权的日期，即被购买方的净资产或生产经营决策的控制权转移给本公司的日期。同时满足下列条件时，本公司一般认为实现了控制权的转移：</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①企业合并合同或协议已获本公司内部权力机构通过。</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②企业合并事项需要经过国家有关主管部门审批的，已获得批准。</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③已办理了必要的财产权转移手续。</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④本公司已支付了合并价款的大部分，并且有能力、有计划支付剩余款项。</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⑤本公司实际上已经控制了被购买方的财务和经营政策，并享有相应的利益、承担相应的风险。</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本公司在购买日对作为企业合并对价付出的资产、发生或承担的负债按照公允价值计量，公允价值与其账面价值的差额，计入当期损益。</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本公司对合并成本大于合并中取得的被购买方可辨认净资产公允价值份额的差额，确认为商誉；合并成本小于合并中取得的被购买方可辨认净资产公允价值份额的差额，经复核后，计入当期损益。</w:t>
          </w:r>
        </w:p>
        <w:p>
          <w:pPr>
            <w:pStyle w:val="237"/>
            <w:widowControl w:val="0"/>
            <w:spacing w:line="400" w:lineRule="exact"/>
            <w:ind w:firstLine="420" w:firstLineChars="200"/>
            <w:rPr>
              <w:rFonts w:hint="eastAsia"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通过多次交换交易分步实现的非同一控制下企业合并，属于一揽子交易的，将各项交易作为一项取得控制权的交易进行会计处理；不属于一揽子交易的，合并日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合并日之前持有的股权投资采用金融工具确认和计量准则核算的，以该股权投资在合并日的公允价值加上新增投资成本之和，作为合并日的初始投资成本。原持有股权的公允价值与账面价值之间的差额以及原计入其他综合收益的累计公允价值变动应全部转入合并日当期的投资收益。</w:t>
          </w:r>
        </w:p>
        <w:p>
          <w:pPr>
            <w:pStyle w:val="237"/>
            <w:widowControl w:val="0"/>
            <w:spacing w:line="400" w:lineRule="exact"/>
            <w:ind w:firstLine="422" w:firstLineChars="200"/>
            <w:rPr>
              <w:rFonts w:hint="eastAsia" w:cs="Times New Roman" w:asciiTheme="minorEastAsia" w:hAnsiTheme="minorEastAsia" w:eastAsiaTheme="minorEastAsia"/>
              <w:b/>
              <w:bCs/>
              <w:color w:val="000000"/>
              <w:szCs w:val="21"/>
            </w:rPr>
          </w:pPr>
          <w:r>
            <w:rPr>
              <w:rFonts w:hint="eastAsia" w:cs="Times New Roman" w:asciiTheme="minorEastAsia" w:hAnsiTheme="minorEastAsia" w:eastAsiaTheme="minorEastAsia"/>
              <w:b/>
              <w:bCs/>
              <w:color w:val="000000"/>
              <w:szCs w:val="21"/>
            </w:rPr>
            <w:t>（4）为合并发生的相关费用</w:t>
          </w:r>
        </w:p>
        <w:p>
          <w:pPr>
            <w:pStyle w:val="237"/>
            <w:widowControl w:val="0"/>
            <w:spacing w:line="400" w:lineRule="exact"/>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为企业合并发生的审计、法律服务、评估咨询等中介费用以及其他直接相关费用，于发生时计入当期损益；为企业合并而发行权益性证券的交易费用，可直接归属于权益性交易的从权益中扣减。</w:t>
          </w:r>
        </w:p>
      </w:sdtContent>
    </w:sdt>
    <w:p>
      <w:pPr>
        <w:rPr>
          <w:szCs w:val="21"/>
        </w:rPr>
      </w:pPr>
    </w:p>
    <w:p>
      <w:pPr>
        <w:pStyle w:val="229"/>
        <w:numPr>
          <w:ilvl w:val="0"/>
          <w:numId w:val="63"/>
        </w:numPr>
      </w:pPr>
      <w:r>
        <w:rPr>
          <w:rFonts w:hint="eastAsia" w:ascii="宋体" w:hAnsi="宋体" w:cs="宋体"/>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26491"/>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宋体"/>
        </w:rPr>
        <w:alias w:val="控制的判断标准和合并财务报表的编制方法"/>
        <w:tag w:val="_GBC_5201beca0c0944939b4a0d8d100d6fcf"/>
        <w:id w:val="26492"/>
        <w:placeholder>
          <w:docPart w:val="GBC22222222222222222222222222222"/>
        </w:placeholder>
      </w:sdtPr>
      <w:sdtEndPr>
        <w:rPr>
          <w:rFonts w:hint="eastAsia" w:cs="宋体"/>
          <w:bCs/>
          <w:kern w:val="0"/>
        </w:rPr>
      </w:sdtEndPr>
      <w:sdtContent>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b/>
              <w:bCs/>
              <w:sz w:val="21"/>
            </w:rPr>
            <w:t>（1）合并范围</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sz w:val="21"/>
            </w:rPr>
            <w:t>本公司合并财务报表的合并范围以控制为基础确定，控制是指本公司拥有对被投资方的权力，通过参与被投资方的相关活动而享有可变回报，并且有能力运用对被投资方的权力影响该回报金额。所有子公司（包括本公司所控制的单独主体）均纳入合并财务报表。</w:t>
          </w:r>
        </w:p>
        <w:p>
          <w:pPr>
            <w:pStyle w:val="405"/>
            <w:widowControl w:val="0"/>
            <w:tabs>
              <w:tab w:val="left" w:pos="196"/>
              <w:tab w:val="left" w:pos="426"/>
            </w:tabs>
            <w:spacing w:line="400" w:lineRule="exact"/>
            <w:ind w:left="0" w:leftChars="0" w:firstLine="422" w:firstLineChars="200"/>
            <w:jc w:val="both"/>
            <w:rPr>
              <w:rFonts w:hint="eastAsia" w:ascii="Times New Roman" w:hAnsi="Times New Roman" w:cs="宋体"/>
              <w:b/>
              <w:bCs/>
              <w:sz w:val="21"/>
            </w:rPr>
          </w:pPr>
          <w:r>
            <w:rPr>
              <w:rFonts w:hint="eastAsia" w:ascii="Times New Roman" w:hAnsi="Times New Roman" w:cs="宋体"/>
              <w:b/>
              <w:bCs/>
              <w:sz w:val="21"/>
            </w:rPr>
            <w:t>（2）合并程序</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sz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rPr>
          </w:pPr>
          <w:r>
            <w:rPr>
              <w:rFonts w:hint="eastAsia" w:ascii="Times New Roman" w:hAnsi="Times New Roman" w:cs="宋体"/>
              <w:sz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合并财务报表时抵销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对于同一控制下企业合并取得的子公司，以其资产、负债（包括最终控制方收购该子公司而形成的商誉）在最终控制方财务报表中的账面价值为基础对其财务报表进行调整。</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对于非同一控制下企业合并取得的子公司，以购买日可辨认净资产公允价值为基础对其财务报表进行调整</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①增加子公司或业务</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②处置子公司或业务</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A、一般处理方法</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在报告期内，本公司处置子公司或业务，则该子公司或业务期初至处置日的收入、费用、利润纳入合并利润表；该子公司或业务期初至处置日的现金流量纳入合并现金流量表。</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B、分步处置子公司</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a、这些交易是同时或者在考虑了彼此影响的情况下订立的；</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b、这些交易整体才能达成一项完整的商业结果；</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c、一项交易的发生取决于其他至少一项交易的发生；</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d、一项交易单独看是不经济的，但是和其他交易一并考虑时是经济的。</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C、购买子公司少数股权</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bCs/>
              <w:kern w:val="0"/>
              <w:sz w:val="21"/>
            </w:rPr>
          </w:pPr>
          <w:r>
            <w:rPr>
              <w:rFonts w:hint="eastAsia" w:ascii="Times New Roman" w:hAnsi="Times New Roman" w:cs="宋体"/>
              <w:bCs/>
              <w:kern w:val="0"/>
              <w:sz w:val="21"/>
            </w:rPr>
            <w:t>D、不丧失控制权的情况下部分处置对子公司的股权投资</w:t>
          </w:r>
        </w:p>
        <w:p>
          <w:pPr>
            <w:pStyle w:val="405"/>
            <w:widowControl w:val="0"/>
            <w:tabs>
              <w:tab w:val="left" w:pos="196"/>
              <w:tab w:val="left" w:pos="426"/>
            </w:tabs>
            <w:spacing w:line="400" w:lineRule="exact"/>
            <w:ind w:left="0" w:leftChars="0" w:firstLine="420" w:firstLineChars="200"/>
            <w:jc w:val="both"/>
            <w:rPr>
              <w:rFonts w:hint="eastAsia" w:cs="宋体"/>
              <w:bCs/>
              <w:kern w:val="0"/>
            </w:rPr>
          </w:pPr>
          <w:r>
            <w:rPr>
              <w:rFonts w:hint="eastAsia" w:ascii="Times New Roman" w:hAnsi="Times New Roman" w:cs="宋体"/>
              <w:bCs/>
              <w:kern w:val="0"/>
              <w:sz w:val="21"/>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p>
      <w:pPr>
        <w:rPr>
          <w:szCs w:val="21"/>
        </w:rPr>
      </w:pPr>
    </w:p>
    <w:p>
      <w:pPr>
        <w:pStyle w:val="229"/>
        <w:numPr>
          <w:ilvl w:val="0"/>
          <w:numId w:val="63"/>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6493"/>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ascii="Times New Roman" w:hAnsi="Times New Roman" w:cs="宋体"/>
          <w:sz w:val="21"/>
        </w:rPr>
        <w:alias w:val="合营安排分类及共同经营会计处理方法"/>
        <w:tag w:val="_GBC_cf67ede4230c4056b34792c6a0db55e2"/>
        <w:id w:val="26494"/>
        <w:placeholder>
          <w:docPart w:val="GBC22222222222222222222222222222"/>
        </w:placeholder>
      </w:sdtPr>
      <w:sdtEndPr>
        <w:rPr>
          <w:rFonts w:hint="eastAsia" w:ascii="宋体" w:hAnsi="宋体" w:eastAsia="宋体" w:cs="宋体"/>
          <w:kern w:val="2"/>
          <w:sz w:val="21"/>
          <w:szCs w:val="21"/>
          <w:lang w:val="en-US" w:eastAsia="zh-CN" w:bidi="ar-SA"/>
        </w:rPr>
      </w:sdtEndPr>
      <w:sdtContent>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b/>
              <w:bCs/>
              <w:sz w:val="21"/>
              <w:lang w:val="en-US" w:eastAsia="zh-CN"/>
            </w:rPr>
            <w:t>（1）合营安排的分类</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本公司根据合营安排的结构、法律形式以及合营安排中约定的条款、其他相关事实和情况等因素，将合营安排分为共同经营和合营企业。</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未通过单独主体达成的合营安排，划分为共同经营；通过单独主体达成的合营安排，通常划分为合营企业；但有确凿证据表明满足下列任一条件并且符合相关法律法规规定的合营安排划分为共同经营：</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①合营安排的法律形式表明，合营方对该安排中的相关资产和负债分别享有权利和承担义务。</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②合营安排的合同条款约定，合营方对该安排中的相关资产和负债分别享有权利和承担义务。</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③其他相关事实和情况表明，合营方对该安排中的相关资产和负债分别享有权利和承担义务，如合营方享有与合营安排相关的几乎所有产出，并且该安排中负债的清偿持续依赖于合营方的支持。</w:t>
          </w:r>
        </w:p>
        <w:p>
          <w:pPr>
            <w:pStyle w:val="405"/>
            <w:widowControl w:val="0"/>
            <w:tabs>
              <w:tab w:val="left" w:pos="196"/>
              <w:tab w:val="left" w:pos="426"/>
            </w:tabs>
            <w:spacing w:line="400" w:lineRule="exact"/>
            <w:ind w:left="0" w:leftChars="0" w:firstLine="422" w:firstLineChars="200"/>
            <w:jc w:val="both"/>
            <w:rPr>
              <w:rFonts w:hint="eastAsia" w:ascii="Times New Roman" w:hAnsi="Times New Roman" w:cs="宋体"/>
              <w:b/>
              <w:bCs/>
              <w:sz w:val="21"/>
              <w:lang w:val="en-US" w:eastAsia="zh-CN"/>
            </w:rPr>
          </w:pPr>
          <w:r>
            <w:rPr>
              <w:rFonts w:hint="eastAsia" w:ascii="Times New Roman" w:hAnsi="Times New Roman" w:cs="宋体"/>
              <w:b/>
              <w:bCs/>
              <w:sz w:val="21"/>
              <w:lang w:val="en-US" w:eastAsia="zh-CN"/>
            </w:rPr>
            <w:t>（2）共同经营会计处理方法</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本公司确认共同经营中利益份额中与本公司相关的下列项目，并按照相关企业会计准则的规定进行会计处理：</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①确认单独所持有的资产，以及按其份额确认共同持有的资产；</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②确认单独所承担的负债，以及按其份额确认共同承担的负债；</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③确认出售其享有的共同经营产出份额所产生的收入；</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④按其份额确认共同经营因出售产出所产生的收入；</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⑤确认单独所发生的费用，以及按其份额确认共同经营发生的费用。</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向共同经营投出或出售资产等（该资产构成业务的除外），在该资产等由共同经营出售给第三方之前，仅确认因该交易产生的损益中归属于共同经营其他参与方的部分。投出或出售的资产发生符合《企业会计准则第8号——资产减值》等规定的资产减值损失的，本公司全额确认该损失。</w:t>
          </w:r>
        </w:p>
        <w:p>
          <w:pPr>
            <w:pStyle w:val="405"/>
            <w:widowControl w:val="0"/>
            <w:tabs>
              <w:tab w:val="left" w:pos="196"/>
              <w:tab w:val="left" w:pos="426"/>
            </w:tabs>
            <w:spacing w:line="400" w:lineRule="exact"/>
            <w:ind w:left="0" w:leftChars="0" w:firstLine="420" w:firstLineChars="200"/>
            <w:jc w:val="both"/>
            <w:rPr>
              <w:rFonts w:hint="eastAsia" w:ascii="Times New Roman" w:hAnsi="Times New Roman" w:cs="宋体"/>
              <w:sz w:val="21"/>
              <w:lang w:val="en-US" w:eastAsia="zh-CN"/>
            </w:rPr>
          </w:pPr>
          <w:r>
            <w:rPr>
              <w:rFonts w:hint="eastAsia" w:ascii="Times New Roman" w:hAnsi="Times New Roman" w:cs="宋体"/>
              <w:sz w:val="21"/>
              <w:lang w:val="en-US" w:eastAsia="zh-CN"/>
            </w:rPr>
            <w:t>本公司自共同经营购买资产等（该资产构成业务的除外），在将该资产等出售给第三方之前，仅确认因该交易产生的损益中归属于共同经营其他参与方的部分。购入的资产发生符合《企业会计准则第8号——资产减值》等规定的资产减值损失的，本公司按承担的份额确认该部分损失。</w:t>
          </w:r>
        </w:p>
        <w:p>
          <w:pPr>
            <w:pStyle w:val="405"/>
            <w:widowControl w:val="0"/>
            <w:tabs>
              <w:tab w:val="left" w:pos="196"/>
              <w:tab w:val="left" w:pos="426"/>
            </w:tabs>
            <w:spacing w:line="400" w:lineRule="exact"/>
            <w:ind w:left="0" w:leftChars="0" w:firstLine="420" w:firstLineChars="200"/>
            <w:jc w:val="both"/>
            <w:rPr>
              <w:rFonts w:hint="eastAsia" w:ascii="宋体" w:hAnsi="宋体" w:eastAsia="宋体" w:cs="宋体"/>
              <w:kern w:val="2"/>
              <w:sz w:val="21"/>
              <w:szCs w:val="21"/>
              <w:lang w:val="en-US" w:eastAsia="zh-CN" w:bidi="ar-SA"/>
            </w:rPr>
          </w:pPr>
          <w:r>
            <w:rPr>
              <w:rFonts w:hint="eastAsia" w:ascii="Times New Roman" w:hAnsi="Times New Roman" w:cs="宋体"/>
              <w:sz w:val="21"/>
              <w:lang w:val="en-US" w:eastAsia="zh-CN"/>
            </w:rPr>
            <w:t>本公司对共同经营不享有共同控制，如果本公司享有该共同经营相关资产且承担该共同经营相关负债的，仍按上述原则进行会计处理，否则，应当按照相关企业会计准则的规定进行会计处理。</w:t>
          </w:r>
        </w:p>
      </w:sdtContent>
    </w:sdt>
    <w:p/>
    <w:p>
      <w:pPr>
        <w:pStyle w:val="229"/>
        <w:numPr>
          <w:ilvl w:val="0"/>
          <w:numId w:val="63"/>
        </w:numPr>
      </w:pPr>
      <w:r>
        <w:t>现金及现金等价物的确定标准</w:t>
      </w:r>
    </w:p>
    <w:sdt>
      <w:sdtPr>
        <w:rPr>
          <w:rFonts w:hint="eastAsia" w:ascii="宋体" w:hAnsi="宋体" w:eastAsia="宋体" w:cs="Times New Roman"/>
          <w:kern w:val="2"/>
          <w:sz w:val="21"/>
          <w:szCs w:val="21"/>
          <w:lang w:val="en-US" w:eastAsia="zh-CN" w:bidi="ar-SA"/>
        </w:rPr>
        <w:alias w:val="现金及现金等价物的确定标准"/>
        <w:tag w:val="_GBC_54f6bc3e44e840bc85cb3872600823b5"/>
        <w:id w:val="26495"/>
        <w:placeholder>
          <w:docPart w:val="GBC22222222222222222222222222222"/>
        </w:placeholder>
      </w:sdtPr>
      <w:sdtEndPr>
        <w:rPr>
          <w:rFonts w:hint="eastAsia" w:ascii="宋体" w:hAnsi="宋体" w:eastAsia="宋体" w:cs="Times New Roman"/>
          <w:kern w:val="2"/>
          <w:sz w:val="21"/>
          <w:szCs w:val="21"/>
          <w:lang w:val="en-US" w:eastAsia="zh-CN" w:bidi="ar-SA"/>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现金等价物是指企业持有的期限短（一般指从购买日起三个月内到期）、流动性强、易于转换为已知金额现金、价值变动风险很小的投资。</w:t>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编制现金流量表时，将本公司库存现金以及可以随时用于支付的存款确认为现金。将同时具备期限短（一般从购买日起三个月内到期）、流动性强、易于转换为已知金额的现金、价值变动风险很小四个条件的投资，确定为现金等价物。</w:t>
      </w:r>
    </w:p>
    <w:p>
      <w:pPr>
        <w:pStyle w:val="229"/>
        <w:numPr>
          <w:ilvl w:val="0"/>
          <w:numId w:val="63"/>
        </w:numPr>
      </w:pPr>
      <w:r>
        <w:t>外币业务和外币报表折算</w:t>
      </w:r>
    </w:p>
    <w:sdt>
      <w:sdtPr>
        <w:rPr>
          <w:rFonts w:hint="eastAsia"/>
          <w:szCs w:val="21"/>
        </w:rPr>
        <w:alias w:val="是否适用：外币业务和外币报表折算[双击切换]"/>
        <w:tag w:val="_GBC_9c9def5a1d2241b5a3ee696d03433778"/>
        <w:id w:val="26496"/>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6497"/>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外币业务交易在初始确认时，采用交易发生日的即期汇率作为折算汇率折合成人民币记账。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资产负债表日，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cs="Times New Roman"/>
              <w:kern w:val="2"/>
              <w:szCs w:val="21"/>
            </w:rPr>
          </w:pPr>
          <w:r>
            <w:rPr>
              <w:rFonts w:hint="eastAsia"/>
              <w:szCs w:val="21"/>
            </w:rPr>
            <w:t>以公允价值计量的外币非货币性项目，采用公允价值确定日的即期汇率折算，由此产生的汇兑差额作为公允价值变动损益计入当期损益。如属于可供出售外币非货币性项目的，形成的汇兑差额计入其他综合收益。</w:t>
          </w:r>
        </w:p>
      </w:sdtContent>
    </w:sdt>
    <w:p>
      <w:pPr>
        <w:rPr>
          <w:szCs w:val="21"/>
        </w:rPr>
      </w:pPr>
    </w:p>
    <w:p>
      <w:pPr>
        <w:pStyle w:val="229"/>
        <w:numPr>
          <w:ilvl w:val="0"/>
          <w:numId w:val="63"/>
        </w:numPr>
      </w:pPr>
      <w:r>
        <w:t>金融工具</w:t>
      </w:r>
    </w:p>
    <w:sdt>
      <w:sdtPr>
        <w:rPr>
          <w:rFonts w:hint="eastAsia"/>
          <w:szCs w:val="21"/>
        </w:rPr>
        <w:alias w:val="是否适用：金融工具_重要会计政策和估计[双击切换]"/>
        <w:tag w:val="_GBC_1537cea503f244c2af870a2a0d5fd7a9"/>
        <w:id w:val="26498"/>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26499"/>
        <w:placeholder>
          <w:docPart w:val="GBC22222222222222222222222222222"/>
        </w:placeholder>
      </w:sdtPr>
      <w:sdtEndPr>
        <w:rPr>
          <w:rFonts w:hint="eastAsia" w:cs="宋体"/>
          <w:szCs w:val="21"/>
        </w:rPr>
      </w:sdtEndPr>
      <w:sdtContent>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在本公司成为金融工具合同的一方时确认一项金融资产或金融负债。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实际利率法是指计算金融资产或金融负债的摊余成本以及将利息收入或利息费用分摊计入各会计期间的方法。</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实际利率，是指将金融资产或金融负债在预计存续期的估计未来现金流量，折现为该金融资产账面余额或该金融负债摊余成本所使用的利率。在确定实际利率时，在考虑金融资产或金融负债所有合同条款(如提前还款、展期、看涨期权或其他类似期权等)的基础上估计预期现金流量，但不考虑预期信用损失。</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仅适用于金融资产)。</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（1）金融资产分类和计量</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本公司根据所管理金融资产的业务模式和金融资产的合同现金流量特征，将金融资产划分为以下三类：</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①以摊余成本计量的金融资产。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②以公允价值计量且其变动计入其他综合收益的金融资产。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③以公允价值计量且其变动计入当期损益的金融资产。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金融资产在初始确认时以公允价值计量，但是因销售商品或提供服务等产生的应收账款或应收票据未包含重大融资成分或不考虑不超过一年的融资成分的，按照交易价格进行初始计量。</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对于以公允价值计量且其变动计入当期损益的金融资产，相关交易费用直接计入当期损益，其他类别的金融资产相关交易费用计入其初始确认金额。</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金融资产的后续计量取决于其分类，当且仅当本公司改变管理金融资产的业务模式时，才对所有受影响的相关金融资产进行重分类。</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①分类为以摊余成本计量的金融资产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款项融资、应收账款、其他应收款等。</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A、对于购入或源生的已发生信用减值的金融资产，本公司自初始确认起，按照该金融资产的摊余成本和经信用调整的实际利率计算确定其利息收入。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②分类为以公允价值计量且其变动计入其他综合收益的金融资产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③指定为以公允价值计量且其变动计入其他综合收益的金融资产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在初始确认时，本公司可以单项金融资产为基础不可撤销地将非交易性权益工具投资指定为以公允价值计量且其变动计入其他综合收益的金融资产。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④分类为以公允价值计量且其变动计入当期损益的金融资产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本公司对此类金融资产采用公允价值进行后续计量，将公允价值变动形成的利得或损失以及与此类金融资产相关的股利和利息收入计入当期损益。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本公司对此类金融资产根据其流动性在交易性金融资产、其他非流动金融资产项目列报。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⑤指定为以公允价值计量且其变动计入当期损益的金融资产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在初始确认时，本公司为了消除或显著减少会计错配，可以单项金融资产为基础不可撤销地将金融资产指定为以公允价值计量且其变动计入当期损益的金融资产。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混合合同包含一项或多项嵌入衍生工具，且其主合同不属于以上金融资产的，本公司可以将其整体指定为以公允价值计量且其变动计入当期损益的金融工具。但下列情况除外：</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A、嵌入衍生工具不会对混合合同的现金流量产生重大改变。</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B、在初次确定类似的混合合同是否需要分拆时，几乎不需分析就能明确其包含的嵌入衍生工具不应分拆。如嵌入贷款的提前还款权，允许持有人以接近摊余成本的金额提前偿还贷款，该提前还款权不需要分拆。</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本公司对此类金融资产采用公允价值进行后续计量，将公允价值变动形成的利得或损失以及与此类金融资产相关的股利和利息收入计入当期损益。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本公司对此类金融资产根据其流动性在交易性金融资产、其他非流动金融资产项目列报。</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（2）金融负债分类和计量</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金融负债在初始确认时以公允价值计量。对于以公允价值计量且其变动计入当期损益的金融负债，相关的交易费用直接计入当期损益；对于其他类别的金融负债，相关交易费用计入初始确认金额。</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金融负债的后续计量取决于其分类：</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①以公允价值计量且其变动计入当期损益的金融负债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此类金融负债包括交易性金融负债（含属于金融负债的衍生工具）和初始确认时指定为以公允价值计量且其变动计入当期损益的金融负债。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在初始确认时，为了提供更相关的会计信息，本公司将满足下列条件之一的金融负债不可撤销地指定为以公允价值计量且其变动计入当期损益的金融负债：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A、能够消除或显著减少会计错配。</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B、根据正式书面文件载明的企业风险管理或投资策略，以公允价值为基础对金融负债组合或金融资产和金融负债组合进行管理和业绩评价，并在企业内部以此为基础向关键管理人员报告。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②其他金融负债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除下列各项外，公司将金融负债分类为以摊余成本计量的金融负债，对此类金融负债采用实际利率法，按照摊余成本进行后续计量，终止确认或摊销产生的利得或损失计入当期损益：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A、以公允价值计量且其变动计入当期损益的金融负债。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B、金融资产转移不符合终止确认条件或继续涉入被转移金融资产所形成的金融负债。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C、不属于本条前两类情形的财务担保合同，以及不属于本条A类情形的以低于市场利率贷款的贷款承诺。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（3）金融资产和金融负债的终止确认</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①金融资产满足下列条件之一的，终止确认金融资产，即从其账户和资产负债表内予以转销：</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A、收取该金融资产现金流量的合同权利终止。</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B、该金融资产已转移，且该转移满足金融资产终止确认的规定。</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②金融负债终止确认条件</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金融负债（或其一部分）的现时义务已经解除的，则终止确认该金融负债（或该部分金融负债）。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（4）金融资产转移的确认依据和计量方法</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本公司在发生金融资产转移时，评估其保留金融资产所有权上的风险和报酬的程度，并分别下列情形处理：</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①转移了金融资产所有权上几乎所有风险和报酬的，则终止确认该金融资产，并将转移中产生或保留的权利和义务单独确认为资产或负债。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②保留了金融资产所有权上几乎所有风险和报酬的，则继续确认该金融资产。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③既没有转移也没有保留金融资产所有权上几乎所有风险和报酬的（即除本条①、②之外的其他情形），则根据其是否保留了对金融资产的控制，分别下列情形处理：</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A、未保留对该金融资产控制的，则终止确认该金融资产，并将转移中产生或保留的权利和义务单独确认为资产或负债。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在判断金融资产转移是否满足上述金融资产终止确认条件时，采用实质重于形式的原则。公司将金融资产转移区分为金融资产整体转移和部分转移。</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①金融资产整体转移满足终止确认条件的，将下列两项金额的差额计入当期损益：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A、被转移金融资产在终止确认日的账面价值。</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B、因转移金融资产而收到的对价，与原直接计入其他综合收益的公允价值变动累计额中对应终止确认部分的金额（涉及转移的金融资产为以公允价值计量且其变动计入其他综合收益的金融资产）之和。</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A、终止确认部分在终止确认日的账面价值。</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B、终止确认部分收到的对价，与原计入其他综合收益的公允价值变动累计额中对应终止确认部分的金额（涉及转移的金融资产为以公允价值计量且其变动计入其他综合收益的金融资产）之和。</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金融资产转移不满足终止确认条件的，继续确认该金融资产，所收到的对价确认为一项金融负债。</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（5）金融资产和金融负债公允价值的确定方法</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初始取得或衍生的金融资产或承担的金融负债，以市场交易价格作为确定其公允价值的基础。</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（6）金融工具减值</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本公司以预期信用损失为基础，对分类为以摊余成本计量的金融资产、分类为以公允价值计量且其变动计入其他综合收益的金融资产以及财务担保合同，进行减值会计处理并确认损失准备。</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对由收入准则规范的交易形成的应收款项，本公司运用简化计量方法，按照相当于整个存续期内预期信用损失的金额计量损失准备。</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①如果该金融工具的信用风险自初始确认后并未显著增加，处于第一阶段，则按照相当于该金融工具未来12个月内预期信用损失的金额计量其损失准备，并按照账面余额和实际利率计算利息收入。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③如果该金融工具自初始确认后已经发生信用减值的，处于第三阶段，本公司按照相当于该金融工具整个存续期内预期信用损失的金额计量其损失准备，并按照摊余成本和实际利率计算利息收入。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12个月内预期信用损失的金额计量该金融工具的损失准备，由此形成的损失准备的转回金额作为减值利得计入当期损益。</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①信用风险显著增加</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本公司在评估信用风险是否显著增加时会考虑如下因素：</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A、债务人经营成果实际或预期是否发生显著变化；</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B、债务人所处的监管、经济或技术环境是否发生显著不利变化；</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C、作为债务抵押的担保物价值或第三方提供的担保或信用增级质量是否发生显著变化，这些变化预期将降低债务人按合同规定期限还款的经济动机或者影响违约概率；</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D、债务人预期表现和还款行为是否发生显著变化；</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E、本公司对金融工具信用管理方法是否发生变化等。</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②已发生信用减值的金融资产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当对金融资产预期未来现金流量具有不利影响的一项或多项事件发生时，该金融资产成为已发生信用减值的金融资产。金融资产已发生信用减值的证据包括下列可观察信息：</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A、发行方或债务人发生重大财务困难；</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B、债务人违反合同，如偿付利息或本金违约或逾期等；</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C、债权人出于与债务人财务困难有关的经济或合同考虑，给予债务人在任何其他情况下都不会做出的让步；</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D、债务人很可能破产或进行其他财务重组；</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E、发行方或债务人财务困难导致该金融资产的活跃市场消失；</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F、以大幅折扣购买或源生一项金融资产，该折扣反映了发生信用损失的事实。</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金融资产发生信用减值，有可能是多个事件的共同作用所致，未必是可单独识别的事件所致。</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③预期信用损失的确定</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本公司基于单项和组合评估金融工具的预期信用损失，在评估预期信用损失时，考虑有关过去事项、当前状况以及未来经济状况预测的合理且有依据的信息。</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以共同信用风险特征为依据，将金融工具分为不同组合。本公司采用的共同信用风险特征包括：金融工具类型、信用风险评级、账龄组合等。相关金融工具的单项评估标准和组合信用风险特征详见相关金融工具的会计政策。</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本公司按照下列方法确定相关金融工具的预期信用损失：</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A、对于金融资产，信用损失为本公司应收取的合同现金流量与预期收取的现金流量之间差额的现值。</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B、对于财务担保合同，信用损失为本公司就该合同持有人发生的信用损失向其做出赔付的预计付款额，减去本公司预期向该合同持有人、债务人或任何其他方收取的金额之间差额的现值。</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C、对于资产负债表日已发生信用减值但并非购买或源生已发生信用减值的金融资产，信用损失为该金融资产账面余额与按原实际利率折现的估计未来现金流量的现值之间的差额。</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④减记金融资产</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当本公司不再合理预期金融资产合同现金流量能够全部或部分收回的，直接减记该金融资产的账面余额。这种减记构成相关金融资产的终止确认。</w:t>
          </w:r>
        </w:p>
        <w:p>
          <w:pPr>
            <w:pStyle w:val="406"/>
            <w:widowControl w:val="0"/>
            <w:tabs>
              <w:tab w:val="left" w:pos="196"/>
              <w:tab w:val="left" w:pos="426"/>
              <w:tab w:val="left" w:pos="630"/>
            </w:tabs>
            <w:spacing w:line="400" w:lineRule="exact"/>
            <w:ind w:left="0" w:leftChars="0" w:firstLine="422" w:firstLineChars="200"/>
            <w:jc w:val="both"/>
            <w:rPr>
              <w:rFonts w:hint="eastAsia" w:cs="宋体"/>
              <w:b/>
              <w:bCs/>
            </w:rPr>
          </w:pPr>
          <w:r>
            <w:rPr>
              <w:rFonts w:hint="eastAsia" w:cs="宋体"/>
              <w:b/>
              <w:bCs/>
            </w:rPr>
            <w:t>（7）金融资产及金融负债的抵销</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金融资产和金融负债在资产负债表内分别列示，没有相互抵销。但是，同时满足下列条件的，以相互抵销后的净额在资产负债表内列示：</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①本公司具有抵销已确认金额的法定权利，且该种法定权利是当前可执行的；</w:t>
          </w:r>
        </w:p>
        <w:p>
          <w:pPr>
            <w:pStyle w:val="406"/>
            <w:widowControl w:val="0"/>
            <w:tabs>
              <w:tab w:val="left" w:pos="196"/>
              <w:tab w:val="left" w:pos="426"/>
              <w:tab w:val="left" w:pos="630"/>
            </w:tabs>
            <w:spacing w:line="400" w:lineRule="exact"/>
            <w:ind w:left="0" w:leftChars="0" w:firstLine="420" w:firstLineChars="200"/>
            <w:jc w:val="both"/>
            <w:rPr>
              <w:rFonts w:hint="eastAsia" w:cs="宋体"/>
            </w:rPr>
          </w:pPr>
          <w:r>
            <w:rPr>
              <w:rFonts w:hint="eastAsia" w:cs="宋体"/>
            </w:rPr>
            <w:t>②本公司计划以净额结算，或同时变现该金融资产和清偿该金融负债。</w:t>
          </w:r>
        </w:p>
      </w:sdtContent>
    </w:sdt>
    <w:p>
      <w:pPr>
        <w:rPr>
          <w:szCs w:val="21"/>
        </w:rPr>
      </w:pPr>
    </w:p>
    <w:p>
      <w:pPr>
        <w:pStyle w:val="229"/>
        <w:numPr>
          <w:ilvl w:val="0"/>
          <w:numId w:val="63"/>
        </w:numPr>
        <w:rPr>
          <w:rFonts w:ascii="宋体" w:hAnsi="宋体" w:cs="宋体"/>
          <w:kern w:val="0"/>
          <w:szCs w:val="21"/>
        </w:rPr>
      </w:pPr>
      <w:bookmarkStart w:id="163" w:name="_Hlk533667757"/>
      <w:r>
        <w:rPr>
          <w:rFonts w:hint="eastAsia" w:ascii="宋体" w:hAnsi="宋体" w:cs="宋体"/>
          <w:kern w:val="0"/>
          <w:szCs w:val="21"/>
        </w:rPr>
        <w:t>应收票据</w:t>
      </w:r>
    </w:p>
    <w:sdt>
      <w:sdtPr>
        <w:alias w:val="是否适用：应收票据_重要会计政策和估计[双击切换]"/>
        <w:tag w:val="_GBC_71282cbeee2f4e2784a0766b8ae627ef"/>
        <w:id w:val="26500"/>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End w:id="163"/>
        </w:p>
      </w:sdtContent>
    </w:sdt>
    <w:p>
      <w:pPr>
        <w:rPr>
          <w:szCs w:val="21"/>
        </w:rPr>
      </w:pPr>
    </w:p>
    <w:p>
      <w:pPr>
        <w:pStyle w:val="229"/>
        <w:numPr>
          <w:ilvl w:val="0"/>
          <w:numId w:val="63"/>
        </w:numPr>
        <w:rPr>
          <w:rFonts w:ascii="宋体" w:hAnsi="宋体" w:cs="宋体"/>
          <w:kern w:val="0"/>
          <w:szCs w:val="21"/>
        </w:rPr>
      </w:pPr>
      <w:bookmarkStart w:id="164" w:name="_Hlk152690378"/>
      <w:bookmarkStart w:id="165" w:name="_Hlk533667783"/>
      <w:r>
        <w:rPr>
          <w:rFonts w:hint="eastAsia" w:ascii="宋体" w:hAnsi="宋体" w:cs="宋体"/>
          <w:kern w:val="0"/>
          <w:szCs w:val="21"/>
        </w:rPr>
        <w:t>应收账款</w:t>
      </w:r>
    </w:p>
    <w:sdt>
      <w:sdtPr>
        <w:rPr>
          <w:rFonts w:hint="eastAsia"/>
        </w:rPr>
        <w:alias w:val="是否适用：应收账款_重要会计政策和估计[双击切换]"/>
        <w:tag w:val="_GBC_d0c8b3edf5e1401fa6e5edeeb4e121b6"/>
        <w:id w:val="26501"/>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rFonts w:cs="Times New Roman"/>
          <w:b/>
          <w:kern w:val="2"/>
          <w:szCs w:val="28"/>
        </w:rPr>
      </w:pPr>
      <w:r>
        <w:rPr>
          <w:rFonts w:hint="eastAsia" w:cs="Times New Roman"/>
          <w:b/>
          <w:kern w:val="2"/>
          <w:szCs w:val="28"/>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26502"/>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85f7acffebe447d585138c00d17d515c"/>
        <w:id w:val="26503"/>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本公司对有客观证据表明其发生损失的应收账款单独确定其信用损失。</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w:t>
          </w:r>
        </w:p>
      </w:sdtContent>
    </w:sdt>
    <w:p>
      <w:pPr>
        <w:rPr>
          <w:szCs w:val="21"/>
        </w:rPr>
      </w:pPr>
    </w:p>
    <w:bookmarkEnd w:id="164"/>
    <w:bookmarkEnd w:id="165"/>
    <w:p>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账款按照信用风险特征组合计提坏账准备的组合类别及确定依据[双击切换]"/>
        <w:tag w:val="_GBC_bbe660c8a4484f56bb4d8ca560cf5f0d"/>
        <w:id w:val="26504"/>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26505"/>
        <w:placeholder>
          <w:docPart w:val="GBC22222222222222222222222222222"/>
        </w:placeholder>
      </w:sdtPr>
      <w:sdtEndPr>
        <w:rPr>
          <w:szCs w:val="21"/>
        </w:rPr>
      </w:sdtEndPr>
      <w:sdtContent>
        <w:p>
          <w:pPr>
            <w:rPr>
              <w:szCs w:val="21"/>
            </w:rPr>
          </w:pPr>
        </w:p>
        <w:tbl>
          <w:tblPr>
            <w:tblStyle w:val="125"/>
            <w:tblW w:w="893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01"/>
            <w:gridCol w:w="2340"/>
            <w:gridCol w:w="489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701" w:type="dxa"/>
                <w:shd w:val="clear" w:color="auto" w:fill="auto"/>
                <w:vAlign w:val="center"/>
              </w:tcPr>
              <w:p>
                <w:pPr>
                  <w:widowControl w:val="0"/>
                  <w:tabs>
                    <w:tab w:val="left" w:pos="196"/>
                    <w:tab w:val="left" w:pos="426"/>
                  </w:tabs>
                  <w:snapToGrid w:val="0"/>
                  <w:spacing w:line="480" w:lineRule="exact"/>
                  <w:ind w:firstLine="360" w:firstLineChars="200"/>
                  <w:jc w:val="both"/>
                  <w:rPr>
                    <w:rFonts w:ascii="Arial Narrow" w:hAnsi="Arial Narrow" w:eastAsia="宋体" w:cs="Times New Roman"/>
                    <w:kern w:val="2"/>
                    <w:sz w:val="18"/>
                    <w:szCs w:val="18"/>
                  </w:rPr>
                </w:pPr>
                <w:r>
                  <w:rPr>
                    <w:rFonts w:hint="eastAsia" w:ascii="Arial Narrow" w:hAnsi="Arial Narrow" w:eastAsia="宋体" w:cs="Times New Roman"/>
                    <w:kern w:val="2"/>
                    <w:sz w:val="18"/>
                    <w:szCs w:val="18"/>
                  </w:rPr>
                  <w:t>组合名称</w:t>
                </w:r>
              </w:p>
            </w:tc>
            <w:tc>
              <w:tcPr>
                <w:tcW w:w="2340" w:type="dxa"/>
                <w:shd w:val="clear" w:color="auto" w:fill="auto"/>
                <w:vAlign w:val="center"/>
              </w:tcPr>
              <w:p>
                <w:pPr>
                  <w:widowControl w:val="0"/>
                  <w:tabs>
                    <w:tab w:val="left" w:pos="196"/>
                    <w:tab w:val="left" w:pos="426"/>
                  </w:tabs>
                  <w:snapToGrid w:val="0"/>
                  <w:spacing w:line="480" w:lineRule="exact"/>
                  <w:ind w:firstLine="360" w:firstLineChars="200"/>
                  <w:jc w:val="both"/>
                  <w:rPr>
                    <w:rFonts w:ascii="Arial Narrow" w:hAnsi="Arial Narrow" w:eastAsia="宋体" w:cs="Times New Roman"/>
                    <w:kern w:val="2"/>
                    <w:sz w:val="18"/>
                    <w:szCs w:val="18"/>
                  </w:rPr>
                </w:pPr>
                <w:r>
                  <w:rPr>
                    <w:rFonts w:hint="eastAsia" w:ascii="Arial Narrow" w:hAnsi="Arial Narrow" w:eastAsia="宋体" w:cs="Times New Roman"/>
                    <w:kern w:val="2"/>
                    <w:sz w:val="18"/>
                    <w:szCs w:val="18"/>
                  </w:rPr>
                  <w:t>确定组合的依据</w:t>
                </w:r>
              </w:p>
            </w:tc>
            <w:tc>
              <w:tcPr>
                <w:tcW w:w="4890" w:type="dxa"/>
                <w:vAlign w:val="center"/>
              </w:tcPr>
              <w:p>
                <w:pPr>
                  <w:widowControl w:val="0"/>
                  <w:tabs>
                    <w:tab w:val="left" w:pos="196"/>
                    <w:tab w:val="left" w:pos="426"/>
                  </w:tabs>
                  <w:snapToGrid w:val="0"/>
                  <w:spacing w:line="480" w:lineRule="exact"/>
                  <w:ind w:firstLine="360" w:firstLineChars="200"/>
                  <w:jc w:val="center"/>
                  <w:rPr>
                    <w:rFonts w:ascii="Arial Narrow" w:hAnsi="Arial Narrow" w:eastAsia="宋体" w:cs="Times New Roman"/>
                    <w:kern w:val="2"/>
                    <w:sz w:val="18"/>
                    <w:szCs w:val="18"/>
                  </w:rPr>
                </w:pPr>
                <w:r>
                  <w:rPr>
                    <w:rFonts w:hint="eastAsia" w:ascii="Arial Narrow" w:hAnsi="Arial Narrow" w:eastAsia="宋体" w:cs="Times New Roman"/>
                    <w:kern w:val="2"/>
                    <w:sz w:val="18"/>
                    <w:szCs w:val="18"/>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701" w:type="dxa"/>
                <w:shd w:val="clear" w:color="auto" w:fill="auto"/>
                <w:vAlign w:val="center"/>
              </w:tcPr>
              <w:p>
                <w:pPr>
                  <w:widowControl w:val="0"/>
                  <w:tabs>
                    <w:tab w:val="left" w:pos="196"/>
                    <w:tab w:val="left" w:pos="426"/>
                  </w:tabs>
                  <w:snapToGrid w:val="0"/>
                  <w:spacing w:line="400" w:lineRule="exact"/>
                  <w:ind w:firstLine="0" w:firstLineChars="0"/>
                  <w:jc w:val="both"/>
                  <w:rPr>
                    <w:rFonts w:ascii="Arial Narrow" w:hAnsi="Arial Narrow" w:eastAsia="宋体" w:cs="Times New Roman"/>
                    <w:kern w:val="2"/>
                    <w:sz w:val="18"/>
                    <w:szCs w:val="18"/>
                  </w:rPr>
                </w:pPr>
                <w:r>
                  <w:rPr>
                    <w:rFonts w:ascii="Times New Roman" w:hAnsi="Times New Roman" w:eastAsia="宋体" w:cs="Times New Roman"/>
                    <w:kern w:val="2"/>
                  </w:rPr>
                  <w:t>账龄组合</w:t>
                </w:r>
              </w:p>
            </w:tc>
            <w:tc>
              <w:tcPr>
                <w:tcW w:w="2340" w:type="dxa"/>
                <w:shd w:val="clear" w:color="auto" w:fill="auto"/>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按账龄划分的具有类似信用风险特征的应收账款</w:t>
                </w:r>
              </w:p>
            </w:tc>
            <w:tc>
              <w:tcPr>
                <w:tcW w:w="4890" w:type="dxa"/>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参考历史信用损失经验，结合当前状况以及对未来经济状况的预测，按账龄与整个存续期预期信用损失率对照表计提。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701" w:type="dxa"/>
                <w:shd w:val="clear" w:color="auto" w:fill="auto"/>
                <w:vAlign w:val="center"/>
              </w:tcPr>
              <w:p>
                <w:pPr>
                  <w:widowControl w:val="0"/>
                  <w:tabs>
                    <w:tab w:val="left" w:pos="196"/>
                    <w:tab w:val="left" w:pos="426"/>
                  </w:tabs>
                  <w:snapToGrid w:val="0"/>
                  <w:spacing w:line="400" w:lineRule="exact"/>
                  <w:ind w:firstLine="0" w:firstLineChars="0"/>
                  <w:jc w:val="both"/>
                  <w:rPr>
                    <w:rFonts w:ascii="Arial Narrow" w:hAnsi="Arial Narrow" w:eastAsia="宋体" w:cs="Times New Roman"/>
                    <w:kern w:val="2"/>
                    <w:sz w:val="18"/>
                    <w:szCs w:val="18"/>
                  </w:rPr>
                </w:pPr>
                <w:r>
                  <w:rPr>
                    <w:rFonts w:ascii="Times New Roman" w:hAnsi="Times New Roman" w:eastAsia="宋体" w:cs="Times New Roman"/>
                    <w:kern w:val="2"/>
                  </w:rPr>
                  <w:t>关联方组合</w:t>
                </w:r>
              </w:p>
            </w:tc>
            <w:tc>
              <w:tcPr>
                <w:tcW w:w="2340" w:type="dxa"/>
                <w:shd w:val="clear" w:color="auto" w:fill="auto"/>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ascii="Arial Narrow" w:hAnsi="Arial Narrow" w:eastAsia="宋体" w:cs="Times New Roman"/>
                    <w:kern w:val="2"/>
                    <w:szCs w:val="21"/>
                  </w:rPr>
                  <w:t>应收本公司合并范围内关联方款项</w:t>
                </w:r>
              </w:p>
            </w:tc>
            <w:tc>
              <w:tcPr>
                <w:tcW w:w="4890" w:type="dxa"/>
                <w:vAlign w:val="center"/>
              </w:tcPr>
              <w:p>
                <w:pPr>
                  <w:widowControl w:val="0"/>
                  <w:tabs>
                    <w:tab w:val="left" w:pos="196"/>
                    <w:tab w:val="left" w:pos="426"/>
                  </w:tabs>
                  <w:snapToGrid w:val="0"/>
                  <w:spacing w:line="24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不计提。</w:t>
                </w:r>
              </w:p>
            </w:tc>
          </w:tr>
        </w:tbl>
        <w:p>
          <w:pPr>
            <w:rPr>
              <w:szCs w:val="21"/>
            </w:rPr>
          </w:pPr>
        </w:p>
      </w:sdtContent>
    </w:sdt>
    <w:p>
      <w:pPr>
        <w:rPr>
          <w:rFonts w:cs="Times New Roman"/>
          <w:b/>
          <w:bCs/>
          <w:kern w:val="2"/>
          <w:szCs w:val="28"/>
        </w:rPr>
      </w:pPr>
    </w:p>
    <w:p>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26506"/>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26507"/>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 xml:space="preserve">公司按照先发生先收回的原则统计并计算应收账款账龄。 </w:t>
          </w:r>
        </w:p>
      </w:sdtContent>
    </w:sdt>
    <w:p>
      <w:pPr>
        <w:rPr>
          <w:rFonts w:cs="Times New Roman"/>
          <w:b/>
          <w:bCs/>
          <w:kern w:val="2"/>
          <w:szCs w:val="28"/>
        </w:rPr>
      </w:pPr>
    </w:p>
    <w:p>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26508"/>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本公司将债务人信用状况明显恶化、未来回款可能性较低、已经发生信用减值等信用风险特征明显不同的应收账款单独进行减值测试。</w:t>
      </w:r>
    </w:p>
    <w:p>
      <w:pPr>
        <w:rPr>
          <w:szCs w:val="21"/>
        </w:rPr>
      </w:pPr>
    </w:p>
    <w:p>
      <w:pPr>
        <w:pStyle w:val="229"/>
        <w:numPr>
          <w:ilvl w:val="0"/>
          <w:numId w:val="63"/>
        </w:numPr>
      </w:pPr>
      <w:bookmarkStart w:id="166" w:name="_Hlk24102310"/>
      <w:bookmarkStart w:id="167" w:name="_Hlk152690443"/>
      <w:r>
        <w:rPr>
          <w:rFonts w:hint="eastAsia"/>
        </w:rPr>
        <w:t>应收款项融资</w:t>
      </w:r>
    </w:p>
    <w:sdt>
      <w:sdtPr>
        <w:alias w:val="是否适用：应收款项融资_重要会计政策和估计[双击切换]"/>
        <w:tag w:val="_GBC_a2e41ba19b9541d683d17977f5a0e631"/>
        <w:id w:val="26509"/>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6"/>
    <w:p>
      <w:pPr>
        <w:rPr>
          <w:b/>
        </w:rPr>
      </w:pPr>
      <w:r>
        <w:rPr>
          <w:rFonts w:hint="eastAsia"/>
          <w:b/>
        </w:rPr>
        <w:t>应收款项融资预期信用损失的确定方法及会计处理方法</w:t>
      </w:r>
    </w:p>
    <w:sdt>
      <w:sdtPr>
        <w:alias w:val="是否适用：应收款项融资预期信用损失的确定方法及会计处理方法[双击切换]"/>
        <w:tag w:val="_GBC_9205d8eaf1c5457692563a4254ccea71"/>
        <w:id w:val="26510"/>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应收款项融资预期信用损失的确定方法及会计处理方法"/>
        <w:tag w:val="_GBC_d494628058d042838722bba8257b3e12"/>
        <w:id w:val="26511"/>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当在单项工具层面无法以合理成本评估预期信用损失的充分证据时，本公司参考历史信用损失经验，结合当前状况以及对未来经济状况的判断，依据信用风险特征将应收票据划分为若干组合，在组合基础上计算预期信用损失。</w:t>
          </w:r>
        </w:p>
        <w:p/>
      </w:sdtContent>
    </w:sdt>
    <w:p/>
    <w:bookmarkEnd w:id="167"/>
    <w:p>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26512"/>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26513"/>
        <w:placeholder>
          <w:docPart w:val="GBC22222222222222222222222222222"/>
        </w:placeholder>
      </w:sdtPr>
      <w:sdtEndPr>
        <w:rPr>
          <w:szCs w:val="21"/>
        </w:rPr>
      </w:sdtEndPr>
      <w:sdtContent>
        <w:p>
          <w:pPr>
            <w:rPr>
              <w:szCs w:val="21"/>
            </w:rPr>
          </w:pPr>
        </w:p>
        <w:tbl>
          <w:tblPr>
            <w:tblStyle w:val="125"/>
            <w:tblW w:w="881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85"/>
            <w:gridCol w:w="1959"/>
            <w:gridCol w:w="526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85" w:type="dxa"/>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Cs w:val="21"/>
                  </w:rPr>
                </w:pPr>
                <w:r>
                  <w:rPr>
                    <w:rFonts w:hint="eastAsia" w:ascii="Arial Narrow" w:hAnsi="Arial Narrow" w:eastAsia="宋体" w:cs="Times New Roman"/>
                    <w:kern w:val="2"/>
                    <w:szCs w:val="21"/>
                  </w:rPr>
                  <w:t>组合名称</w:t>
                </w:r>
              </w:p>
            </w:tc>
            <w:tc>
              <w:tcPr>
                <w:tcW w:w="1959" w:type="dxa"/>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Cs w:val="21"/>
                  </w:rPr>
                </w:pPr>
                <w:r>
                  <w:rPr>
                    <w:rFonts w:hint="eastAsia" w:ascii="Arial Narrow" w:hAnsi="Arial Narrow" w:eastAsia="宋体" w:cs="Times New Roman"/>
                    <w:kern w:val="2"/>
                    <w:szCs w:val="21"/>
                  </w:rPr>
                  <w:t>确定组合的依据</w:t>
                </w:r>
              </w:p>
            </w:tc>
            <w:tc>
              <w:tcPr>
                <w:tcW w:w="5268" w:type="dxa"/>
                <w:vAlign w:val="center"/>
              </w:tcPr>
              <w:p>
                <w:pPr>
                  <w:widowControl w:val="0"/>
                  <w:tabs>
                    <w:tab w:val="left" w:pos="196"/>
                    <w:tab w:val="left" w:pos="426"/>
                  </w:tabs>
                  <w:snapToGrid w:val="0"/>
                  <w:spacing w:line="480" w:lineRule="exact"/>
                  <w:ind w:firstLine="420" w:firstLineChars="200"/>
                  <w:jc w:val="center"/>
                  <w:rPr>
                    <w:rFonts w:ascii="Arial Narrow" w:hAnsi="Arial Narrow" w:eastAsia="宋体" w:cs="Times New Roman"/>
                    <w:kern w:val="2"/>
                    <w:szCs w:val="21"/>
                  </w:rPr>
                </w:pPr>
                <w:r>
                  <w:rPr>
                    <w:rFonts w:hint="eastAsia" w:ascii="Arial Narrow" w:hAnsi="Arial Narrow" w:eastAsia="宋体" w:cs="Times New Roman"/>
                    <w:kern w:val="2"/>
                    <w:szCs w:val="21"/>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85" w:type="dxa"/>
                <w:shd w:val="clear" w:color="auto" w:fill="auto"/>
                <w:vAlign w:val="center"/>
              </w:tcPr>
              <w:p>
                <w:pPr>
                  <w:widowControl w:val="0"/>
                  <w:tabs>
                    <w:tab w:val="left" w:pos="196"/>
                    <w:tab w:val="left" w:pos="426"/>
                  </w:tabs>
                  <w:snapToGrid w:val="0"/>
                  <w:spacing w:line="48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银行承兑汇票</w:t>
                </w:r>
              </w:p>
            </w:tc>
            <w:tc>
              <w:tcPr>
                <w:tcW w:w="1959" w:type="dxa"/>
                <w:shd w:val="clear" w:color="auto" w:fill="auto"/>
                <w:vAlign w:val="center"/>
              </w:tcPr>
              <w:p>
                <w:pPr>
                  <w:widowControl w:val="0"/>
                  <w:tabs>
                    <w:tab w:val="left" w:pos="196"/>
                    <w:tab w:val="left" w:pos="426"/>
                  </w:tabs>
                  <w:snapToGrid w:val="0"/>
                  <w:spacing w:line="48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信用风险较低银行</w:t>
                </w:r>
              </w:p>
            </w:tc>
            <w:tc>
              <w:tcPr>
                <w:tcW w:w="5268" w:type="dxa"/>
                <w:vAlign w:val="center"/>
              </w:tcPr>
              <w:p>
                <w:pPr>
                  <w:widowControl w:val="0"/>
                  <w:tabs>
                    <w:tab w:val="left" w:pos="196"/>
                    <w:tab w:val="left" w:pos="426"/>
                  </w:tabs>
                  <w:snapToGrid w:val="0"/>
                  <w:spacing w:line="240" w:lineRule="exact"/>
                  <w:ind w:firstLine="0" w:firstLineChars="0"/>
                  <w:jc w:val="both"/>
                  <w:rPr>
                    <w:rFonts w:ascii="宋体" w:hAnsi="宋体" w:eastAsia="宋体" w:cs="Times New Roman"/>
                    <w:kern w:val="2"/>
                    <w:szCs w:val="21"/>
                  </w:rPr>
                </w:pPr>
                <w:r>
                  <w:rPr>
                    <w:rFonts w:hint="eastAsia" w:ascii="宋体" w:hAnsi="宋体" w:eastAsia="宋体" w:cs="Times New Roman"/>
                    <w:kern w:val="2"/>
                    <w:szCs w:val="21"/>
                  </w:rPr>
                  <w:t>参考历史信用损失经验，结合当前状况以及对未来经济状况的预测，对未来12个月内的预期信用损失率，计算预期信用损失。</w:t>
                </w:r>
              </w:p>
            </w:tc>
          </w:tr>
        </w:tbl>
        <w:p>
          <w:pPr>
            <w:rPr>
              <w:szCs w:val="21"/>
            </w:rPr>
          </w:pPr>
        </w:p>
      </w:sdtContent>
    </w:sdt>
    <w:p>
      <w:pPr>
        <w:rPr>
          <w:rFonts w:cs="Times New Roman"/>
          <w:b/>
          <w:bCs/>
          <w:kern w:val="2"/>
          <w:szCs w:val="28"/>
        </w:rPr>
      </w:pPr>
    </w:p>
    <w:p>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2651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26515"/>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款项融资按照单项计提坏账准备的单项计提判断标准"/>
        <w:tag w:val="_GBC_b3b8295d655949dc97afd6a5c34f9a9a"/>
        <w:id w:val="26516"/>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本公司将债务人信用状况明显恶化、未来回款可能性较低、已经发生信用减值等信用风险特征明显不同的应收票据单独进行减值测试。</w:t>
          </w:r>
        </w:p>
        <w:p>
          <w:pPr>
            <w:rPr>
              <w:szCs w:val="21"/>
            </w:rPr>
          </w:pPr>
        </w:p>
      </w:sdtContent>
    </w:sdt>
    <w:p/>
    <w:p>
      <w:pPr>
        <w:pStyle w:val="229"/>
        <w:numPr>
          <w:ilvl w:val="0"/>
          <w:numId w:val="63"/>
        </w:numPr>
        <w:rPr>
          <w:szCs w:val="21"/>
        </w:rPr>
      </w:pPr>
      <w:bookmarkStart w:id="168" w:name="_Hlk533667836"/>
      <w:r>
        <w:rPr>
          <w:rFonts w:hint="eastAsia"/>
          <w:szCs w:val="21"/>
        </w:rPr>
        <w:t>其他应收款</w:t>
      </w:r>
    </w:p>
    <w:sdt>
      <w:sdtPr>
        <w:rPr>
          <w:rFonts w:hint="eastAsia"/>
        </w:rPr>
        <w:alias w:val="是否适用：其他应收款_重要会计政策和估计[双击切换]"/>
        <w:tag w:val="_GBC_bd9572d7068940d78105aa21662a4f54"/>
        <w:id w:val="26517"/>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rFonts w:cs="Times New Roman"/>
          <w:b/>
          <w:kern w:val="2"/>
          <w:szCs w:val="28"/>
        </w:rPr>
      </w:pPr>
      <w:r>
        <w:rPr>
          <w:rFonts w:hint="eastAsia" w:cs="Times New Roman"/>
          <w:b/>
          <w:kern w:val="2"/>
          <w:szCs w:val="28"/>
        </w:rPr>
        <w:t>其他应收款</w:t>
      </w:r>
      <w:r>
        <w:rPr>
          <w:rFonts w:cs="Times New Roman"/>
          <w:b/>
          <w:kern w:val="2"/>
          <w:szCs w:val="28"/>
        </w:rPr>
        <w:t>预期信用损失的确定方法及会计处理方法</w:t>
      </w:r>
    </w:p>
    <w:sdt>
      <w:sdtPr>
        <w:rPr>
          <w:szCs w:val="21"/>
        </w:rPr>
        <w:alias w:val="是否适用：其他应收款预期信用损失的确定方法及会计处理方法[双击切换]"/>
        <w:tag w:val="_GBC_d0c5c796c0ac47848c0907121820cf83"/>
        <w:id w:val="26518"/>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sdt>
        <w:sdtPr>
          <w:rPr>
            <w:rFonts w:hint="eastAsia"/>
            <w:szCs w:val="21"/>
          </w:rPr>
          <w:alias w:val="其他应收款预期信用损失的确定方法及会计处理方法"/>
          <w:tag w:val="_GBC_d89fd8b99fb74b308080a3d007b66530"/>
          <w:id w:val="26519"/>
          <w:placeholder>
            <w:docPart w:val="GBC22222222222222222222222222222"/>
          </w:placeholder>
        </w:sdtPr>
        <w:sdtEndPr>
          <w:rPr>
            <w:rFonts w:hint="eastAsia"/>
            <w:szCs w:val="21"/>
          </w:rPr>
        </w:sdtEndPr>
        <w:sdtContent>
          <w:r>
            <w:rPr>
              <w:rFonts w:hint="eastAsia"/>
              <w:szCs w:val="21"/>
            </w:rPr>
            <w:t xml:space="preserve">本公司对有客观证据表明其发生损失的其他应收款单独确定其信用损失。 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 </w:t>
          </w:r>
        </w:sdtContent>
      </w:sdt>
    </w:p>
    <w:p>
      <w:pPr>
        <w:rPr>
          <w:szCs w:val="21"/>
        </w:rPr>
      </w:pPr>
    </w:p>
    <w:bookmarkEnd w:id="168"/>
    <w:p>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其他应收款按照信用风险特征组合计提坏账准备的组合类别及确定依据[双击切换]"/>
        <w:tag w:val="_GBC_f39444fc293a46c5ae832091674d34c9"/>
        <w:id w:val="26520"/>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26521"/>
        <w:placeholder>
          <w:docPart w:val="GBC22222222222222222222222222222"/>
        </w:placeholder>
      </w:sdtPr>
      <w:sdtEndPr>
        <w:rPr>
          <w:szCs w:val="21"/>
        </w:rPr>
      </w:sdtEndPr>
      <w:sdtContent>
        <w:p>
          <w:pPr>
            <w:rPr>
              <w:szCs w:val="21"/>
            </w:rPr>
          </w:pPr>
        </w:p>
        <w:tbl>
          <w:tblPr>
            <w:tblStyle w:val="125"/>
            <w:tblW w:w="864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54"/>
            <w:gridCol w:w="2629"/>
            <w:gridCol w:w="446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554" w:type="dxa"/>
                <w:shd w:val="clear" w:color="auto" w:fill="auto"/>
                <w:vAlign w:val="center"/>
              </w:tcPr>
              <w:p>
                <w:pPr>
                  <w:widowControl w:val="0"/>
                  <w:tabs>
                    <w:tab w:val="left" w:pos="196"/>
                    <w:tab w:val="left" w:pos="426"/>
                  </w:tabs>
                  <w:snapToGrid w:val="0"/>
                  <w:spacing w:line="480" w:lineRule="exact"/>
                  <w:ind w:firstLine="233" w:firstLineChars="111"/>
                  <w:jc w:val="both"/>
                  <w:rPr>
                    <w:rFonts w:ascii="Arial Narrow" w:hAnsi="Arial Narrow" w:eastAsia="宋体" w:cs="Times New Roman"/>
                    <w:kern w:val="2"/>
                    <w:szCs w:val="21"/>
                  </w:rPr>
                </w:pPr>
                <w:r>
                  <w:rPr>
                    <w:rFonts w:hint="eastAsia" w:ascii="Arial Narrow" w:hAnsi="Arial Narrow" w:eastAsia="宋体" w:cs="Times New Roman"/>
                    <w:kern w:val="2"/>
                    <w:szCs w:val="21"/>
                  </w:rPr>
                  <w:t>组合名称</w:t>
                </w:r>
              </w:p>
            </w:tc>
            <w:tc>
              <w:tcPr>
                <w:tcW w:w="2629" w:type="dxa"/>
                <w:shd w:val="clear" w:color="auto" w:fill="auto"/>
                <w:vAlign w:val="center"/>
              </w:tcPr>
              <w:p>
                <w:pPr>
                  <w:widowControl w:val="0"/>
                  <w:tabs>
                    <w:tab w:val="left" w:pos="196"/>
                    <w:tab w:val="left" w:pos="426"/>
                  </w:tabs>
                  <w:snapToGrid w:val="0"/>
                  <w:spacing w:line="480" w:lineRule="exact"/>
                  <w:ind w:firstLine="233" w:firstLineChars="111"/>
                  <w:jc w:val="both"/>
                  <w:rPr>
                    <w:rFonts w:ascii="Arial Narrow" w:hAnsi="Arial Narrow" w:eastAsia="宋体" w:cs="Times New Roman"/>
                    <w:kern w:val="2"/>
                    <w:szCs w:val="21"/>
                  </w:rPr>
                </w:pPr>
                <w:r>
                  <w:rPr>
                    <w:rFonts w:hint="eastAsia" w:ascii="Arial Narrow" w:hAnsi="Arial Narrow" w:eastAsia="宋体" w:cs="Times New Roman"/>
                    <w:kern w:val="2"/>
                    <w:szCs w:val="21"/>
                  </w:rPr>
                  <w:t>确定组合的依据</w:t>
                </w:r>
              </w:p>
            </w:tc>
            <w:tc>
              <w:tcPr>
                <w:tcW w:w="4464" w:type="dxa"/>
                <w:vAlign w:val="center"/>
              </w:tcPr>
              <w:p>
                <w:pPr>
                  <w:widowControl w:val="0"/>
                  <w:tabs>
                    <w:tab w:val="left" w:pos="196"/>
                    <w:tab w:val="left" w:pos="426"/>
                  </w:tabs>
                  <w:snapToGrid w:val="0"/>
                  <w:spacing w:line="480" w:lineRule="exact"/>
                  <w:ind w:firstLine="420" w:firstLineChars="200"/>
                  <w:jc w:val="center"/>
                  <w:rPr>
                    <w:rFonts w:ascii="Arial Narrow" w:hAnsi="Arial Narrow" w:eastAsia="宋体" w:cs="Times New Roman"/>
                    <w:kern w:val="2"/>
                    <w:szCs w:val="21"/>
                  </w:rPr>
                </w:pPr>
                <w:r>
                  <w:rPr>
                    <w:rFonts w:hint="eastAsia" w:ascii="Arial Narrow" w:hAnsi="Arial Narrow" w:eastAsia="宋体" w:cs="Times New Roman"/>
                    <w:kern w:val="2"/>
                    <w:szCs w:val="21"/>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54"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ascii="Times New Roman" w:hAnsi="Times New Roman" w:eastAsia="宋体" w:cs="Times New Roman"/>
                    <w:kern w:val="2"/>
                    <w:szCs w:val="21"/>
                  </w:rPr>
                  <w:t>账龄组合</w:t>
                </w:r>
              </w:p>
            </w:tc>
            <w:tc>
              <w:tcPr>
                <w:tcW w:w="2629"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ascii="Times New Roman" w:hAnsi="Times New Roman" w:eastAsia="宋体" w:cs="Times New Roman"/>
                    <w:kern w:val="2"/>
                    <w:szCs w:val="21"/>
                  </w:rPr>
                  <w:t>按账龄划分的具有类似信用风险特征的其他应收款</w:t>
                </w:r>
              </w:p>
            </w:tc>
            <w:tc>
              <w:tcPr>
                <w:tcW w:w="4464" w:type="dxa"/>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参考历史信用损失经验，结合当前状况以及对未来经济状况的预测，按账龄与未来12个月内或整个存续期预期信用损失率对照表计提。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54"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关联方组合</w:t>
                </w:r>
              </w:p>
            </w:tc>
            <w:tc>
              <w:tcPr>
                <w:tcW w:w="2629" w:type="dxa"/>
                <w:shd w:val="clear" w:color="auto" w:fill="auto"/>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应收本公司合并范围内子公司款项</w:t>
                </w:r>
              </w:p>
            </w:tc>
            <w:tc>
              <w:tcPr>
                <w:tcW w:w="4464" w:type="dxa"/>
                <w:vAlign w:val="center"/>
              </w:tcPr>
              <w:p>
                <w:pPr>
                  <w:widowControl w:val="0"/>
                  <w:tabs>
                    <w:tab w:val="left" w:pos="196"/>
                    <w:tab w:val="left" w:pos="426"/>
                  </w:tabs>
                  <w:snapToGrid w:val="0"/>
                  <w:spacing w:line="320" w:lineRule="exact"/>
                  <w:ind w:firstLine="0" w:firstLineChars="0"/>
                  <w:jc w:val="both"/>
                  <w:rPr>
                    <w:rFonts w:ascii="Arial Narrow" w:hAnsi="Arial Narrow" w:eastAsia="宋体" w:cs="Times New Roman"/>
                    <w:kern w:val="2"/>
                    <w:szCs w:val="21"/>
                  </w:rPr>
                </w:pPr>
                <w:r>
                  <w:rPr>
                    <w:rFonts w:hint="eastAsia" w:ascii="Arial Narrow" w:hAnsi="Arial Narrow" w:eastAsia="宋体" w:cs="Times New Roman"/>
                    <w:kern w:val="2"/>
                    <w:szCs w:val="21"/>
                  </w:rPr>
                  <w:t>不计提。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54" w:type="dxa"/>
                <w:shd w:val="clear" w:color="auto" w:fill="auto"/>
                <w:vAlign w:val="center"/>
              </w:tcPr>
              <w:p>
                <w:pPr>
                  <w:widowControl w:val="0"/>
                  <w:tabs>
                    <w:tab w:val="left" w:pos="196"/>
                    <w:tab w:val="left" w:pos="426"/>
                  </w:tabs>
                  <w:snapToGrid w:val="0"/>
                  <w:spacing w:line="320" w:lineRule="exact"/>
                  <w:ind w:firstLine="0" w:firstLineChars="0"/>
                  <w:jc w:val="both"/>
                  <w:rPr>
                    <w:rFonts w:hint="eastAsia" w:ascii="Arial Narrow" w:hAnsi="Arial Narrow" w:eastAsia="宋体" w:cs="Times New Roman"/>
                    <w:kern w:val="2"/>
                    <w:szCs w:val="21"/>
                  </w:rPr>
                </w:pPr>
                <w:r>
                  <w:t>保证金组合</w:t>
                </w:r>
              </w:p>
            </w:tc>
            <w:tc>
              <w:tcPr>
                <w:tcW w:w="2629" w:type="dxa"/>
                <w:shd w:val="clear" w:color="auto" w:fill="auto"/>
                <w:vAlign w:val="center"/>
              </w:tcPr>
              <w:p>
                <w:pPr>
                  <w:widowControl w:val="0"/>
                  <w:tabs>
                    <w:tab w:val="left" w:pos="196"/>
                    <w:tab w:val="left" w:pos="426"/>
                  </w:tabs>
                  <w:snapToGrid w:val="0"/>
                  <w:spacing w:line="320" w:lineRule="exact"/>
                  <w:ind w:firstLine="0" w:firstLineChars="0"/>
                  <w:jc w:val="both"/>
                  <w:rPr>
                    <w:rFonts w:hint="eastAsia" w:ascii="Arial Narrow" w:hAnsi="Arial Narrow" w:eastAsia="宋体" w:cs="Times New Roman"/>
                    <w:kern w:val="2"/>
                    <w:szCs w:val="21"/>
                  </w:rPr>
                </w:pPr>
                <w:r>
                  <w:t>款项性质</w:t>
                </w:r>
              </w:p>
            </w:tc>
            <w:tc>
              <w:tcPr>
                <w:tcW w:w="4464" w:type="dxa"/>
                <w:vAlign w:val="center"/>
              </w:tcPr>
              <w:p>
                <w:pPr>
                  <w:widowControl w:val="0"/>
                  <w:tabs>
                    <w:tab w:val="left" w:pos="196"/>
                    <w:tab w:val="left" w:pos="426"/>
                  </w:tabs>
                  <w:snapToGrid w:val="0"/>
                  <w:spacing w:line="320" w:lineRule="exact"/>
                  <w:ind w:firstLine="0" w:firstLineChars="0"/>
                  <w:jc w:val="both"/>
                  <w:rPr>
                    <w:rFonts w:hint="eastAsia" w:ascii="Arial Narrow" w:hAnsi="Arial Narrow" w:eastAsia="宋体" w:cs="Times New Roman"/>
                    <w:kern w:val="2"/>
                    <w:szCs w:val="21"/>
                  </w:rPr>
                </w:pPr>
                <w:r>
                  <w:t>不计提。</w:t>
                </w:r>
              </w:p>
            </w:tc>
          </w:tr>
        </w:tbl>
        <w:p/>
      </w:sdtContent>
    </w:sdt>
    <w:p>
      <w:pPr>
        <w:rPr>
          <w:rFonts w:cs="Times New Roman"/>
          <w:b/>
          <w:bCs/>
          <w:kern w:val="2"/>
          <w:szCs w:val="28"/>
        </w:rPr>
      </w:pPr>
    </w:p>
    <w:p>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26522"/>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应收款基于账龄确认信用风险特征组合的账龄计算方法"/>
        <w:tag w:val="_GBC_80958ddf46f043c29fa2147d0266ca2b"/>
        <w:id w:val="26523"/>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szCs w:val="21"/>
            </w:rPr>
            <w:t>公司按照先发生先收回的原则统计并计算其他应收款账龄。</w:t>
          </w:r>
        </w:p>
      </w:sdtContent>
    </w:sdt>
    <w:p>
      <w:pPr>
        <w:rPr>
          <w:rFonts w:cs="Times New Roman"/>
          <w:b/>
          <w:bCs/>
          <w:kern w:val="2"/>
          <w:szCs w:val="28"/>
        </w:rPr>
      </w:pPr>
    </w:p>
    <w:p>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26524"/>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应收款按照单项计提坏账准备的单项计提判断标准"/>
        <w:tag w:val="_GBC_ab193709afff47ac84ee1dbf87f804f7"/>
        <w:id w:val="26525"/>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本公司将债务人信用状况明显恶化、未来回款可能性较低、已经发生信用减值等信用风险特征明显不同的其他应收款单独进行减值测试。</w:t>
          </w:r>
        </w:p>
        <w:p>
          <w:pPr>
            <w:rPr>
              <w:szCs w:val="21"/>
            </w:rPr>
          </w:pPr>
        </w:p>
      </w:sdtContent>
    </w:sdt>
    <w:p>
      <w:pPr>
        <w:pStyle w:val="229"/>
        <w:numPr>
          <w:ilvl w:val="0"/>
          <w:numId w:val="63"/>
        </w:numPr>
      </w:pPr>
      <w:r>
        <w:t>存货</w:t>
      </w:r>
    </w:p>
    <w:sdt>
      <w:sdtPr>
        <w:rPr>
          <w:rFonts w:hint="eastAsia"/>
          <w:szCs w:val="21"/>
        </w:rPr>
        <w:alias w:val="是否适用：存货_重要会计政策和估计[双击切换]"/>
        <w:tag w:val="_GBC_dcacbe0db27e4ea5b80fa4aefb3bdbac"/>
        <w:id w:val="26526"/>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kern w:val="2"/>
          <w:szCs w:val="28"/>
        </w:rPr>
      </w:pPr>
      <w:bookmarkStart w:id="169" w:name="_Hlk152678121"/>
      <w:r>
        <w:rPr>
          <w:rFonts w:cs="Times New Roman"/>
          <w:b/>
          <w:kern w:val="2"/>
          <w:szCs w:val="28"/>
        </w:rPr>
        <w:t>存货</w:t>
      </w:r>
      <w:r>
        <w:rPr>
          <w:rFonts w:hint="eastAsia" w:cs="Times New Roman"/>
          <w:b/>
          <w:kern w:val="2"/>
          <w:szCs w:val="28"/>
        </w:rPr>
        <w:t>类别、发出计价方法、盘存制度、低值易耗品和包装物的摊销方法</w:t>
      </w:r>
    </w:p>
    <w:bookmarkEnd w:id="169"/>
    <w:sdt>
      <w:sdtPr>
        <w:rPr>
          <w:szCs w:val="21"/>
        </w:rPr>
        <w:alias w:val="是否适用：存货类别、发出计价方法、盘存制度、低值易耗品和包装物的摊销方法[双击切换]"/>
        <w:tag w:val="_GBC_7a24117441bd45edbee63ef5c75fa013"/>
        <w:id w:val="26527"/>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26528"/>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（1）存货的分类</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开发成本等。</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（2）存货的计价方法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存货在取得时，按成本进行初始计量，包括采购成本、加工成本和其他成本。存货发出时按先进先出法月末一次加权平均法计价。</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w:t>
          </w:r>
          <w:r>
            <w:rPr>
              <w:rFonts w:hint="eastAsia"/>
              <w:szCs w:val="21"/>
              <w:lang w:val="en-US" w:eastAsia="zh-CN"/>
            </w:rPr>
            <w:t>3</w:t>
          </w:r>
          <w:r>
            <w:rPr>
              <w:rFonts w:hint="eastAsia"/>
              <w:szCs w:val="21"/>
            </w:rPr>
            <w:t>）存货的盘存制度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存货的盘存采用永续盘存制。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w:t>
          </w:r>
          <w:r>
            <w:rPr>
              <w:rFonts w:hint="eastAsia"/>
              <w:szCs w:val="21"/>
              <w:lang w:val="en-US" w:eastAsia="zh-CN"/>
            </w:rPr>
            <w:t>4</w:t>
          </w:r>
          <w:r>
            <w:rPr>
              <w:rFonts w:hint="eastAsia"/>
              <w:szCs w:val="21"/>
            </w:rPr>
            <w:t>）低值易耗品和包装物的摊销方法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低值易耗品和包装物采用一次转销法摊销。</w:t>
          </w:r>
        </w:p>
        <w:p>
          <w:pPr>
            <w:rPr>
              <w:szCs w:val="21"/>
            </w:rPr>
          </w:pPr>
        </w:p>
      </w:sdtContent>
    </w:sdt>
    <w:p>
      <w:pPr>
        <w:rPr>
          <w:rFonts w:cs="Times New Roman"/>
          <w:szCs w:val="21"/>
          <w:highlight w:val="yellow"/>
        </w:rPr>
      </w:pPr>
    </w:p>
    <w:p>
      <w:pPr>
        <w:rPr>
          <w:rFonts w:cs="Times New Roman"/>
          <w:b/>
          <w:kern w:val="2"/>
          <w:szCs w:val="28"/>
          <w:highlight w:val="none"/>
        </w:rPr>
      </w:pPr>
      <w:r>
        <w:rPr>
          <w:rFonts w:cs="Times New Roman"/>
          <w:b/>
          <w:kern w:val="2"/>
          <w:szCs w:val="28"/>
          <w:highlight w:val="none"/>
        </w:rPr>
        <w:t>存货跌价准备的确认标准和计提方法</w:t>
      </w:r>
    </w:p>
    <w:sdt>
      <w:sdtPr>
        <w:rPr>
          <w:szCs w:val="21"/>
          <w:highlight w:val="none"/>
        </w:rPr>
        <w:alias w:val="是否适用：存货跌价准备的确认标准和计提方法[双击切换]"/>
        <w:tag w:val="_GBC_6e8ebb9994fe404dba2a12ec5c785d83"/>
        <w:id w:val="26529"/>
        <w:lock w:val="sdtLocked"/>
        <w:placeholder>
          <w:docPart w:val="GBC22222222222222222222222222222"/>
        </w:placeholder>
      </w:sdtPr>
      <w:sdtEndPr>
        <w:rPr>
          <w:szCs w:val="21"/>
          <w:highlight w:val="yellow"/>
        </w:rPr>
      </w:sdtEndPr>
      <w:sdtContent>
        <w:p>
          <w:pPr>
            <w:rPr>
              <w:szCs w:val="21"/>
              <w:highlight w:val="yellow"/>
            </w:rPr>
          </w:pPr>
          <w:r>
            <w:rPr>
              <w:szCs w:val="21"/>
              <w:highlight w:val="none"/>
            </w:rPr>
            <w:fldChar w:fldCharType="begin"/>
          </w:r>
          <w:r>
            <w:rPr>
              <w:szCs w:val="21"/>
              <w:highlight w:val="none"/>
            </w:rPr>
            <w:instrText xml:space="preserve"> MACROBUTTON  SnrToggleCheckbox √适用 </w:instrText>
          </w:r>
          <w:r>
            <w:rPr>
              <w:szCs w:val="21"/>
              <w:highlight w:val="none"/>
            </w:rPr>
            <w:fldChar w:fldCharType="end"/>
          </w:r>
          <w:r>
            <w:rPr>
              <w:szCs w:val="21"/>
              <w:highlight w:val="none"/>
            </w:rPr>
            <w:fldChar w:fldCharType="begin"/>
          </w:r>
          <w:r>
            <w:rPr>
              <w:szCs w:val="21"/>
              <w:highlight w:val="none"/>
            </w:rPr>
            <w:instrText xml:space="preserve"> MACROBUTTON  SnrToggleCheckbox □不适用 </w:instrText>
          </w:r>
          <w:r>
            <w:rPr>
              <w:szCs w:val="21"/>
              <w:highlight w:val="none"/>
            </w:rPr>
            <w:fldChar w:fldCharType="end"/>
          </w:r>
        </w:p>
      </w:sdtContent>
    </w:sdt>
    <w:sdt>
      <w:sdtPr>
        <w:rPr>
          <w:szCs w:val="21"/>
          <w:highlight w:val="yellow"/>
        </w:rPr>
        <w:alias w:val="存货跌价准备的确认标准和计提方法"/>
        <w:tag w:val="_GBC_94e79c0b2c2f4552b5ec962b8df1c2f0"/>
        <w:id w:val="26530"/>
        <w:lock w:val="sdtLocked"/>
        <w:placeholder>
          <w:docPart w:val="GBC22222222222222222222222222222"/>
        </w:placeholder>
      </w:sdtPr>
      <w:sdtEndPr>
        <w:rPr>
          <w:rFonts w:hint="eastAsia"/>
          <w:szCs w:val="21"/>
          <w:highlight w:val="yellow"/>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以前减记存货价值的影响因素已经消失的，减记的金额予以恢复，并在原已计提的存货跌价准备金额内转回，转回的金额计入当期损益。</w:t>
          </w:r>
        </w:p>
      </w:sdtContent>
    </w:sdt>
    <w:p>
      <w:pPr>
        <w:rPr>
          <w:rFonts w:cs="Times New Roman"/>
          <w:b/>
          <w:kern w:val="2"/>
          <w:szCs w:val="28"/>
          <w:highlight w:val="yellow"/>
        </w:rPr>
      </w:pPr>
    </w:p>
    <w:p>
      <w:pPr>
        <w:rPr>
          <w:rFonts w:cs="Times New Roman"/>
          <w:b/>
          <w:kern w:val="2"/>
          <w:szCs w:val="28"/>
          <w:highlight w:val="none"/>
        </w:rPr>
      </w:pPr>
      <w:r>
        <w:rPr>
          <w:rFonts w:cs="Times New Roman"/>
          <w:b/>
          <w:kern w:val="2"/>
          <w:szCs w:val="28"/>
          <w:highlight w:val="none"/>
        </w:rPr>
        <w:t>按照组合计提存货跌价准备的组合类别及确定依据</w:t>
      </w:r>
      <w:r>
        <w:rPr>
          <w:rFonts w:hint="eastAsia" w:cs="Times New Roman"/>
          <w:b/>
          <w:bCs/>
          <w:kern w:val="2"/>
          <w:szCs w:val="28"/>
          <w:highlight w:val="none"/>
        </w:rPr>
        <w:t>、</w:t>
      </w:r>
      <w:r>
        <w:rPr>
          <w:rFonts w:hint="eastAsia"/>
          <w:b/>
          <w:bCs/>
          <w:highlight w:val="none"/>
        </w:rPr>
        <w:t>不同类别存货可变现净值的确定依据</w:t>
      </w:r>
    </w:p>
    <w:sdt>
      <w:sdtPr>
        <w:rPr>
          <w:szCs w:val="21"/>
          <w:highlight w:val="none"/>
        </w:rPr>
        <w:alias w:val="是否适用：按照组合计提存货跌价准备的组合类别及确定依据、不同类别存货可变现净值的确定依据[双击切换]"/>
        <w:tag w:val="_GBC_497390f68e764f2baa3b06eda7d6c944"/>
        <w:id w:val="26531"/>
        <w:placeholder>
          <w:docPart w:val="GBC22222222222222222222222222222"/>
        </w:placeholder>
      </w:sdtPr>
      <w:sdtEndPr>
        <w:rPr>
          <w:szCs w:val="21"/>
          <w:highlight w:val="none"/>
        </w:rPr>
      </w:sdtEndPr>
      <w:sdtContent>
        <w:p>
          <w:pPr>
            <w:outlineLvl w:val="9"/>
            <w:rPr>
              <w:szCs w:val="21"/>
              <w:highlight w:val="none"/>
            </w:rPr>
          </w:pPr>
          <w:r>
            <w:rPr>
              <w:szCs w:val="21"/>
              <w:highlight w:val="none"/>
            </w:rPr>
            <w:fldChar w:fldCharType="begin"/>
          </w:r>
          <w:r>
            <w:rPr>
              <w:rFonts w:hint="eastAsia"/>
              <w:szCs w:val="21"/>
              <w:highlight w:val="none"/>
              <w:lang w:eastAsia="zh-CN"/>
            </w:rPr>
            <w:instrText xml:space="preserve"> MACROBUTTON  SnrToggleCheckbox □适用 </w:instrText>
          </w:r>
          <w:r>
            <w:rPr>
              <w:szCs w:val="21"/>
              <w:highlight w:val="none"/>
            </w:rPr>
            <w:fldChar w:fldCharType="end"/>
          </w:r>
          <w:r>
            <w:rPr>
              <w:szCs w:val="21"/>
              <w:highlight w:val="none"/>
            </w:rPr>
            <w:fldChar w:fldCharType="begin"/>
          </w:r>
          <w:r>
            <w:rPr>
              <w:rFonts w:hint="eastAsia"/>
              <w:szCs w:val="21"/>
              <w:highlight w:val="none"/>
              <w:lang w:eastAsia="zh-CN"/>
            </w:rPr>
            <w:instrText xml:space="preserve"> MACROBUTTON  SnrToggleCheckbox √不适用 </w:instrText>
          </w:r>
          <w:r>
            <w:rPr>
              <w:szCs w:val="21"/>
              <w:highlight w:val="none"/>
            </w:rPr>
            <w:fldChar w:fldCharType="end"/>
          </w:r>
        </w:p>
      </w:sdtContent>
    </w:sdt>
    <w:p>
      <w:pPr>
        <w:rPr>
          <w:rFonts w:cs="Times New Roman"/>
          <w:b/>
          <w:kern w:val="2"/>
          <w:szCs w:val="28"/>
          <w:highlight w:val="none"/>
        </w:rPr>
      </w:pPr>
    </w:p>
    <w:p>
      <w:pPr>
        <w:rPr>
          <w:rFonts w:cs="Times New Roman"/>
          <w:b/>
          <w:kern w:val="2"/>
          <w:szCs w:val="28"/>
          <w:highlight w:val="none"/>
        </w:rPr>
      </w:pPr>
      <w:r>
        <w:rPr>
          <w:rFonts w:cs="Times New Roman"/>
          <w:b/>
          <w:kern w:val="2"/>
          <w:szCs w:val="28"/>
          <w:highlight w:val="none"/>
        </w:rPr>
        <w:t>基于库龄确认存货可变现净值的各库龄组合可变现净值的计算方法和确定依据</w:t>
      </w:r>
    </w:p>
    <w:sdt>
      <w:sdtPr>
        <w:rPr>
          <w:szCs w:val="21"/>
          <w:highlight w:val="none"/>
        </w:rPr>
        <w:alias w:val="是否适用：基于库龄确认存货可变现净值的各库龄组合可变现净值的计算方法和确定依据[双击切换]"/>
        <w:tag w:val="_GBC_9d365dfe8a544c55a4c1edb1470b656d"/>
        <w:id w:val="26533"/>
        <w:placeholder>
          <w:docPart w:val="GBC22222222222222222222222222222"/>
        </w:placeholder>
      </w:sdtPr>
      <w:sdtEndPr>
        <w:rPr>
          <w:szCs w:val="21"/>
          <w:highlight w:val="none"/>
        </w:rPr>
      </w:sdtEndPr>
      <w:sdtContent>
        <w:p>
          <w:pPr>
            <w:outlineLvl w:val="9"/>
            <w:rPr>
              <w:szCs w:val="21"/>
              <w:highlight w:val="none"/>
            </w:rPr>
          </w:pPr>
          <w:r>
            <w:rPr>
              <w:szCs w:val="21"/>
              <w:highlight w:val="none"/>
            </w:rPr>
            <w:fldChar w:fldCharType="begin"/>
          </w:r>
          <w:r>
            <w:rPr>
              <w:rFonts w:hint="eastAsia"/>
              <w:szCs w:val="21"/>
              <w:highlight w:val="none"/>
              <w:lang w:eastAsia="zh-CN"/>
            </w:rPr>
            <w:instrText xml:space="preserve"> MACROBUTTON  SnrToggleCheckbox □适用 </w:instrText>
          </w:r>
          <w:r>
            <w:rPr>
              <w:szCs w:val="21"/>
              <w:highlight w:val="none"/>
            </w:rPr>
            <w:fldChar w:fldCharType="end"/>
          </w:r>
          <w:r>
            <w:rPr>
              <w:szCs w:val="21"/>
              <w:highlight w:val="none"/>
            </w:rPr>
            <w:fldChar w:fldCharType="begin"/>
          </w:r>
          <w:r>
            <w:rPr>
              <w:rFonts w:hint="eastAsia"/>
              <w:szCs w:val="21"/>
              <w:highlight w:val="none"/>
              <w:lang w:eastAsia="zh-CN"/>
            </w:rPr>
            <w:instrText xml:space="preserve"> MACROBUTTON  SnrToggleCheckbox √不适用 </w:instrText>
          </w:r>
          <w:r>
            <w:rPr>
              <w:szCs w:val="21"/>
              <w:highlight w:val="none"/>
            </w:rPr>
            <w:fldChar w:fldCharType="end"/>
          </w:r>
        </w:p>
      </w:sdtContent>
    </w:sdt>
    <w:p>
      <w:pPr>
        <w:rPr>
          <w:rFonts w:cs="Times New Roman"/>
          <w:szCs w:val="21"/>
        </w:rPr>
      </w:pPr>
    </w:p>
    <w:p>
      <w:pPr>
        <w:pStyle w:val="229"/>
        <w:numPr>
          <w:ilvl w:val="0"/>
          <w:numId w:val="63"/>
        </w:numPr>
        <w:rPr>
          <w:szCs w:val="21"/>
          <w:highlight w:val="none"/>
        </w:rPr>
      </w:pPr>
      <w:bookmarkStart w:id="170" w:name="_Hlk533667851"/>
      <w:r>
        <w:rPr>
          <w:rFonts w:hint="eastAsia"/>
          <w:szCs w:val="21"/>
          <w:highlight w:val="none"/>
        </w:rPr>
        <w:t>合同资产</w:t>
      </w:r>
    </w:p>
    <w:sdt>
      <w:sdtPr>
        <w:rPr>
          <w:rFonts w:hint="eastAsia"/>
        </w:rPr>
        <w:alias w:val="是否适用：合同资产_重要会计政策和估计[双击切换]"/>
        <w:tag w:val="_GBC_5a88c6aff74e4eb184d0541279c7f45e"/>
        <w:id w:val="26535"/>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rFonts w:cs="Times New Roman"/>
          <w:b/>
          <w:kern w:val="2"/>
          <w:szCs w:val="28"/>
        </w:rPr>
      </w:pPr>
      <w:r>
        <w:rPr>
          <w:rFonts w:hint="eastAsia" w:cs="Times New Roman"/>
          <w:b/>
          <w:kern w:val="2"/>
          <w:szCs w:val="28"/>
        </w:rPr>
        <w:t>合同资产的确认方法及标准</w:t>
      </w:r>
    </w:p>
    <w:sdt>
      <w:sdtPr>
        <w:rPr>
          <w:szCs w:val="21"/>
        </w:rPr>
        <w:alias w:val="是否适用：合同资产的确定方法、摊销方法和减值测试方法[双击切换]"/>
        <w:tag w:val="_GBC_1b5df72f15664694ad46f712f5c33e91"/>
        <w:id w:val="26536"/>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合同资产的确定方法、摊销方法和减值测试方法"/>
        <w:tag w:val="_GBC_82d4491d0bbc4d81ab154bd0c0c35176"/>
        <w:id w:val="26537"/>
        <w:placeholder>
          <w:docPart w:val="GBC22222222222222222222222222222"/>
        </w:placeholder>
      </w:sdtPr>
      <w:sdtEndPr>
        <w:rPr>
          <w:rFonts w:hint="eastAs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 xml:space="preserve">在本公司与客户的合同中，本公司有权就已向客户转让商品、提供的相关服务而收取合同价款，与此同时承担将商品或服务转移给客户的履约义务。当客户实际支付合同对价或在该对价到期应付之前，企业已经向客户转移了商品或服务，则应当将因已转让商品或服务而有权收取对价的权利列示为合同资产，在取得无条件收款权时确认为应收账款或长期应收款。  在本公司与客户的合同中，本公司有权在尚未向客户转移商品或服务之前收取合同对价，与此同时将已收或应收客户对价而应向客户转移商品或服务的义务列示为合同负债。当本公司履行向客户转让商品或提供服务的义务时，合同负债确认为收入。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szCs w:val="21"/>
            </w:rPr>
          </w:pPr>
          <w:r>
            <w:rPr>
              <w:rFonts w:hint="eastAsia"/>
              <w:szCs w:val="21"/>
            </w:rPr>
            <w:t xml:space="preserve">本公司对于同一合同下的合同资产和合同负债以净额列示。 </w:t>
          </w:r>
        </w:p>
      </w:sdtContent>
    </w:sdt>
    <w:bookmarkEnd w:id="170"/>
    <w:p>
      <w:pPr>
        <w:rPr>
          <w:rFonts w:cs="Times New Roman"/>
          <w:b/>
          <w:kern w:val="2"/>
          <w:szCs w:val="28"/>
        </w:rPr>
      </w:pPr>
      <w:bookmarkStart w:id="171" w:name="_Hlk533667866"/>
      <w:r>
        <w:rPr>
          <w:rFonts w:hint="eastAsia" w:cs="Times New Roman"/>
          <w:b/>
          <w:kern w:val="2"/>
          <w:szCs w:val="28"/>
        </w:rPr>
        <w:t>合同资产预期信用损失的确定方法及会计处理方法</w:t>
      </w:r>
    </w:p>
    <w:sdt>
      <w:sdtPr>
        <w:rPr>
          <w:szCs w:val="21"/>
        </w:rPr>
        <w:alias w:val="是否适用：合同资产预期信用损失的确定方法及会计处理方法[双击切换]"/>
        <w:tag w:val="_GBC_8c12b6b1febf4f9ab1540f119bcd3247"/>
        <w:id w:val="2653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171"/>
    <w:p>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26540"/>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2654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2654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63"/>
        </w:numPr>
        <w:ind w:left="450" w:hanging="450"/>
        <w:rPr>
          <w:szCs w:val="21"/>
        </w:rPr>
      </w:pPr>
      <w:r>
        <w:rPr>
          <w:rFonts w:hint="eastAsia"/>
        </w:rPr>
        <w:t>持有</w:t>
      </w:r>
      <w:r>
        <w:rPr>
          <w:rFonts w:hint="eastAsia" w:ascii="宋体" w:hAnsi="宋体"/>
          <w:szCs w:val="21"/>
        </w:rPr>
        <w:t>待</w:t>
      </w:r>
      <w:r>
        <w:rPr>
          <w:rFonts w:ascii="宋体" w:hAnsi="宋体"/>
          <w:szCs w:val="21"/>
        </w:rPr>
        <w:t>售的非流动资产或处置组</w:t>
      </w:r>
    </w:p>
    <w:sdt>
      <w:sdtPr>
        <w:rPr>
          <w:szCs w:val="21"/>
        </w:rPr>
        <w:alias w:val="是否适用：持有待售的非流动资产或处置组[双击切换]"/>
        <w:tag w:val="_GBC_e7f5369a15ba4034bd2498c40687a411"/>
        <w:id w:val="26546"/>
        <w:placeholder>
          <w:docPart w:val="GBC22222222222222222222222222222"/>
        </w:placeholder>
      </w:sdtPr>
      <w:sdtEndPr>
        <w:rPr>
          <w:szCs w:val="21"/>
        </w:rPr>
      </w:sdtEndPr>
      <w:sdtContent>
        <w:p>
          <w:pPr>
            <w:outlineLvl w:val="9"/>
            <w:rPr>
              <w:szCs w:val="21"/>
            </w:rPr>
          </w:pPr>
          <w:bookmarkStart w:id="172" w:name="_Hlk533151067"/>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172"/>
    <w:p>
      <w:pPr>
        <w:rPr>
          <w:rFonts w:cs="Times New Roman"/>
          <w:b/>
          <w:kern w:val="2"/>
          <w:szCs w:val="21"/>
        </w:rPr>
      </w:pPr>
      <w:r>
        <w:rPr>
          <w:rFonts w:hint="eastAsia" w:cs="Times New Roman"/>
          <w:b/>
          <w:kern w:val="2"/>
          <w:szCs w:val="21"/>
        </w:rPr>
        <w:t>划分为持有待售的非流动资产或处置组的确认标准和会计处理方法</w:t>
      </w:r>
    </w:p>
    <w:sdt>
      <w:sdtPr>
        <w:rPr>
          <w:szCs w:val="21"/>
        </w:rPr>
        <w:alias w:val="是否适用：划分为持有待售的非流动资产或处置组的确认标准和会计处理方法[双击切换]"/>
        <w:tag w:val="_GBC_cf8b05c4ada54b2aac5743b74b5fdb45"/>
        <w:id w:val="2654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2654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63"/>
        </w:numPr>
      </w:pPr>
      <w:r>
        <w:t>长期股权投资</w:t>
      </w:r>
    </w:p>
    <w:sdt>
      <w:sdtPr>
        <w:rPr>
          <w:rFonts w:hint="eastAsia"/>
          <w:szCs w:val="21"/>
        </w:rPr>
        <w:alias w:val="是否适用：长期股权投资_重要会计政策和估计[双击切换]"/>
        <w:tag w:val="_GBC_990faa4da4e64a5389a573293ba4981b"/>
        <w:id w:val="26549"/>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26550"/>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（1）初始投资成本的确定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highlight w:val="none"/>
            </w:rPr>
          </w:pPr>
          <w:r>
            <w:rPr>
              <w:rFonts w:hint="eastAsia" w:ascii="Times New Roman" w:hAnsi="Times New Roman"/>
              <w:sz w:val="21"/>
              <w:szCs w:val="21"/>
            </w:rPr>
            <w:t>①企业合并形成的长期股权投资，具体会计政策详见</w:t>
          </w:r>
          <w:r>
            <w:rPr>
              <w:rFonts w:hint="eastAsia" w:ascii="Times New Roman" w:hAnsi="Times New Roman"/>
              <w:sz w:val="21"/>
              <w:szCs w:val="21"/>
              <w:highlight w:val="none"/>
            </w:rPr>
            <w:t>“五、重要会计政策及会计估计”之“</w:t>
          </w:r>
          <w:r>
            <w:rPr>
              <w:rFonts w:hint="eastAsia" w:ascii="Times New Roman" w:hAnsi="Times New Roman"/>
              <w:sz w:val="21"/>
              <w:szCs w:val="21"/>
              <w:highlight w:val="none"/>
              <w:lang w:val="en-US" w:eastAsia="zh-CN"/>
            </w:rPr>
            <w:t>6</w:t>
          </w:r>
          <w:r>
            <w:rPr>
              <w:rFonts w:hint="eastAsia" w:ascii="Times New Roman" w:hAnsi="Times New Roman"/>
              <w:sz w:val="21"/>
              <w:szCs w:val="21"/>
              <w:highlight w:val="none"/>
            </w:rPr>
            <w:t>.同一控制下和非同一控制下企业合并的会计处理方法”。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②其他方式取得的长期股权投资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以支付现金方式取得的长期股权投资，按照实际支付的购买价款作为初始投资成本。初始投资成本包括与取得长期股权投资直接相关的费用、税金及其他必要支出。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以发行权益性证券取得的长期股权投资，按照发行权益性证券的公允价值作为初始投资成本；发行或取得自身权益工具时发生的交易费用，可直接归属于权益性交易的从权益中扣减。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通过债务重组取得的长期股权投资，其初始投资成本按照公允价值为基础确定。</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（2）后续计量及损益确认</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①成本法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本公司能够对被投资单位实施控制的长期股权投资采用成本法核算，并按照初始投资成本计价，追加或收回投资调整长期股权投资的成本。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除取得投资时实际支付的价款或对价中包含的已宣告但尚未发放的现金股利或利润外，本公司按照享有被投资单位宣告分派的现金股利或利润确认为当期投资收益。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②权益法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对联营企业和合营企业的长期股权投资采用权益法核算；对于其中一部分通过风险投资机构、共同基金、信托公司或包括投连险基金在内的类似主体间接持有的联营企业的权益性投资，采用公允价值计量且其变动计入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在确认应享有被投资单位净损益的份额时，以取得投资时被投资单位各项可辨认资产等的公允价值为基础，对被投资单位的净利润进行调整后确认。本公司与联营企业、合营企业之间发生的未实现内部交易损益按照应享有的比例计算归属于本公司的部分予以抵销，在此基础上确认投资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被投资单位以后期间实现盈利的，公司在扣除未确认的亏损分担额后，按与上述相反的顺序处理，减记已确认预计负债的账面余额、恢复其他实质上构成对被投资单位净投资的长期权益及长期股权投资的账面价值后，恢复确认投资收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（3）长期股权投资核算方法的转换</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①公允价值计量转权益法核算</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22号——金融工具确认和计量》确定的原持有的股权投资的公允价值加上新增投资成本之和，作为改按权益法核算的初始投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原持有的股权投资分类为可供出售金融资产的，其公允价值与账面价值之间的差额，以及原计入其他综合收益的累计公允价值变动转入改按权益法核算的当期损益。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按权益法核算的初始投资成本小于按照追加投资后全新的持股比例计算确定的应享有被投资单位在追加投资日可辨认净资产公允价值份额之间的差额，调整长期股权投资的账面价值，并计入当期营业外收入。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②公允价值计量或权益法核算转成本法核算</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原持有的对被投资单位不具有控制、共同控制或重大影响的按金融工具确认和计量准则进行会计处理的权益性投资，或原持有对联营企业、合营企业的长期股权投资，因追加投资等原因能够对非同一控制下的被投资单位实施控制的，在编制个别财务报表时，按照原持有的股权投资账面价值加上新增投资成本之和，作为改按成本法核算的初始投资成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购买日之前持有的股权投资因采用权益法核算而确认的其他综合收益，在处置该项投资时采用与被投资单位直接处置相关资产或负债相同的基础进行会计处理。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购买日之前持有的股权投资按照《企业会计准则第22号——金融工具确认和计量》的有关规定进行会计处理的，原计入其他综合收益的累计公允价值变动在改按成本法核算时转入当期损益。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③权益法核算转公允价值计量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因处置部分股权投资等原因丧失了对被投资单位的共同控制或重大影响的，处置后的剩余股权改按《企业会计准则第22号——金融工具确认和计量》核算，其在丧失共同控制或重大影响之日的公允价值与账面价值之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原股权投资因采用权益法核算而确认的其他综合收益，在终止采用权益法核算时采用与被投资单位直接处置相关资产或负债相同的基础进行会计处理。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④成本法转权益法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⑤成本法转公允价值计量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因处置部分权益性投资等原因丧失了对被投资单位的控制的，在编制个别财务报表时，处置后的剩余股权不能对被投资单位实施共同控制或施加重大影响的，改按《企业会计准则第22号——金融工具确认和计量》的有关规定进行会计处理，其在丧失控制之日的公允价值与账面价值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（4）长期股权投资的处置</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处置对子公司股权投资的各项交易的条款、条件以及经济影响符合以下一种或多种情况，将多次交易事项作为一揽子交易进行会计处理：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①这些交易是同时或者在考虑了彼此影响的情况下订立的；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②这些交易整体才能达成一项完整的商业结果；</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③一项交易的发生取决于其他至少一项交易的发生；</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④一项交易单独看是不经济的，但是和其他交易一并考虑时是经济的。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因处置部分股权投资或其他原因丧失了对原有子公司控制权的，不属于一揽子交易的，区分个别财务报表和合并财务报表进行相关会计处理：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在合并财务报表中，对于在丧失对子公司控制权以前的各项交易，处置价款与处置长期股权投资相应对享有子公司自购买日或合并日开始持续计算的净资产份额之间的差额，调整资本公积（股本溢价），资本公积不足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丧失控制权时转为当期投资收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处置对子公司股权投资直至丧失控制权的各项交易属于一揽子交易的，将各项交易作为一项处置子公司股权投资并丧失控制权的交易进行会计处理，区分个别财务报表和合并财务报表进行相关会计处理：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①在个别财务报表中，在丧失控制权之前每一次处置价款与处置的股权对应的长期股权投资账面价值之间的差额，确认为其他综合收益，在丧失控制权时一并转入丧失控制权当期的损益。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②在合并财务报表中，在丧失控制权之前每一次处置价款与处置投资对应的享有该子公司净资产份额的差额，确认为其他综合收益，在丧失控制权时一并转入丧失控制权当期的损益。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（5）共同控制、重大影响的判断标准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如果本公司按照相关约定与其他参与方集体控制某项安排，并且对该安排回报具有重大影响的活动决策，需要经过分享控制权的参与方一致同意时才存在，则视为本公司与其他参与方共同控制某项安排，该安排即属于合营安排。</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①在被投资单位的董事会或类似权力机构中派有代表；②参与被投资单位财务和经营政策制定过程；③与被投资单位之间发生重要交易；④向被投资单位派出管理人员；⑤向被投资单位提供关键技术资料。</w:t>
          </w:r>
        </w:p>
      </w:sdtContent>
    </w:sdt>
    <w:p>
      <w:pPr>
        <w:rPr>
          <w:szCs w:val="21"/>
        </w:rPr>
      </w:pPr>
    </w:p>
    <w:p>
      <w:pPr>
        <w:pStyle w:val="229"/>
        <w:numPr>
          <w:ilvl w:val="0"/>
          <w:numId w:val="63"/>
        </w:numPr>
      </w:pPr>
      <w:r>
        <w:t>投资性房地产</w:t>
      </w:r>
    </w:p>
    <w:p>
      <w:pPr>
        <w:pStyle w:val="196"/>
        <w:numPr>
          <w:ilvl w:val="0"/>
          <w:numId w:val="64"/>
        </w:numPr>
      </w:pPr>
      <w:r>
        <w:rPr>
          <w:rFonts w:hint="eastAsia" w:ascii="宋体" w:hAnsi="宋体" w:cs="宋体"/>
          <w:kern w:val="0"/>
          <w:szCs w:val="24"/>
        </w:rPr>
        <w:t>如果</w:t>
      </w:r>
      <w:r>
        <w:rPr>
          <w:rFonts w:hint="eastAsia"/>
        </w:rPr>
        <w:t>采用成本计量模式的：</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折旧或摊销方法</w:t>
      </w:r>
    </w:p>
    <w:sdt>
      <w:sdtPr>
        <w:rPr>
          <w:rFonts w:hint="eastAsia" w:ascii="Times New Roman" w:hAnsi="Times New Roman"/>
          <w:sz w:val="21"/>
          <w:szCs w:val="21"/>
        </w:rPr>
        <w:alias w:val="采用成本计量模式的折旧或摊销方法"/>
        <w:tag w:val="_GBC_5b2898357289426780691d99ea19aa67"/>
        <w:id w:val="26551"/>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投资性房地产是指为赚取租金或资本增值，或两者兼有而持有的房地产，包括已出租的土地使用权、持有并准备增值后转让的土地使用权、已出租的建筑物。此外，对于本公司持有以备经营出租的空置建筑物，若董事会作出书面决议，明确表示将其用于经营出租且持有意图短期内不再发生变化的，也作为投资性房地产列报。</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投资性房地产中出租的建筑物采用年限平均法计提折旧，具体核算政策与固定资产部分相同。投资性房地产中出租的土地使用权、持有并准备增值后转让的土地使用权采用直线法摊销，具体核算政策与无形资产部分相同。</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投资性房地产的用途改变为自用时，自改变之日起，本公司将该投资性房地产转换为固定资产或无形资产。自用房地产的用途改变为赚取租金或资本增值时，自改变之日起，本公司将固定资产或无形资产转换为投资性房地产。发生转换时，以转换前的账面价值作为转换后的入账价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ascii="Times New Roman" w:hAnsi="Times New Roman"/>
              <w:sz w:val="21"/>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pPr>
        <w:rPr>
          <w:szCs w:val="21"/>
        </w:rPr>
      </w:pPr>
    </w:p>
    <w:p>
      <w:pPr>
        <w:pStyle w:val="229"/>
        <w:numPr>
          <w:ilvl w:val="0"/>
          <w:numId w:val="63"/>
        </w:numPr>
      </w:pPr>
      <w:r>
        <w:t>固定资产</w:t>
      </w:r>
    </w:p>
    <w:p>
      <w:pPr>
        <w:pStyle w:val="196"/>
        <w:numPr>
          <w:ilvl w:val="0"/>
          <w:numId w:val="65"/>
        </w:numPr>
      </w:pPr>
      <w:r>
        <w:rPr>
          <w:rFonts w:hint="eastAsia"/>
        </w:rPr>
        <w:t>确认条件</w:t>
      </w:r>
    </w:p>
    <w:sdt>
      <w:sdtPr>
        <w:alias w:val="是否适用：固定资产确认条件[双击切换]"/>
        <w:tag w:val="_GBC_4c768c6eca804bab9e4fc027185bcda6"/>
        <w:id w:val="26552"/>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
          <w:bCs w:val="0"/>
          <w:szCs w:val="21"/>
        </w:rPr>
        <w:alias w:val="固定资产确认条件"/>
        <w:tag w:val="_GBC_3044d53470b143fa9477fa34b85d4ec5"/>
        <w:id w:val="26553"/>
        <w:placeholder>
          <w:docPart w:val="GBC22222222222222222222222222222"/>
        </w:placeholder>
      </w:sdtPr>
      <w:sdtEndPr>
        <w:rPr>
          <w:rFonts w:hint="eastAsia" w:ascii="Times New Roman" w:hAnsi="Times New Roman"/>
          <w:b/>
          <w:bCs w:val="0"/>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val="0"/>
              <w:sz w:val="21"/>
              <w:szCs w:val="21"/>
            </w:rPr>
          </w:pPr>
          <w:r>
            <w:rPr>
              <w:rFonts w:hint="eastAsia" w:ascii="Times New Roman" w:hAnsi="Times New Roman"/>
              <w:b/>
              <w:bCs w:val="0"/>
              <w:sz w:val="21"/>
              <w:szCs w:val="21"/>
            </w:rPr>
            <w:t>（1）固定资产确认条件</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固定资产指为生产商品、提供劳务、出租或经营管理而持有，并且使用寿命超过一个会计年度的有形资产。固定资产在同时满足下列条件时予以确认：</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①与该固定资产有关的经济利益很可能流入企业；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②该固定资产的成本能够可靠地计量。</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（2）固定资产初始计量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本公司固定资产按成本进行初始计量。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①外购的固定资产的成本包括买价、进口关税等相关税费，以及为使固定资产达到预定可使用状态前所发生的可直接归属于该资产的其他支出。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②自行建造固定资产的成本，由建造该项资产达到预定可使用状态前所发生的必要支出构成。</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③投资者投入的固定资产，按投资合同或协议约定的价值作为入账价值，但合同或协议约定价值不公允的按公允价值入账。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④购买固定资产的价款超过正常信用条件延期支付，实质上具有融资性质的，固定资产的成本以购买价款的现值为基础确定。实际支付的价款与购买价款的现值之间的差额，除应予资本化的以外，在信用期间内计入当期损益。</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sz w:val="21"/>
              <w:szCs w:val="21"/>
            </w:rPr>
          </w:pPr>
        </w:p>
      </w:sdtContent>
    </w:sdt>
    <w:p>
      <w:pPr>
        <w:rPr>
          <w:szCs w:val="21"/>
        </w:rPr>
      </w:pPr>
    </w:p>
    <w:p>
      <w:pPr>
        <w:pStyle w:val="196"/>
        <w:numPr>
          <w:ilvl w:val="0"/>
          <w:numId w:val="65"/>
        </w:numPr>
      </w:pPr>
      <w:r>
        <w:t>折旧方法</w:t>
      </w:r>
    </w:p>
    <w:sdt>
      <w:sdtPr>
        <w:alias w:val="是否适用：固定资产折旧方法[双击切换]"/>
        <w:tag w:val="_GBC_f89f129fe73045168ebdc30031da9fdd"/>
        <w:id w:val="2655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b93b748ee97a4a8bae6f8263364d91d5"/>
            <w:id w:val="26555"/>
          </w:sdtPr>
          <w:sdtEndPr>
            <w:rPr>
              <w:rFonts w:ascii="Times New Roman" w:hAnsi="Times New Roman"/>
            </w:rPr>
          </w:sdtEndPr>
          <w:sdtContent>
            <w:tc>
              <w:tcPr>
                <w:tcW w:w="949" w:type="pct"/>
                <w:vAlign w:val="center"/>
              </w:tcPr>
              <w:p>
                <w:pPr>
                  <w:jc w:val="center"/>
                  <w:rPr>
                    <w:rFonts w:ascii="Times New Roman" w:hAnsi="Times New Roman"/>
                    <w:szCs w:val="21"/>
                  </w:rPr>
                </w:pPr>
                <w:r>
                  <w:rPr>
                    <w:rFonts w:ascii="Times New Roman" w:hAnsi="Times New Roman"/>
                    <w:szCs w:val="21"/>
                  </w:rPr>
                  <w:t>类别</w:t>
                </w:r>
              </w:p>
            </w:tc>
          </w:sdtContent>
        </w:sdt>
        <w:sdt>
          <w:sdtPr>
            <w:rPr>
              <w:rFonts w:ascii="Times New Roman" w:hAnsi="Times New Roman"/>
            </w:rPr>
            <w:tag w:val="_PLD_8eb75a8ba4fb45a3be1c35e2609526fb"/>
            <w:id w:val="26556"/>
          </w:sdtPr>
          <w:sdtEndPr>
            <w:rPr>
              <w:rFonts w:ascii="Times New Roman" w:hAnsi="Times New Roman"/>
            </w:rPr>
          </w:sdtEndPr>
          <w:sdtContent>
            <w:tc>
              <w:tcPr>
                <w:tcW w:w="1012" w:type="pct"/>
                <w:vAlign w:val="center"/>
              </w:tcPr>
              <w:p>
                <w:pPr>
                  <w:jc w:val="center"/>
                  <w:rPr>
                    <w:rFonts w:ascii="Times New Roman" w:hAnsi="Times New Roman"/>
                    <w:szCs w:val="21"/>
                  </w:rPr>
                </w:pPr>
                <w:r>
                  <w:rPr>
                    <w:rFonts w:hint="eastAsia" w:ascii="Times New Roman" w:hAnsi="Times New Roman"/>
                    <w:szCs w:val="21"/>
                  </w:rPr>
                  <w:t>折旧方法</w:t>
                </w:r>
              </w:p>
            </w:tc>
          </w:sdtContent>
        </w:sdt>
        <w:sdt>
          <w:sdtPr>
            <w:rPr>
              <w:rFonts w:ascii="Times New Roman" w:hAnsi="Times New Roman"/>
            </w:rPr>
            <w:tag w:val="_PLD_288e4cb255e44ed98e0c53f336ac01e0"/>
            <w:id w:val="26557"/>
          </w:sdtPr>
          <w:sdtEndPr>
            <w:rPr>
              <w:rFonts w:ascii="Times New Roman" w:hAnsi="Times New Roman"/>
            </w:rPr>
          </w:sdtEndPr>
          <w:sdtContent>
            <w:tc>
              <w:tcPr>
                <w:tcW w:w="1013" w:type="pct"/>
                <w:vAlign w:val="center"/>
              </w:tcPr>
              <w:p>
                <w:pPr>
                  <w:jc w:val="center"/>
                  <w:rPr>
                    <w:rFonts w:ascii="Times New Roman" w:hAnsi="Times New Roman"/>
                    <w:szCs w:val="21"/>
                  </w:rPr>
                </w:pPr>
                <w:r>
                  <w:rPr>
                    <w:rFonts w:ascii="Times New Roman" w:hAnsi="Times New Roman"/>
                    <w:szCs w:val="21"/>
                  </w:rPr>
                  <w:t>折旧年限（年）</w:t>
                </w:r>
              </w:p>
            </w:tc>
          </w:sdtContent>
        </w:sdt>
        <w:sdt>
          <w:sdtPr>
            <w:rPr>
              <w:rFonts w:ascii="Times New Roman" w:hAnsi="Times New Roman"/>
            </w:rPr>
            <w:tag w:val="_PLD_b978331f5a784568b426597e450ebc7a"/>
            <w:id w:val="26558"/>
          </w:sdtPr>
          <w:sdtEndPr>
            <w:rPr>
              <w:rFonts w:ascii="Times New Roman" w:hAnsi="Times New Roman"/>
            </w:rPr>
          </w:sdtEndPr>
          <w:sdtContent>
            <w:tc>
              <w:tcPr>
                <w:tcW w:w="1013" w:type="pct"/>
                <w:vAlign w:val="center"/>
              </w:tcPr>
              <w:p>
                <w:pPr>
                  <w:jc w:val="center"/>
                  <w:rPr>
                    <w:rFonts w:ascii="Times New Roman" w:hAnsi="Times New Roman"/>
                    <w:szCs w:val="21"/>
                  </w:rPr>
                </w:pPr>
                <w:r>
                  <w:rPr>
                    <w:rFonts w:ascii="Times New Roman" w:hAnsi="Times New Roman"/>
                    <w:szCs w:val="21"/>
                  </w:rPr>
                  <w:t>残值率</w:t>
                </w:r>
              </w:p>
            </w:tc>
          </w:sdtContent>
        </w:sdt>
        <w:sdt>
          <w:sdtPr>
            <w:rPr>
              <w:rFonts w:ascii="Times New Roman" w:hAnsi="Times New Roman"/>
            </w:rPr>
            <w:tag w:val="_PLD_02921e2cbb3b427bb4fe2aba2949e56a"/>
            <w:id w:val="26559"/>
          </w:sdtPr>
          <w:sdtEndPr>
            <w:rPr>
              <w:rFonts w:ascii="Times New Roman" w:hAnsi="Times New Roman"/>
            </w:rPr>
          </w:sdtEndPr>
          <w:sdtContent>
            <w:tc>
              <w:tcPr>
                <w:tcW w:w="1013" w:type="pct"/>
                <w:vAlign w:val="center"/>
              </w:tcPr>
              <w:p>
                <w:pPr>
                  <w:jc w:val="center"/>
                  <w:rPr>
                    <w:rFonts w:ascii="Times New Roman" w:hAnsi="Times New Roman"/>
                    <w:szCs w:val="21"/>
                  </w:rPr>
                </w:pPr>
                <w:r>
                  <w:rPr>
                    <w:rFonts w:ascii="Times New Roman" w:hAnsi="Times New Roman"/>
                    <w:szCs w:val="21"/>
                  </w:rPr>
                  <w:t>年折旧率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房屋及建筑物</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30-45</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2.11-3.23</w:t>
            </w:r>
            <w:r>
              <w:rPr>
                <w:rFonts w:hint="eastAsia" w:ascii="Times New Roman" w:hAnsi="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机器设备</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4-14</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6.79-24.25</w:t>
            </w:r>
            <w:r>
              <w:rPr>
                <w:rFonts w:hint="eastAsia" w:ascii="Times New Roman" w:hAnsi="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运输设备</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5-12</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7.92-19.40</w:t>
            </w:r>
            <w:r>
              <w:rPr>
                <w:rFonts w:hint="eastAsia" w:ascii="Times New Roman" w:hAnsi="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szCs w:val="21"/>
              </w:rPr>
            </w:pPr>
            <w:r>
              <w:rPr>
                <w:rFonts w:ascii="Times New Roman" w:hAnsi="Times New Roman"/>
              </w:rPr>
              <w:t>其他设备</w:t>
            </w:r>
          </w:p>
        </w:tc>
        <w:tc>
          <w:tcPr>
            <w:tcW w:w="1012" w:type="pct"/>
            <w:vAlign w:val="center"/>
          </w:tcPr>
          <w:p>
            <w:pPr>
              <w:jc w:val="center"/>
              <w:rPr>
                <w:rFonts w:ascii="Times New Roman" w:hAnsi="Times New Roman"/>
                <w:szCs w:val="21"/>
              </w:rPr>
            </w:pPr>
            <w:r>
              <w:rPr>
                <w:rFonts w:ascii="Times New Roman" w:hAnsi="Times New Roman"/>
              </w:rPr>
              <w:t>直线法</w:t>
            </w:r>
          </w:p>
        </w:tc>
        <w:tc>
          <w:tcPr>
            <w:tcW w:w="1013" w:type="pct"/>
            <w:vAlign w:val="center"/>
          </w:tcPr>
          <w:p>
            <w:pPr>
              <w:jc w:val="right"/>
              <w:rPr>
                <w:rFonts w:ascii="Times New Roman" w:hAnsi="Times New Roman"/>
                <w:szCs w:val="21"/>
              </w:rPr>
            </w:pPr>
            <w:r>
              <w:rPr>
                <w:rFonts w:ascii="Times New Roman" w:hAnsi="Times New Roman"/>
              </w:rPr>
              <w:t>5-10</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3-5</w:t>
            </w:r>
            <w:r>
              <w:rPr>
                <w:rFonts w:hint="eastAsia" w:ascii="Times New Roman" w:hAnsi="Times New Roman"/>
                <w:lang w:val="en-US" w:eastAsia="zh-CN"/>
              </w:rPr>
              <w:t>%</w:t>
            </w:r>
          </w:p>
        </w:tc>
        <w:tc>
          <w:tcPr>
            <w:tcW w:w="1013" w:type="pct"/>
            <w:vAlign w:val="center"/>
          </w:tcPr>
          <w:p>
            <w:pPr>
              <w:jc w:val="right"/>
              <w:rPr>
                <w:rFonts w:hint="eastAsia" w:ascii="Times New Roman" w:hAnsi="Times New Roman" w:eastAsia="宋体"/>
                <w:szCs w:val="21"/>
                <w:lang w:val="en-US" w:eastAsia="zh-CN"/>
              </w:rPr>
            </w:pPr>
            <w:r>
              <w:rPr>
                <w:rFonts w:ascii="Times New Roman" w:hAnsi="Times New Roman"/>
              </w:rPr>
              <w:t>9.50-19.40</w:t>
            </w:r>
            <w:r>
              <w:rPr>
                <w:rFonts w:hint="eastAsia" w:ascii="Times New Roman" w:hAnsi="Times New Roman"/>
                <w:lang w:val="en-US" w:eastAsia="zh-CN"/>
              </w:rPr>
              <w:t>%</w:t>
            </w:r>
          </w:p>
        </w:tc>
      </w:tr>
    </w:tbl>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 固定资产折旧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固定资产折旧按其入账价值减去预计净残值后在预计使用寿命内计提。对计提了减值准备的固定资产，则在未来期间按扣除减值准备后的账面价值及依据尚可使用年限确定折旧额；已提足折旧仍继续使用的固定资产不计提折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本公司根据固定资产的性质和使用情况，确定固定资产的使用寿命和预计净残值。并在年度终了，对固定资产的使用寿命、预计净残值和折旧方法进行复核，如与原先估计数存在差异的，进行相应的调整。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 固定资产的后续支出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与固定资产有关的后续支出，符合固定资产确认条件的，计入固定资产成本；不符合固定资产确认条件的，在发生时计入当期损益。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 固定资产处置</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当固定资产被处置、或者预期通过使用或处置不能产生经济利益时，终止确认该固定资产。固定资产出售、转让、报废或毁损的处置收入扣除其账面价值和相关税费后的金额计入当期损益。</w:t>
      </w:r>
    </w:p>
    <w:p>
      <w:pPr>
        <w:pStyle w:val="229"/>
        <w:numPr>
          <w:ilvl w:val="0"/>
          <w:numId w:val="63"/>
        </w:numPr>
      </w:pPr>
      <w:r>
        <w:t>在建工程</w:t>
      </w:r>
    </w:p>
    <w:sdt>
      <w:sdtPr>
        <w:rPr>
          <w:rFonts w:hint="eastAsia"/>
          <w:szCs w:val="21"/>
        </w:rPr>
        <w:alias w:val="是否适用：在建工程_重要会计政策和估计[双击切换]"/>
        <w:tag w:val="_GBC_00730441e5ea4f57b3cd3ff1ecc5c1bd"/>
        <w:id w:val="26560"/>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26561"/>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（1）在建工程初始计量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（2）在建工程结转为固定资产的标准和时点</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建工程项目按建造该项资产达到预定可使用状态前所发生的全部支出，作为固定资产的入账价值。所建造的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p>
      <w:pPr>
        <w:rPr>
          <w:szCs w:val="21"/>
        </w:rPr>
      </w:pPr>
    </w:p>
    <w:p>
      <w:pPr>
        <w:pStyle w:val="229"/>
        <w:numPr>
          <w:ilvl w:val="0"/>
          <w:numId w:val="63"/>
        </w:numPr>
      </w:pPr>
      <w:r>
        <w:t>借款费用</w:t>
      </w:r>
    </w:p>
    <w:sdt>
      <w:sdtPr>
        <w:rPr>
          <w:rFonts w:hint="eastAsia"/>
          <w:szCs w:val="21"/>
        </w:rPr>
        <w:alias w:val="是否适用：借款费用_重要会计政策和估计[双击切换]"/>
        <w:tag w:val="_GBC_84ea3b60fd54474487b81f25f176d989"/>
        <w:id w:val="2656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
          <w:bCs/>
          <w:szCs w:val="21"/>
        </w:rPr>
        <w:alias w:val="借款费用的会计处理方法"/>
        <w:tag w:val="_GBC_2101c32d32c64f39a8b8fcd2b72dbb0a"/>
        <w:id w:val="26563"/>
        <w:placeholder>
          <w:docPart w:val="GBC22222222222222222222222222222"/>
        </w:placeholder>
      </w:sdtPr>
      <w:sdtEndPr>
        <w:rPr>
          <w:rFonts w:hint="eastAsia" w:ascii="Times New Roman" w:hAnsi="Times New Roman"/>
          <w:b/>
          <w:bCs/>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（1）借款费用资本化的确认原则</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本公司发生的借款费用，可直接归属于符合资本化条件的资产的购建或者生产的，予以资本化，计入相关资产成本；其他借款费用，在发生时根据其发生额确认为费用，计入当期损益。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符合资本化条件的资产，是指需要经过相当长时间的购建或者生产活动才能达到预定可使用或者可销售状态的固定资产、投资性房地产和存货等资产。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借款费用同时满足下列条件时开始资本化：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①资产支出已经发生，资产支出包括为购建或者生产符合资本化条件的资产而以支付现金、转移非现金资产或者承担带息债务形式发生的支出；</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②借款费用已经发生；</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③为使资产达到预定可使用或者可销售状态所必要的购建或者生产活动已经开始。</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（2）借款费用资本化期间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资本化期间，指从借款费用开始资本化时点到停止资本化时点的期间，借款费用暂停资本化的期间不包括在内。</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当购建或者生产符合资本化条件的资产达到预定可使用或者可销售状态时，借款费用停止资本化。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当购建或者生产符合资本化条件的资产中部分项目分别完工且可单独使用时，该部分资产借款费用停止资本化。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购建或者生产的资产的各部分分别完工，但必须等到整体完工后才可使用或可对外销售的，在该资产整体完工时停止借款费用资本化。</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（3）暂停资本化期间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（4）借款费用资本化金额的计算方法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根据累计资产支出超过专门借款部分的资产支出加权平均数乘以所占用一般借款的资本化率，计算确定一般借款应予资本化的利息金额。资本化率根据一般借款加权平均利率计算确定。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借款存在折价或者溢价的，按照实际利率法确定每一会计期间应摊销的折价或者溢价金额，调整每期利息金额。</w:t>
          </w:r>
        </w:p>
      </w:sdtContent>
    </w:sdt>
    <w:p>
      <w:pPr>
        <w:rPr>
          <w:szCs w:val="21"/>
        </w:rPr>
      </w:pPr>
    </w:p>
    <w:p>
      <w:pPr>
        <w:pStyle w:val="229"/>
        <w:numPr>
          <w:ilvl w:val="0"/>
          <w:numId w:val="63"/>
        </w:numPr>
      </w:pPr>
      <w:r>
        <w:t>生物资产</w:t>
      </w:r>
    </w:p>
    <w:sdt>
      <w:sdtPr>
        <w:rPr>
          <w:rFonts w:hint="eastAsia"/>
          <w:szCs w:val="21"/>
        </w:rPr>
        <w:alias w:val="是否适用：生物资产_重要会计政策和估计[双击切换]"/>
        <w:tag w:val="_GBC_f511e8d0a6dc417eb1d10eeecb5b05a5"/>
        <w:id w:val="26564"/>
        <w:placeholder>
          <w:docPart w:val="GBC22222222222222222222222222222"/>
        </w:placeholder>
      </w:sdtPr>
      <w:sdtEndPr>
        <w:rPr>
          <w:rFonts w:hint="eastAsia"/>
          <w:szCs w:val="21"/>
        </w:rPr>
      </w:sdtEndPr>
      <w:sdtContent>
        <w:p>
          <w:pPr>
            <w:outlineLvl w:val="9"/>
            <w:rPr>
              <w:rFonts w:cs="Times New Roman"/>
              <w:kern w:val="2"/>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63"/>
        </w:numPr>
      </w:pPr>
      <w:r>
        <w:t>油气资产</w:t>
      </w:r>
    </w:p>
    <w:sdt>
      <w:sdtPr>
        <w:rPr>
          <w:rFonts w:hint="eastAsia"/>
          <w:szCs w:val="21"/>
        </w:rPr>
        <w:alias w:val="是否适用：油气资产_重要会计政策和估计[双击切换]"/>
        <w:tag w:val="_GBC_fb60dd1d8d2346fb9b2e461875c070c9"/>
        <w:id w:val="26565"/>
        <w:placeholder>
          <w:docPart w:val="GBC22222222222222222222222222222"/>
        </w:placeholder>
      </w:sdtPr>
      <w:sdtEndPr>
        <w:rPr>
          <w:rFonts w:hint="eastAsia"/>
          <w:szCs w:val="21"/>
        </w:rPr>
      </w:sdtEndPr>
      <w:sdtContent>
        <w:p>
          <w:pPr>
            <w:outlineLvl w:val="9"/>
            <w:rPr>
              <w:rFonts w:cs="Times New Roman"/>
              <w:kern w:val="2"/>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63"/>
        </w:numPr>
      </w:pPr>
      <w:r>
        <w:t>无形资产</w:t>
      </w:r>
    </w:p>
    <w:p>
      <w:pPr>
        <w:pStyle w:val="196"/>
        <w:numPr>
          <w:ilvl w:val="3"/>
          <w:numId w:val="66"/>
        </w:numPr>
        <w:ind w:left="426" w:hanging="426"/>
        <w:rPr>
          <w:rStyle w:val="245"/>
          <w:szCs w:val="28"/>
        </w:rPr>
      </w:pPr>
      <w:r>
        <w:rPr>
          <w:rFonts w:hint="eastAsia"/>
        </w:rPr>
        <w:t>使用寿命及其确定依据、估计情况、摊销方法</w:t>
      </w:r>
      <w:r>
        <w:rPr>
          <w:rStyle w:val="245"/>
          <w:rFonts w:hint="eastAsia"/>
        </w:rPr>
        <w:t>或复核程序</w:t>
      </w:r>
    </w:p>
    <w:sdt>
      <w:sdtPr>
        <w:alias w:val="是否适用：无形资产计价方法、使用寿命、减值测试[双击切换]"/>
        <w:tag w:val="_GBC_40df8c87b47d48bbbf73a71cc533a892"/>
        <w:id w:val="2656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26567"/>
        <w:placeholder>
          <w:docPart w:val="GBC22222222222222222222222222222"/>
        </w:placeholder>
      </w:sdtPr>
      <w:sdtEndPr>
        <w:rPr>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无形资产是指本公司拥有或者控制的没有实物形态的可辨认非货币性资产，包括土地使用权、专利权、非专利技术等。</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cs="宋体"/>
              <w:b/>
              <w:color w:val="000000"/>
              <w:szCs w:val="21"/>
            </w:rPr>
            <w:t>①</w:t>
          </w:r>
          <w:r>
            <w:rPr>
              <w:rFonts w:hint="eastAsia" w:ascii="Times New Roman" w:hAnsi="Times New Roman"/>
              <w:b/>
              <w:bCs/>
              <w:sz w:val="21"/>
              <w:szCs w:val="21"/>
            </w:rPr>
            <w:t>无形资产的初始计量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债务重组取得债务人用以抵债的无形资产，以该无形资产的公允价值为基础确定其入账价值，并将重组债务的账面价值与该用以抵债的无形资产公允价值之间的差额，计入当期损益。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以同一控制下的企业吸收合并方式取得的无形资产按被合并方的账面价值确定其入账价值；以非同一控制下的企业吸收合并方式取得的无形资产按公允价值确定其入账价值。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cs="宋体"/>
              <w:b/>
              <w:bCs/>
              <w:kern w:val="0"/>
              <w:szCs w:val="21"/>
            </w:rPr>
            <w:t xml:space="preserve">② </w:t>
          </w:r>
          <w:r>
            <w:rPr>
              <w:rFonts w:hint="eastAsia" w:ascii="Times New Roman" w:hAnsi="Times New Roman"/>
              <w:b/>
              <w:bCs/>
              <w:sz w:val="21"/>
              <w:szCs w:val="21"/>
            </w:rPr>
            <w:t>无形资产的后续计量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本公司在取得无形资产时分析判断其使用寿命，划分为使用寿命有限和使用寿命不确定的无形资产。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①使用寿命有限的无形资产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对于使用寿命有限的无形资产，在为企业带来经济利益的期限内按直线法摊销。使用寿命有限的无形资产预计寿命如下：</w:t>
          </w:r>
        </w:p>
        <w:tbl>
          <w:tblPr>
            <w:tblStyle w:val="125"/>
            <w:tblW w:w="8719"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108" w:type="dxa"/>
            </w:tblCellMar>
          </w:tblPr>
          <w:tblGrid>
            <w:gridCol w:w="1845"/>
            <w:gridCol w:w="3208"/>
            <w:gridCol w:w="366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77" w:hRule="atLeast"/>
              <w:tblHeader/>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项目</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使用寿命确定的依据</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预计使用寿命（年）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36"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土地使用权</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土地使用权证载明使用期限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30-50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36"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专利权</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预计使用年限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436"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非专有技术</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预计使用年限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501" w:hRule="atLeast"/>
              <w:jc w:val="center"/>
            </w:trPr>
            <w:tc>
              <w:tcPr>
                <w:tcW w:w="18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ascii="Times New Roman" w:hAnsi="Times New Roman"/>
                  </w:rPr>
                  <w:t>软件</w:t>
                </w:r>
              </w:p>
            </w:tc>
            <w:tc>
              <w:tcPr>
                <w:tcW w:w="32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预计使用年限</w:t>
                </w:r>
              </w:p>
            </w:tc>
            <w:tc>
              <w:tcPr>
                <w:tcW w:w="36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Times New Roman" w:hAnsi="Times New Roman"/>
                    <w:sz w:val="21"/>
                    <w:szCs w:val="21"/>
                  </w:rPr>
                </w:pPr>
                <w:r>
                  <w:rPr>
                    <w:rFonts w:ascii="Times New Roman" w:hAnsi="Times New Roman"/>
                  </w:rPr>
                  <w:t>3-10</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每期末，对使用寿命有限的无形资产的使用寿命及摊销方法进行复核，如与原先估计数存在差异的，进行相应的调整。</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经复核，本期期末无形资产的使用寿命及摊销方法与以前估计未有不同。</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②使用寿命不确定的无形资产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无法预见无形资产为企业带来经济利益期限的，视为使用寿命不确定的无形资产。使用寿命不确定的无形资产如下：</w:t>
          </w:r>
        </w:p>
        <w:tbl>
          <w:tblPr>
            <w:tblStyle w:val="125"/>
            <w:tblW w:w="893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108" w:type="dxa"/>
            </w:tblCellMar>
          </w:tblPr>
          <w:tblGrid>
            <w:gridCol w:w="2454"/>
            <w:gridCol w:w="64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344" w:hRule="atLeast"/>
              <w:tblHeader/>
              <w:jc w:val="center"/>
            </w:trPr>
            <w:tc>
              <w:tcPr>
                <w:tcW w:w="24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项目</w:t>
                </w:r>
              </w:p>
            </w:tc>
            <w:tc>
              <w:tcPr>
                <w:tcW w:w="6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Times New Roman" w:hAnsi="Times New Roman"/>
                    <w:sz w:val="21"/>
                    <w:szCs w:val="21"/>
                  </w:rPr>
                </w:pPr>
                <w:r>
                  <w:rPr>
                    <w:rFonts w:hint="eastAsia" w:ascii="Times New Roman" w:hAnsi="Times New Roman"/>
                    <w:sz w:val="21"/>
                    <w:szCs w:val="21"/>
                  </w:rPr>
                  <w:t>使用寿命不确定的依据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344" w:hRule="atLeast"/>
              <w:jc w:val="center"/>
            </w:trPr>
            <w:tc>
              <w:tcPr>
                <w:tcW w:w="245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hint="eastAsia" w:ascii="Times New Roman" w:hAnsi="Times New Roman"/>
                    <w:sz w:val="21"/>
                    <w:szCs w:val="21"/>
                  </w:rPr>
                  <w:t>药品生产技术及相应权利</w:t>
                </w:r>
              </w:p>
            </w:tc>
            <w:tc>
              <w:tcPr>
                <w:tcW w:w="64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sz w:val="21"/>
                    <w:szCs w:val="21"/>
                  </w:rPr>
                </w:pPr>
                <w:r>
                  <w:rPr>
                    <w:rFonts w:hint="eastAsia" w:ascii="Times New Roman" w:hAnsi="Times New Roman"/>
                    <w:sz w:val="21"/>
                    <w:szCs w:val="21"/>
                  </w:rPr>
                  <w:t>子公司广西两面针亿康药业股份有限公司成立时，前股东以药品生产技术及相应权利出资。根据药品管理法实施条例、药品注册管理办法等法规规定，药品批准文号的有效期为5年，有效期届满，需要继续使用的应当在期满前6个月，申请换发有关证件。因此相关的药品生产技术（药品生产批号）为本公司带来末来经济利益的期限从目前情况看无法可靠估计。</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使用寿命不确定的无形资产，在持有期间内不摊销，每期末对无形资产的寿命进行复核。如果期末重新复核后仍为不确定的，在每个会计期间继续进行减值测试。经复核，该类无形资产的使用寿命仍为不确定。</w:t>
          </w:r>
        </w:p>
        <w:p>
          <w:pPr>
            <w:rPr>
              <w:szCs w:val="21"/>
            </w:rPr>
          </w:pPr>
        </w:p>
      </w:sdtContent>
    </w:sdt>
    <w:p>
      <w:pPr>
        <w:rPr>
          <w:szCs w:val="21"/>
        </w:rPr>
      </w:pPr>
    </w:p>
    <w:p>
      <w:pPr>
        <w:pStyle w:val="196"/>
        <w:numPr>
          <w:ilvl w:val="3"/>
          <w:numId w:val="66"/>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2656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26569"/>
        <w:placeholder>
          <w:docPart w:val="GBC22222222222222222222222222222"/>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Arial" w:hAnsi="Arial" w:eastAsia="宋体" w:cs="Arial"/>
              <w:kern w:val="0"/>
              <w:sz w:val="24"/>
            </w:rPr>
          </w:pPr>
          <w:r>
            <w:rPr>
              <w:rFonts w:hint="eastAsia" w:ascii="宋体" w:hAnsi="宋体" w:eastAsia="宋体" w:cs="宋体"/>
              <w:b/>
              <w:color w:val="000000"/>
              <w:kern w:val="2"/>
              <w:szCs w:val="21"/>
            </w:rPr>
            <w:t>① 划分公司内部研究开发项目的研究阶段和开发阶段具体标准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研究阶段：为获取并理解新的科学或技术知识等而进行的独创性的有计划调查、研究活动的阶段。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开发阶段：在进行商业性生产或使用前，将研究成果或其他知识应用于某项计划或设计，以生产出新的或具有实质性改进的材料、装置、产品等活动的阶段。</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内部研究开发项目研究阶段的支出，在发生时计入当期损益。</w:t>
          </w:r>
        </w:p>
        <w:p>
          <w:pPr>
            <w:widowControl w:val="0"/>
            <w:spacing w:line="400" w:lineRule="exact"/>
            <w:ind w:firstLine="422" w:firstLineChars="200"/>
            <w:outlineLvl w:val="2"/>
            <w:rPr>
              <w:rFonts w:ascii="宋体" w:hAnsi="宋体" w:eastAsia="宋体" w:cs="宋体"/>
              <w:b/>
              <w:color w:val="000000"/>
              <w:kern w:val="2"/>
              <w:szCs w:val="21"/>
            </w:rPr>
          </w:pPr>
          <w:r>
            <w:rPr>
              <w:rFonts w:hint="eastAsia" w:ascii="宋体" w:hAnsi="宋体" w:eastAsia="宋体" w:cs="宋体"/>
              <w:b/>
              <w:color w:val="000000"/>
              <w:kern w:val="2"/>
              <w:szCs w:val="21"/>
            </w:rPr>
            <w:t>② 开发阶段支出符合资本化的具体标准</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内部研究开发项目开发阶段的支出，同时满足下列条件时确认为无形资产：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A.</w:t>
          </w:r>
          <w:r>
            <w:rPr>
              <w:rFonts w:hint="eastAsia" w:ascii="Times New Roman" w:hAnsi="Times New Roman"/>
              <w:sz w:val="21"/>
              <w:szCs w:val="21"/>
            </w:rPr>
            <w:t>完成该无形资产以使其能够使用或出售在技术上具有可行性；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B.</w:t>
          </w:r>
          <w:r>
            <w:rPr>
              <w:rFonts w:hint="eastAsia" w:ascii="Times New Roman" w:hAnsi="Times New Roman"/>
              <w:sz w:val="21"/>
              <w:szCs w:val="21"/>
            </w:rPr>
            <w:t>具有完成该无形资产并使用或出售的意图；</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C.</w:t>
          </w:r>
          <w:r>
            <w:rPr>
              <w:rFonts w:hint="eastAsia" w:ascii="Times New Roman" w:hAnsi="Times New Roman"/>
              <w:sz w:val="21"/>
              <w:szCs w:val="21"/>
            </w:rPr>
            <w:t>无形资产产生经济利益的方式，包括能够证明运用该无形资产生产的产品存在市场或无形资产自身存在市场，无形资产将在内部使用的，能够证明其有用性；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D.</w:t>
          </w:r>
          <w:r>
            <w:rPr>
              <w:rFonts w:hint="eastAsia" w:ascii="Times New Roman" w:hAnsi="Times New Roman"/>
              <w:sz w:val="21"/>
              <w:szCs w:val="21"/>
            </w:rPr>
            <w:t>有足够的技术、财务资源和其他资源支持，以完成该无形资产的开发，并有能力使用或出售该无形资产；</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lang w:val="en-US" w:eastAsia="zh-CN"/>
            </w:rPr>
            <w:t>E.</w:t>
          </w:r>
          <w:r>
            <w:rPr>
              <w:rFonts w:hint="eastAsia" w:ascii="Times New Roman" w:hAnsi="Times New Roman"/>
              <w:sz w:val="21"/>
              <w:szCs w:val="21"/>
            </w:rPr>
            <w:t>归属于该无形资产开发阶段的支出能够可靠地计量。</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不满足上述条件的开发阶段的支出，于发生时计入当期损益。以前期间已计入损益的开发支出不在以后期间重新确认为资产。已资本化的开发阶段的支出在资产负债表上列示为开发支出，自该项目达到预定用途之日起转为无形资产。</w:t>
          </w:r>
        </w:p>
        <w:p>
          <w:pPr>
            <w:rPr>
              <w:szCs w:val="21"/>
            </w:rPr>
          </w:pPr>
        </w:p>
      </w:sdtContent>
    </w:sdt>
    <w:p>
      <w:pPr>
        <w:rPr>
          <w:highlight w:val="none"/>
        </w:rPr>
      </w:pPr>
    </w:p>
    <w:p>
      <w:pPr>
        <w:pStyle w:val="203"/>
        <w:numPr>
          <w:ilvl w:val="0"/>
          <w:numId w:val="63"/>
        </w:numPr>
        <w:rPr>
          <w:szCs w:val="21"/>
          <w:highlight w:val="none"/>
        </w:rPr>
      </w:pPr>
      <w:r>
        <w:rPr>
          <w:rFonts w:hint="eastAsia"/>
          <w:szCs w:val="21"/>
          <w:highlight w:val="none"/>
        </w:rPr>
        <w:t>长期资产减值</w:t>
      </w:r>
    </w:p>
    <w:sdt>
      <w:sdtPr>
        <w:rPr>
          <w:rFonts w:hint="eastAsia"/>
          <w:szCs w:val="21"/>
          <w:highlight w:val="none"/>
        </w:rPr>
        <w:alias w:val="是否适用：长期资产减值_重要会计政策和估计[双击切换]"/>
        <w:tag w:val="_GBC_e9110d6af45c4c0d808e2f284fadf642"/>
        <w:id w:val="26570"/>
        <w:placeholder>
          <w:docPart w:val="GBC22222222222222222222222222222"/>
        </w:placeholder>
      </w:sdtPr>
      <w:sdtEndPr>
        <w:rPr>
          <w:rFonts w:hint="eastAsia"/>
          <w:szCs w:val="21"/>
          <w:highlight w:val="none"/>
        </w:rPr>
      </w:sdtEndPr>
      <w:sdtContent>
        <w:p>
          <w:pPr>
            <w:rPr>
              <w:szCs w:val="21"/>
              <w:highlight w:val="none"/>
            </w:rPr>
          </w:pPr>
          <w:r>
            <w:rPr>
              <w:szCs w:val="21"/>
              <w:highlight w:val="none"/>
            </w:rPr>
            <w:fldChar w:fldCharType="begin"/>
          </w:r>
          <w:r>
            <w:rPr>
              <w:szCs w:val="21"/>
              <w:highlight w:val="none"/>
            </w:rPr>
            <w:instrText xml:space="preserve"> </w:instrText>
          </w:r>
          <w:r>
            <w:rPr>
              <w:rFonts w:hint="eastAsia"/>
              <w:szCs w:val="21"/>
              <w:highlight w:val="none"/>
            </w:rPr>
            <w:instrText xml:space="preserve">MACROBUTTON  SnrToggleCheckbox √适用 </w:instrText>
          </w:r>
          <w:r>
            <w:rPr>
              <w:szCs w:val="21"/>
              <w:highlight w:val="none"/>
            </w:rPr>
            <w:instrText xml:space="preserve"> </w:instrText>
          </w:r>
          <w:r>
            <w:rPr>
              <w:szCs w:val="21"/>
              <w:highlight w:val="none"/>
            </w:rPr>
            <w:fldChar w:fldCharType="end"/>
          </w:r>
          <w:r>
            <w:rPr>
              <w:szCs w:val="21"/>
              <w:highlight w:val="none"/>
            </w:rPr>
            <w:fldChar w:fldCharType="begin"/>
          </w:r>
          <w:r>
            <w:rPr>
              <w:szCs w:val="21"/>
              <w:highlight w:val="none"/>
            </w:rPr>
            <w:instrText xml:space="preserve"> MACROBUTTON  SnrToggleCheckbox □不适用 </w:instrText>
          </w:r>
          <w:r>
            <w:rPr>
              <w:szCs w:val="21"/>
              <w:highlight w:val="none"/>
            </w:rPr>
            <w:fldChar w:fldCharType="end"/>
          </w:r>
        </w:p>
      </w:sdtContent>
    </w:sdt>
    <w:sdt>
      <w:sdtPr>
        <w:rPr>
          <w:rFonts w:hint="eastAsia"/>
          <w:szCs w:val="21"/>
          <w:highlight w:val="none"/>
        </w:rPr>
        <w:alias w:val="非金融长期资产减值测试方法及会计处理方法"/>
        <w:tag w:val="_GBC_0a065c1269a846f6923598a2c1fc4269"/>
        <w:id w:val="26571"/>
        <w:placeholder>
          <w:docPart w:val="GBC22222222222222222222222222222"/>
        </w:placeholder>
      </w:sdtPr>
      <w:sdtEndPr>
        <w:rPr>
          <w:rFonts w:hint="eastAsia"/>
          <w:szCs w:val="21"/>
          <w:highlight w:val="cya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在资产负债表日判断长期资产是否存在可能发生减值的迹象。如果长期资产存在减值迹象的，以单项资产为基础估计其可收回金额；难以对单项资产的可收回金额进行估计的，以该资产所属的资产组为基础确定资产组的可收回金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资产可收回金额的估计，根据其公允价值减去处置费用后的净额与资产预计未来现金流量的现值两者之间较高者确定。</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资产减值损失确认后，减值资产的折旧或者摊销费用在未来期间作相应调整，以使该资产在剩余使用寿命内，系统地分摊调整后的资产账面价值（扣除预计净残值）。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因企业合并所形成的商誉和使用寿命不确定的无形资产，无论是否存在减值迹象，每年都进行减值测试。</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highlight w:val="cyan"/>
            </w:rPr>
          </w:pPr>
          <w:r>
            <w:rPr>
              <w:rFonts w:hint="eastAsia" w:ascii="Times New Roman" w:hAnsi="Times New Roman"/>
              <w:sz w:val="21"/>
              <w:szCs w:val="21"/>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sdtContent>
    </w:sdt>
    <w:p>
      <w:pPr>
        <w:rPr>
          <w:szCs w:val="21"/>
        </w:rPr>
      </w:pPr>
    </w:p>
    <w:p>
      <w:pPr>
        <w:pStyle w:val="203"/>
        <w:numPr>
          <w:ilvl w:val="0"/>
          <w:numId w:val="63"/>
        </w:numPr>
      </w:pPr>
      <w:r>
        <w:t>长期待摊费用</w:t>
      </w:r>
    </w:p>
    <w:sdt>
      <w:sdtPr>
        <w:rPr>
          <w:rFonts w:hint="eastAsia"/>
          <w:szCs w:val="21"/>
        </w:rPr>
        <w:alias w:val="是否适用：长期待摊费用_重要会计政策和估计[双击切换]"/>
        <w:tag w:val="_GBC_5f2bbee5e66644d489f8d74ae8f96539"/>
        <w:id w:val="2657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Times New Roman" w:hAnsi="Times New Roman"/>
          <w:sz w:val="21"/>
          <w:szCs w:val="21"/>
        </w:rPr>
        <w:alias w:val="开办费、长期待摊费用摊销方法"/>
        <w:tag w:val="_GBC_a0e2b7a5a9454eaea97ca201421d7dde"/>
        <w:id w:val="26573"/>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cs="Times New Roman"/>
              <w:kern w:val="2"/>
              <w:szCs w:val="21"/>
            </w:rPr>
          </w:pPr>
          <w:r>
            <w:rPr>
              <w:rFonts w:hint="eastAsia" w:ascii="Times New Roman" w:hAnsi="Times New Roman"/>
              <w:sz w:val="21"/>
              <w:szCs w:val="21"/>
            </w:rPr>
            <w:t>长期待摊费用，是指本公司已经发生但应由本期和以后各期负担的分摊期限在1年以上的各项费用。长期待摊费用在受益期内按直线法分期摊销。若长期待摊的费用项目不能使以后会计期间受益，则将尚未摊销的该项目的摊余价值全部转入当期损益。</w:t>
          </w:r>
        </w:p>
      </w:sdtContent>
    </w:sdt>
    <w:p>
      <w:pPr>
        <w:rPr>
          <w:szCs w:val="21"/>
        </w:rPr>
      </w:pPr>
    </w:p>
    <w:p>
      <w:pPr>
        <w:pStyle w:val="203"/>
        <w:numPr>
          <w:ilvl w:val="0"/>
          <w:numId w:val="63"/>
        </w:numPr>
        <w:rPr>
          <w:szCs w:val="21"/>
          <w:highlight w:val="none"/>
        </w:rPr>
      </w:pPr>
      <w:bookmarkStart w:id="173" w:name="_Hlk533668008"/>
      <w:r>
        <w:rPr>
          <w:rFonts w:hint="eastAsia"/>
          <w:szCs w:val="21"/>
          <w:highlight w:val="none"/>
        </w:rPr>
        <w:t>合同负债</w:t>
      </w:r>
    </w:p>
    <w:sdt>
      <w:sdtPr>
        <w:rPr>
          <w:szCs w:val="21"/>
          <w:highlight w:val="none"/>
        </w:rPr>
        <w:alias w:val="是否适用：合同负债的确定方法、摊销方法和减值测试方法[双击切换]"/>
        <w:tag w:val="_GBC_1d0f6a0a7f304d3f94158c9d73a7239a"/>
        <w:id w:val="26574"/>
        <w:placeholder>
          <w:docPart w:val="GBC22222222222222222222222222222"/>
        </w:placeholder>
      </w:sdtPr>
      <w:sdtEndPr>
        <w:rPr>
          <w:szCs w:val="21"/>
          <w:highlight w:val="none"/>
        </w:rPr>
      </w:sdtEndPr>
      <w:sdtContent>
        <w:p>
          <w:pPr>
            <w:rPr>
              <w:szCs w:val="21"/>
              <w:highlight w:val="none"/>
            </w:rPr>
          </w:pPr>
          <w:r>
            <w:rPr>
              <w:szCs w:val="21"/>
              <w:highlight w:val="none"/>
            </w:rPr>
            <w:fldChar w:fldCharType="begin"/>
          </w:r>
          <w:r>
            <w:rPr>
              <w:szCs w:val="21"/>
              <w:highlight w:val="none"/>
            </w:rPr>
            <w:instrText xml:space="preserve"> MACROBUTTON  SnrToggleCheckbox √适用 </w:instrText>
          </w:r>
          <w:r>
            <w:rPr>
              <w:szCs w:val="21"/>
              <w:highlight w:val="none"/>
            </w:rPr>
            <w:fldChar w:fldCharType="end"/>
          </w:r>
          <w:r>
            <w:rPr>
              <w:szCs w:val="21"/>
              <w:highlight w:val="none"/>
            </w:rPr>
            <w:fldChar w:fldCharType="begin"/>
          </w:r>
          <w:r>
            <w:rPr>
              <w:szCs w:val="21"/>
              <w:highlight w:val="none"/>
            </w:rPr>
            <w:instrText xml:space="preserve"> MACROBUTTON  SnrToggleCheckbox □不适用 </w:instrText>
          </w:r>
          <w:r>
            <w:rPr>
              <w:szCs w:val="21"/>
              <w:highlight w:val="none"/>
            </w:rPr>
            <w:fldChar w:fldCharType="end"/>
          </w:r>
        </w:p>
      </w:sdtContent>
    </w:sdt>
    <w:sdt>
      <w:sdtPr>
        <w:rPr>
          <w:szCs w:val="21"/>
          <w:highlight w:val="none"/>
        </w:rPr>
        <w:alias w:val="合同负债的确定方法、摊销方法和减值测试方法"/>
        <w:tag w:val="_GBC_0555b9144f6c494282d03f175d2fa19d"/>
        <w:id w:val="26575"/>
        <w:placeholder>
          <w:docPart w:val="GBC22222222222222222222222222222"/>
        </w:placeholder>
      </w:sdtPr>
      <w:sdtEndPr>
        <w:rPr>
          <w:szCs w:val="21"/>
          <w:highlight w:val="cya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在本公司与客户的合同中，本公司有权在尚未向客户转移商品或服务之前收取合同对价，与此同时将已收或应收客户对价而应向客户转移商品或服务的义务列示为合同负债。当本公司履行向客户转让商品或提供服务的义务时，合同负债确认为收入。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szCs w:val="21"/>
            </w:rPr>
          </w:pPr>
          <w:r>
            <w:rPr>
              <w:rFonts w:hint="eastAsia" w:ascii="Times New Roman" w:hAnsi="Times New Roman"/>
              <w:sz w:val="21"/>
              <w:szCs w:val="21"/>
            </w:rPr>
            <w:t>本公司对于同一合同下的合同资产和合同负债以净额列示。</w:t>
          </w:r>
        </w:p>
      </w:sdtContent>
    </w:sdt>
    <w:p>
      <w:pPr>
        <w:rPr>
          <w:szCs w:val="21"/>
        </w:rPr>
      </w:pPr>
    </w:p>
    <w:bookmarkEnd w:id="173"/>
    <w:p>
      <w:pPr>
        <w:pStyle w:val="203"/>
        <w:numPr>
          <w:ilvl w:val="0"/>
          <w:numId w:val="63"/>
        </w:numPr>
      </w:pPr>
      <w:r>
        <w:rPr>
          <w:rFonts w:hint="eastAsia"/>
        </w:rPr>
        <w:t>职工薪酬</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职工薪酬，是指本公司为获得职工提供的服务或解除劳动关系而给予的各种形式的报酬或补偿。职工薪酬包括短期薪酬、离职后福利、辞退福利和其他长期职工福利。</w:t>
      </w:r>
    </w:p>
    <w:p/>
    <w:p>
      <w:pPr>
        <w:pStyle w:val="90"/>
        <w:numPr>
          <w:ilvl w:val="3"/>
          <w:numId w:val="67"/>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6576"/>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26577"/>
        <w:placeholder>
          <w:docPart w:val="GBC22222222222222222222222222222"/>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p>
          <w:pPr>
            <w:rPr>
              <w:szCs w:val="21"/>
            </w:rPr>
          </w:pPr>
        </w:p>
      </w:sdtContent>
    </w:sdt>
    <w:p>
      <w:pPr>
        <w:pStyle w:val="90"/>
        <w:numPr>
          <w:ilvl w:val="3"/>
          <w:numId w:val="67"/>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26578"/>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6579"/>
        <w:placeholder>
          <w:docPart w:val="GBC22222222222222222222222222222"/>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离职后福利是指本公司为获得职工提供的服务而在职工退休或与企业解除劳动关系后，提供的各种形式的报酬和福利，短期薪酬和辞退福利除外。</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本公司的离职后福利计划分类为设定提存计划和设定受益计划。</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离职后福利设定提存计划主要为参加由各地劳动及社会保障机构组织实施的社会基本养老保险、失业保险等。在职工为本公司提供服务的会计期间，将根据设定提存计划计算的应缴存金额确认为负债，并计入当期损益或相关资产成本。</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离职后福利设定受益计划主要为内退人员支付的工资、社保、过节费等。对于设定受益计划中承担的义务，在资产负债表日由独立精算师使用预期累计福利单位法进行精算，将设定受益计划产生的福利义务归属于职工提供服务的期间，并计入当期损益或相关资产成本，其中：除非其他会计准则要求或允许职工福利成本计入资产成本，设定受益计划服务成本和设定受益计划净负债或净资产的利息净额在发生当期计入当期损益；重新计量设定受益计划净负债或净资产所产生的变动在发生当期计入其他综合收益，且在后续会计期间不允许转回至损益。</w:t>
          </w:r>
        </w:p>
        <w:p>
          <w:pPr>
            <w:rPr>
              <w:szCs w:val="21"/>
            </w:rPr>
          </w:pPr>
        </w:p>
      </w:sdtContent>
    </w:sdt>
    <w:p>
      <w:pPr>
        <w:pStyle w:val="90"/>
        <w:numPr>
          <w:ilvl w:val="3"/>
          <w:numId w:val="67"/>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6580"/>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6581"/>
        <w:placeholder>
          <w:docPart w:val="GBC22222222222222222222222222222"/>
        </w:placeholder>
      </w:sdtPr>
      <w:sdtEndPr>
        <w:rPr>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孰早日，确认因解除与职工的劳动关系给予补偿而产生的负债，同时计入当期损益。</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向接受内部退休安排的职工提供内退福利。内退福利是指，向未达到国家规定的退休年龄、经本公司管理层批准自愿退出工作岗位的职工支付的工资及为其缴纳的社会保险费等。本公司自内部退休安排开始之日起至职工达到正常退休年龄止，向内退职工支付内部退养福利。对于内退福利，本公司比照辞退福利进行会计处理，在符合辞退福利相关确认条件时，将自职工停止提供服务日至正常退休日期间拟支付的内退职工工资和缴纳的社会保险费等，确认为负债，一次性计入当期损益。内退福利的精算假设变化及福利标准调整引起的差异于发生时计入当期损益。</w:t>
          </w:r>
        </w:p>
        <w:p>
          <w:pPr>
            <w:rPr>
              <w:szCs w:val="21"/>
            </w:rPr>
          </w:pPr>
        </w:p>
      </w:sdtContent>
    </w:sdt>
    <w:p>
      <w:pPr>
        <w:rPr>
          <w:szCs w:val="21"/>
        </w:rPr>
      </w:pPr>
    </w:p>
    <w:p>
      <w:pPr>
        <w:pStyle w:val="90"/>
        <w:numPr>
          <w:ilvl w:val="3"/>
          <w:numId w:val="67"/>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658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Times New Roman" w:hAnsi="Times New Roman"/>
          <w:sz w:val="21"/>
          <w:szCs w:val="21"/>
        </w:rPr>
        <w:alias w:val="其他长期职工福利的会计处理方法"/>
        <w:tag w:val="_GBC_0e549e9400284de7b64ddf6ecc255dea"/>
        <w:id w:val="26583"/>
        <w:placeholder>
          <w:docPart w:val="GBC22222222222222222222222222222"/>
        </w:placeholder>
      </w:sdtPr>
      <w:sdtEndPr>
        <w:rPr>
          <w:rFonts w:hint="eastAsia" w:ascii="Times New Roman" w:hAnsi="Times New Roman"/>
          <w:sz w:val="21"/>
          <w:szCs w:val="21"/>
        </w:rPr>
      </w:sdtEndPr>
      <w:sdtContent>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其他长期职工福利是指除短期薪酬、离职后福利、辞退福利之外的其他所有职工福利。</w:t>
          </w:r>
        </w:p>
        <w:p>
          <w:pPr>
            <w:widowControl w:val="0"/>
            <w:autoSpaceDE w:val="0"/>
            <w:autoSpaceDN w:val="0"/>
            <w:adjustRightInd w:val="0"/>
            <w:snapToGrid w:val="0"/>
            <w:spacing w:line="460" w:lineRule="atLeast"/>
            <w:ind w:firstLine="426" w:firstLineChars="203"/>
            <w:jc w:val="both"/>
            <w:rPr>
              <w:rFonts w:cs="Times New Roman"/>
              <w:szCs w:val="21"/>
            </w:rPr>
          </w:pPr>
          <w:r>
            <w:rPr>
              <w:rFonts w:hint="eastAsia" w:ascii="Times New Roman" w:hAnsi="Times New Roman"/>
              <w:sz w:val="21"/>
              <w:szCs w:val="21"/>
            </w:rPr>
            <w:t>对符合设定提存计划条件的其他长期职工福利，在职工为本公司提供服务的会计期间，将应缴存金额确认为负债，并计入当期损益或相关资产成本；除上述情形外的其他长期职工福利，在资产负债表日使用预期累计福利单位法进行精算，将设定受益计划产生的福利义务归属于职工提供服务的期间，并计入当期损益或相关资产成本。</w:t>
          </w:r>
        </w:p>
      </w:sdtContent>
    </w:sdt>
    <w:p>
      <w:pPr>
        <w:rPr>
          <w:rFonts w:cs="Times New Roman"/>
          <w:szCs w:val="21"/>
        </w:rPr>
      </w:pPr>
    </w:p>
    <w:p>
      <w:pPr>
        <w:pStyle w:val="203"/>
        <w:numPr>
          <w:ilvl w:val="0"/>
          <w:numId w:val="63"/>
        </w:numPr>
      </w:pPr>
      <w:r>
        <w:t>预计负债</w:t>
      </w:r>
    </w:p>
    <w:sdt>
      <w:sdtPr>
        <w:rPr>
          <w:rFonts w:hint="eastAsia"/>
          <w:szCs w:val="21"/>
        </w:rPr>
        <w:alias w:val="是否适用：预计负债_重要会计政策和估计[双击切换]"/>
        <w:tag w:val="_GBC_546a7423773c46d2b57f08fc5fdbc638"/>
        <w:id w:val="26584"/>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03"/>
        <w:numPr>
          <w:ilvl w:val="0"/>
          <w:numId w:val="63"/>
        </w:numPr>
      </w:pPr>
      <w:r>
        <w:rPr>
          <w:rFonts w:hint="eastAsia"/>
        </w:rPr>
        <w:t>股份支付</w:t>
      </w:r>
    </w:p>
    <w:sdt>
      <w:sdtPr>
        <w:rPr>
          <w:rFonts w:hint="eastAsia"/>
          <w:szCs w:val="21"/>
        </w:rPr>
        <w:alias w:val="是否适用：股份支付_重要会计政策和估计[双击切换]"/>
        <w:tag w:val="_GBC_7741eb89da65434190830ba1cd87e4dc"/>
        <w:id w:val="26585"/>
        <w:placeholder>
          <w:docPart w:val="GBC22222222222222222222222222222"/>
        </w:placeholder>
      </w:sdtPr>
      <w:sdtEndPr>
        <w:rPr>
          <w:rFonts w:hint="eastAsia"/>
          <w:szCs w:val="21"/>
        </w:rPr>
      </w:sdtEndPr>
      <w:sdtContent>
        <w:p>
          <w:pPr>
            <w:outlineLvl w:val="9"/>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rPr>
          <w:b/>
          <w:bCs/>
          <w:szCs w:val="21"/>
        </w:rPr>
        <w:alias w:val="股份支付的核算方法"/>
        <w:tag w:val="_GBC_99e197c555ed4cf8aa00bbd5da2fe98b"/>
        <w:id w:val="26586"/>
        <w:placeholder>
          <w:docPart w:val="{629835b0-31f7-48e6-9880-de9052072c7b}"/>
        </w:placeholder>
      </w:sdtPr>
      <w:sdtEndPr>
        <w:rPr>
          <w:rFonts w:hint="eastAsia" w:ascii="Times New Roman" w:hAnsi="Times New Roman"/>
          <w:b/>
          <w:bCs/>
          <w:sz w:val="21"/>
          <w:szCs w:val="21"/>
        </w:rPr>
      </w:sdtEndPr>
      <w:sdtContent>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（1）股份支付的种类</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本公司股份支付分为以权益结算的股份支付和以现金结算的股份支付。</w:t>
          </w:r>
        </w:p>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（2）权益工具公允价值的确定方法</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对于授予的存在活跃市场的期权等权益工具，按照活跃市场中的报价确定其公允价值。对于授予的不存在活跃市场的期权等权益工具，采用期权定价模型等确定其公允价值。选用的期权定价模型考虑以下因素：A、期权的行权价格；B、期权的有效期；C、标的股份的现行价格；D、股价预计波动率；E、股份的预计股利；F、期权有效期内的无风险利率。</w:t>
          </w:r>
        </w:p>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（3）确认可行权权益工具最佳估计的依据</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等待期内每个资产负债表日，本公司根据最新取得的可行权职工人数变动等后续信息作出最佳估计，修正预计可行权的权益工具数量。在可行权日，最终预计可行权权益工具的数量应当与实际可行权数量一致。</w:t>
          </w:r>
        </w:p>
        <w:p>
          <w:pPr>
            <w:widowControl w:val="0"/>
            <w:autoSpaceDE w:val="0"/>
            <w:autoSpaceDN w:val="0"/>
            <w:adjustRightInd w:val="0"/>
            <w:snapToGrid w:val="0"/>
            <w:spacing w:line="460" w:lineRule="atLeast"/>
            <w:ind w:firstLine="428" w:firstLineChars="203"/>
            <w:jc w:val="both"/>
            <w:rPr>
              <w:rFonts w:hint="eastAsia" w:ascii="Times New Roman" w:hAnsi="Times New Roman"/>
              <w:b/>
              <w:bCs/>
              <w:sz w:val="21"/>
              <w:szCs w:val="21"/>
            </w:rPr>
          </w:pPr>
          <w:r>
            <w:rPr>
              <w:rFonts w:hint="eastAsia" w:ascii="Times New Roman" w:hAnsi="Times New Roman"/>
              <w:b/>
              <w:bCs/>
              <w:sz w:val="21"/>
              <w:szCs w:val="21"/>
            </w:rPr>
            <w:t>（4）实施、修改、终止股份支付计划的相关会计处理</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权情况的最佳估计为基础，按照本公司承担负债的公允价值金额，将当期取得的服务计入成本或费用和相应的负债。在相关负债结算前的每个资产负债表日以及结算日，对负债的公允价值重新计量，其变动计入当期损益。</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pPr>
            <w:widowControl w:val="0"/>
            <w:autoSpaceDE w:val="0"/>
            <w:autoSpaceDN w:val="0"/>
            <w:adjustRightInd w:val="0"/>
            <w:snapToGrid w:val="0"/>
            <w:spacing w:line="460" w:lineRule="atLeast"/>
            <w:ind w:firstLine="426" w:firstLineChars="203"/>
            <w:jc w:val="both"/>
            <w:rPr>
              <w:rFonts w:hint="eastAsia" w:ascii="Times New Roman" w:hAnsi="Times New Roman"/>
              <w:sz w:val="21"/>
              <w:szCs w:val="21"/>
            </w:rPr>
          </w:pPr>
          <w:r>
            <w:rPr>
              <w:rFonts w:hint="eastAsia" w:ascii="Times New Roman" w:hAnsi="Times New Roman"/>
              <w:sz w:val="21"/>
              <w:szCs w:val="21"/>
            </w:rPr>
            <w:t>在等待期内，如果取消了授予的权益工具（因未满足可行权条件的非市场条件而被取消的除外），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p>
      <w:pPr>
        <w:rPr>
          <w:szCs w:val="21"/>
        </w:rPr>
      </w:pPr>
    </w:p>
    <w:p>
      <w:pPr>
        <w:pStyle w:val="203"/>
        <w:numPr>
          <w:ilvl w:val="0"/>
          <w:numId w:val="63"/>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26587"/>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03"/>
        <w:numPr>
          <w:ilvl w:val="0"/>
          <w:numId w:val="63"/>
        </w:numPr>
        <w:rPr>
          <w:szCs w:val="21"/>
        </w:rPr>
      </w:pPr>
      <w:bookmarkStart w:id="174" w:name="_Hlk533668053"/>
      <w:r>
        <w:rPr>
          <w:rFonts w:hint="eastAsia"/>
          <w:szCs w:val="21"/>
        </w:rPr>
        <w:t>收入</w:t>
      </w:r>
    </w:p>
    <w:p>
      <w:pPr>
        <w:pStyle w:val="90"/>
        <w:numPr>
          <w:ilvl w:val="3"/>
          <w:numId w:val="68"/>
        </w:numPr>
        <w:ind w:left="426" w:hanging="426"/>
        <w:rPr>
          <w:szCs w:val="21"/>
        </w:rPr>
      </w:pPr>
      <w:r>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26588"/>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b/>
          <w:bCs/>
          <w:szCs w:val="21"/>
        </w:rPr>
        <w:alias w:val="收入确认和计量所采用的会计政策"/>
        <w:tag w:val="_GBC_9ba2713a8f0a44ef9a4ee890aa13e0fb"/>
        <w:id w:val="26589"/>
        <w:placeholder>
          <w:docPart w:val="GBC22222222222222222222222222222"/>
        </w:placeholder>
      </w:sdtPr>
      <w:sdtEndPr>
        <w:rPr>
          <w:rFonts w:hint="eastAsia" w:ascii="Times New Roman" w:hAnsi="Times New Roman"/>
          <w:b/>
          <w:bCs/>
          <w:sz w:val="21"/>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b/>
              <w:bCs/>
              <w:szCs w:val="21"/>
            </w:rPr>
          </w:pPr>
          <w:r>
            <w:rPr>
              <w:rFonts w:hint="eastAsia"/>
              <w:b/>
              <w:bCs/>
              <w:szCs w:val="21"/>
            </w:rPr>
            <w:t>①</w:t>
          </w:r>
          <w:r>
            <w:rPr>
              <w:rFonts w:hint="eastAsia"/>
              <w:b/>
              <w:bCs/>
              <w:szCs w:val="21"/>
              <w:lang w:val="en-US" w:eastAsia="zh-CN"/>
            </w:rPr>
            <w:t xml:space="preserve"> </w:t>
          </w:r>
          <w:r>
            <w:rPr>
              <w:rFonts w:hint="eastAsia"/>
              <w:b/>
              <w:bCs/>
              <w:szCs w:val="21"/>
            </w:rPr>
            <w:t xml:space="preserve">收入确认和计量所采用的会计政策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本公司在履行了合同中的履约义务，即在客户取得相关商品或服务控制权时确认收入。取得相关商品或服务控制权，是指能够主导该商品或服务的使用并从中获得几乎全部的经济利益。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合同中包含两项或多项履约义务的，本公司在合同开始日，按照各单项履约义务所承诺商品或服务的单独售价的相对比例，将交易价格分摊至各单项履约义务。本公司按照分摊至各单项履约义务的交易价格计量收入。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满足下列条件之一的，属于在某一时段内履行履约义务，否则，属于在某一时点履行履约义务：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•客户在本公司履约的同时即取得并消耗本公司履约所带来的经济利益。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•客户能够控制本公司履约过程中在建的商品。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•本公司履约过程中所产出的商品具有不可替代用途，且本公司在整个合同期内有权就累计至今已完成的履约部分收取款项。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对于在某一时点履行的履约义务，本公司在客户取得相关商品或服务控制权时点确认收入。在判断客户是否已取得商品或服务控制权时，本公司考虑下列迹象：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•本公司就该商品或服务享有现时收款权利，即客户就该商品或服务负有现时付款义务。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•本公司已将该商品的法定所有权转移给客户，即客户已拥有该商品的法定所有权。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•本公司已将该商品实物转移给客户，即客户已实物占有该商品。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•本公司已将该商品所有权上的主要风险和报酬转移给客户，即客户已取得该商品所有权上的主要风险和报酬。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宋体" w:hAnsi="宋体" w:eastAsia="宋体" w:cs="宋体"/>
              <w:b/>
              <w:color w:val="000000"/>
              <w:kern w:val="2"/>
              <w:szCs w:val="21"/>
            </w:rPr>
            <w:t xml:space="preserve">② </w:t>
          </w:r>
          <w:r>
            <w:rPr>
              <w:rFonts w:hint="eastAsia" w:ascii="Times New Roman" w:hAnsi="Times New Roman"/>
              <w:b/>
              <w:bCs/>
              <w:sz w:val="21"/>
              <w:szCs w:val="21"/>
            </w:rPr>
            <w:t xml:space="preserve">本公司取得收入的主要活动相关的具体会计政策描述如下：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内销：公司以客户收到货物并验收合格后，本公司认定客户取得相关商品控制权，确认收入的实现。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外销：公司出口产品在销售定价交易模式为FOB方式下，公司以货物装船，报关出口时，本公司认定客户取得相关商品控制权，确认收入的实现；在销售定价交易模式为CIF或C&amp;F方式下，公司以货物报关出口并交付提单后，本公司认定客户取得相关商品控制权，确认收入的实现。</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商品贸易：公司在向客户转让商品前能够控制该商品，公司为主要责任人，按照已收或应收对价总额确认收入。</w:t>
          </w:r>
        </w:p>
      </w:sdtContent>
    </w:sdt>
    <w:p>
      <w:pPr>
        <w:rPr>
          <w:szCs w:val="21"/>
        </w:rPr>
      </w:pPr>
    </w:p>
    <w:bookmarkEnd w:id="174"/>
    <w:p>
      <w:pPr>
        <w:pStyle w:val="90"/>
        <w:numPr>
          <w:ilvl w:val="3"/>
          <w:numId w:val="68"/>
        </w:numPr>
        <w:ind w:left="426" w:hanging="426"/>
        <w:rPr>
          <w:szCs w:val="21"/>
        </w:rPr>
      </w:pPr>
      <w:bookmarkStart w:id="175" w:name="_Hlk533668087"/>
      <w:r>
        <w:rPr>
          <w:rFonts w:hint="eastAsia" w:ascii="宋体" w:hAnsi="宋体" w:eastAsia="宋体" w:cs="宋体"/>
          <w:bCs w:val="0"/>
          <w:kern w:val="0"/>
          <w:szCs w:val="21"/>
        </w:rPr>
        <w:t>同类业务采用不同经营模式涉及</w:t>
      </w:r>
      <w:r>
        <w:rPr>
          <w:rFonts w:cs="宋体"/>
          <w:kern w:val="0"/>
          <w:szCs w:val="21"/>
        </w:rPr>
        <w:t>不同收入确认方式及计量方法</w:t>
      </w:r>
    </w:p>
    <w:sdt>
      <w:sdtPr>
        <w:rPr>
          <w:szCs w:val="21"/>
        </w:rPr>
        <w:alias w:val="是否适用：同类业务采用不同经营模式导致收入确认会计政策存在差异的情况[双击切换]"/>
        <w:tag w:val="_GBC_778cfed951bb4cf4997e2d67e4b1e3a9"/>
        <w:id w:val="26590"/>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175"/>
    <w:p>
      <w:pPr>
        <w:pStyle w:val="203"/>
        <w:numPr>
          <w:ilvl w:val="0"/>
          <w:numId w:val="63"/>
        </w:numPr>
        <w:rPr>
          <w:szCs w:val="21"/>
        </w:rPr>
      </w:pPr>
      <w:bookmarkStart w:id="176" w:name="_Hlk533668133"/>
      <w:r>
        <w:rPr>
          <w:rFonts w:hint="eastAsia"/>
          <w:szCs w:val="21"/>
        </w:rPr>
        <w:t>合同成本</w:t>
      </w:r>
    </w:p>
    <w:sdt>
      <w:sdtPr>
        <w:alias w:val="是否适用：合同成本_重要会计政策和估计[双击切换]"/>
        <w:tag w:val="_GBC_c5b4accd569d48e8a81ed05eb0bf64fb"/>
        <w:id w:val="26591"/>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alias w:val="合同成本_重要会计政策和估计"/>
        <w:tag w:val="_GBC_74258d199b3d4540b8df00b35751b505"/>
        <w:id w:val="26592"/>
        <w:placeholder>
          <w:docPart w:val="{4b40c064-e021-47c2-9a8c-d7548d20868d}"/>
        </w:placeholder>
      </w:sdt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合同履约成本，是指本公司为履行合同发生的成本，该成本不属于收入准则以外的其他准则规范范围且同时满足下列条件：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（1）该成本与一份当前或预期取得的合同直接相关，包括直接人工、直接材料、制造费用（或类似费用）、明确由客户承担的成本以及仅因该合同而发生的其他成本；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（2）该成本增加了本公司未来用于履行履约义务的资源；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（3）该成本预期能够收回。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本公司的下列支出于发生时，计入当期损益：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（1）管理费用。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（2）非正常消耗的直接材料、直接人工和制造费用（或类似费用），这些支出为履行合同发生，但未反映在合同价格中。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（3）与履约义务中已履行部分相关的支出。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 xml:space="preserve">（4）无法在尚未履行的与已履行的履约义务之间区分的相关支出。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为取得合同发生的增量成本预期能够收回的，作为合同取得成本确认为一项资产；如该资产摊销期限不超过一年的，在发生时计入当期损益。增量成本，是指本公司不取得合同就不会发生的成本（如销售佣金等）。本公司为取得合同发生的、除预期能够收回的增量成本之外的其他支出（如无论是否取得合同均会发生的差旅费等），在发生时计入当期损益，但是，明确由客户承担的除外。</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本公司与合同成本有关的资产，应当采用与该资产相关的商品收入确认相同的基础进行摊销，计入当期损益。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本公司与合同成本有关的资产，其账面价值高于下列两项的差额的，超出部分计提减值准备，并确认为资产减值损失：</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（1）本公司因转让与该资产相关的商品预期能够取得的剩余对价；</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（2）为转让该相关商品估计将要发生的成本。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以前期间减值的因素之后发生变化，使得上述（1）减（2）的差额高于该资产账面价值的，本公司转回原已计提的资产减值准备，并计入当期损益，但转回后的资产账面价值不超过假定不计提减值准备情况下该资产在转回日的账面价值。</w:t>
          </w:r>
        </w:p>
        <w:p>
          <w:pPr>
            <w:numPr>
              <w:ilvl w:val="0"/>
              <w:numId w:val="0"/>
            </w:numPr>
            <w:ind w:leftChars="0"/>
          </w:pPr>
        </w:p>
      </w:sdtContent>
    </w:sdt>
    <w:p>
      <w:pPr>
        <w:rPr>
          <w:szCs w:val="21"/>
        </w:rPr>
      </w:pPr>
    </w:p>
    <w:bookmarkEnd w:id="176"/>
    <w:p>
      <w:pPr>
        <w:pStyle w:val="203"/>
        <w:numPr>
          <w:ilvl w:val="0"/>
          <w:numId w:val="63"/>
        </w:numPr>
      </w:pPr>
      <w:bookmarkStart w:id="177" w:name="_Hlk533668149"/>
      <w:r>
        <w:t>政府补助</w:t>
      </w:r>
    </w:p>
    <w:sdt>
      <w:sdtPr>
        <w:alias w:val="是否适用：政府补助_重要会计政策和估计[双击切换]"/>
        <w:tag w:val="_GBC_d8ac76c6a68c49fb952fadc0e46c9ef4"/>
        <w:id w:val="26593"/>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26594"/>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（1）类型</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政府补助，是本公司从政府无偿取得的货币性资产与非货币性资产。根据相关政府文件规定的补助对象，将政府补助划分为与资产相关的政府补助和与收益相关的政府补助。</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与资产相关的政府补助，是指本公司取得的、用于购建或以其他方式形成长期资产的政府补助。与收益相关的政府补助，是指除与资产相关的政府补助之外的政府补助。</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若政府文件未明确规定补助对象，将该政府补助划分为与资产相关或与收益相关的判断依据：①政府文件明确了补助所针对的特定项目的，根据该特定项目的预算中将形成资产的支出金额和计入费用的支出金额的相对比例进行划分，对该划分比例需在每个资产负债表日进行复核，必要时进行变更；②政府文件中对用途仅作一般性表述，没有指明特定项目的，作为与收益相关的政府补助。</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（2）政府补助的确认</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对期末有证据表明公司能够符合财政扶持政策规定的相关条件且预计能够收到财政扶持资金的，按应收金额确认政府补助。除此之外，政府补助均在实际收到时确认。</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政府补助为货币性资产的，按照收到或应收的金额计量。政府补助为非货币性资产的，按照公允价值计量；公允价值不能够可靠取得的，按照名义金额（人民币1元）计量。按照名义金额计量的政府补助，直接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（3）会计处理方法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本公司根据经济业务的实质，确定某一类政府补助业务应当采用总额法还是净额法进行会计处理。通常情况下，本公司对于同类或类似政府补助业务只选用一种方法，且对该业务一贯地运用该方法。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与资产相关的政府补助，应当冲减相关资产的账面价值或确认为递延收益。与资产相关的政府补助确认为递延收益的，在所建造或购买资产使用寿命内按照合理、系统的方法分期计入损益。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收益相关的政府补助，用于补偿企业以后期间的相关费用或损失的，确认为递延收益，在确认相关费用或损失的期间计入当期损益或冲减相关成本；用于补偿企业已发生的相关费用或损失的，取得时直接计入当期损益或冲减相关成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与企业日常活动相关的政府补助计入其他收益或冲减相关成本费用；与企业日常活动无关的政府补助计入营业外收支。</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sdtContent>
    </w:sdt>
    <w:p/>
    <w:bookmarkEnd w:id="177"/>
    <w:p>
      <w:pPr>
        <w:pStyle w:val="203"/>
        <w:numPr>
          <w:ilvl w:val="0"/>
          <w:numId w:val="63"/>
        </w:numPr>
      </w:pPr>
      <w:r>
        <w:t>递延所得税资产/递延所得税负债</w:t>
      </w:r>
    </w:p>
    <w:sdt>
      <w:sdtPr>
        <w:rPr>
          <w:rFonts w:hint="eastAsia"/>
          <w:szCs w:val="21"/>
        </w:rPr>
        <w:alias w:val="是否适用：所得税的会计处理方法[双击切换]"/>
        <w:tag w:val="_GBC_7e8295f4559b44568e5d37a6a605588c"/>
        <w:id w:val="26595"/>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6596"/>
        <w:placeholder>
          <w:docPart w:val="GBC22222222222222222222222222222"/>
        </w:placeholder>
      </w:sdtPr>
      <w:sdtEndPr>
        <w:rPr>
          <w:rFonts w:hint="eastAsia"/>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递延所得税资产和递延所得税负债根据资产和负债的计税基础与其账面价值的差额(暂时性差异)计算确认。于资产负债表日，递延所得税资产和递延所得税负债，按照预期收回该资产或清偿该负债期间的适用税率计量。</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（1）确认递延所得税资产的依据</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以很可能取得用来抵扣可抵扣暂时性差异、能够结转以后年度的可抵扣亏损和税款抵减的应纳税所得额为限，确认由可抵扣暂时性差异产生的递延所得税资产。但是，同时具有下列特征的交易中因资产或负债的初始确认所产生的递延所得税资产不予确认：①该交易不是企业合并；②交易发生时既不影响会计利润也不影响应纳税所得额或可抵扣亏损。</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对于与联营企业投资相关的可抵扣暂时性差异，同时满足下列条件的，确认相应的递延所得税资产：暂时性差异在可预见的未来很可能转回，且未来很可能获得用来抵扣可抵扣暂时性差异的应纳税所得额。</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（2）确认递延所得税负债的依据</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公司将当期与以前期间应交未交的应纳税暂时性差异确认为递延所得税负债。但不包括：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①商誉的初始确认所形成的暂时性差异；</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②非企业合并形成的交易或事项，且该交易或事项发生时既不影响会计利润，也不影响应纳税所得额（或可抵扣亏损）所形成的暂时性差异；</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③对于与子公司、联营企业投资相关的应纳税暂时性差异，该暂时性差异转回的时间能够控制并且该暂时性差异在可预见的未来很可能不会转回。</w:t>
          </w:r>
        </w:p>
        <w:p>
          <w:pPr>
            <w:rPr>
              <w:szCs w:val="21"/>
            </w:rPr>
          </w:pPr>
        </w:p>
      </w:sdtContent>
    </w:sdt>
    <w:p>
      <w:pPr>
        <w:rPr>
          <w:szCs w:val="21"/>
        </w:rPr>
      </w:pPr>
    </w:p>
    <w:p>
      <w:pPr>
        <w:pStyle w:val="203"/>
        <w:numPr>
          <w:ilvl w:val="0"/>
          <w:numId w:val="63"/>
        </w:numPr>
      </w:pPr>
      <w:r>
        <w:t>租赁</w:t>
      </w:r>
    </w:p>
    <w:sdt>
      <w:sdtPr>
        <w:alias w:val="是否适用：租赁_重要会计政策和估计[双击切换]"/>
        <w:tag w:val="_GBC_6915a792f5f54d76bb3c5c2090ce337f"/>
        <w:id w:val="26597"/>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租赁的识别</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合同开始日，本公司作为承租人或出租人评估合同中的客户是否有权获得在使用期间内因使用已识别资产所产生的几乎全部经济利益，并有权在该使用期间主导已识别资产的使用。如果合同中一方让渡了在一定期间内控制一项或多项已识别资产使用的权利以换取对价，则本公司认定合同为租赁或者包含租赁。</w:t>
      </w:r>
    </w:p>
    <w:p/>
    <w:p>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26598"/>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26599"/>
        <w:placeholder>
          <w:docPart w:val="GBC22222222222222222222222222222"/>
        </w:placeholder>
      </w:sdtPr>
      <w:sdtEndPr>
        <w:rPr>
          <w:rFonts w:hint="eastAsia" w:ascii="Times New Roman" w:hAnsi="Times New Roman"/>
          <w:sz w:val="21"/>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在租赁期开始日，本公司对所有租赁确认使用权资产和租赁负债，简化处理的短期租赁和低价值资产租赁除外。</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租赁负债按照租赁期开始日尚未支付的租赁付款额按照租赁内含利率或增量借款利率计算的现值进行初始计量。租赁付款额包括：固定付款额及实质固定付款额，存在租赁激励的，扣除租赁激励相关金额；取决于指数或比率的可变租赁付款额；购买选择权的行权价格，前提是承租人合理确定将行使该选择权；行使终止租赁选择权需支付的款项，前提是租赁期反映出承租人将行使终止租赁选择权；以及根据承租人提供的担保余值预计应支付的款项。后续按照固定的周期性利率计算租赁负债在租赁期内各期间的利息费用，并计入当期损益。未纳入租赁负债计量的可变租赁付款额在实际发生时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短期租赁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短期租赁是指在租赁期开始日，租赁期不超过12个月的租赁，包含购买选择权的租赁除外。</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本公司将短期租赁的租赁付款额，在租赁期内各个期间按照直线法或其他系统合理的方法计入相关资产成本或当期损益。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对于短期租赁，本公司按照租赁资产的类别将下列资产类型中满足短期租赁条件的项目选择采用上述简化处理方法。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低价值资产租赁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低价值资产租赁是指单项租赁资产为全新资产时价值低于4万元的租赁。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本公司将低价值资产租赁的租赁付款额，在租赁期内各个期间按照直线法或其他系统合理的方法计入相关资产成本或当期损益。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对于低价值资产租赁，本公司根据每项租赁的具体情况选择采用上述简化处理方法。</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p>
      </w:sdtContent>
    </w:sdt>
    <w:p>
      <w:pPr>
        <w:rPr>
          <w:rFonts w:ascii="Calibri" w:hAnsi="Calibri" w:cs="Times New Roman"/>
          <w:kern w:val="2"/>
          <w:szCs w:val="32"/>
        </w:rPr>
      </w:pPr>
    </w:p>
    <w:p>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26600"/>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26601"/>
        <w:placeholder>
          <w:docPart w:val="GBC22222222222222222222222222222"/>
        </w:placeholder>
      </w:sdtPr>
      <w:sdtEndPr>
        <w:rPr>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本公司作作为出租人时，将实质上转移了与资产所有权有关的全部风险和报酬的租赁确认为融资租赁，除融资租赁之外的其他租赁确认为经营租赁。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融资租赁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融资租赁中，在租赁期开始日本公司按租赁投资净额作为应收融资租赁款的入账价值，租赁投资净额为未担保余值和租赁期开始日尚未收到的租赁收款额按照租赁内含利率折现的现值之和。本公司作为出租人按照固定的周期性利率计算并确认租赁期内各个期间的利息收入。本公司作为出租人取得的未纳入租赁投资净额计量的可变租赁付款额在实际发生时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应收融资租赁款的终止确认和减值按照《企业会计准则第22号——金融工具确认和计量》和《企业会计准则第23号——金融资产转移》的规定进行会计处理。</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经营租赁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经营租赁中的租金，本公司在租赁期内各个期间按照直线法【或其他更为系统合理的方法】确认当期损益。发生的与经营租赁有关的初始直接费用应当资本化，在租赁期内按照与租金收入确认相同的基础进行分摊，分期计入当期损益。取得的与经营租赁有关的未计入租赁收款额的可变租赁付款额，在实际发生时计入当期损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转租赁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本公司作为转租出租人时，基于原租赁产生的使用权资产对转租赁进行分类。原租赁为短期租赁，且本集团对原租赁进行简化处理的，将该转租赁分类为经营租赁。</w:t>
          </w:r>
        </w:p>
        <w:p>
          <w:pPr>
            <w:rPr>
              <w:szCs w:val="21"/>
            </w:rPr>
          </w:pPr>
        </w:p>
      </w:sdtContent>
    </w:sdt>
    <w:p/>
    <w:p>
      <w:pPr>
        <w:pStyle w:val="203"/>
        <w:numPr>
          <w:ilvl w:val="0"/>
          <w:numId w:val="63"/>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26602"/>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03"/>
        <w:numPr>
          <w:ilvl w:val="0"/>
          <w:numId w:val="63"/>
        </w:numPr>
      </w:pPr>
      <w:r>
        <w:rPr>
          <w:rFonts w:hint="eastAsia"/>
        </w:rPr>
        <w:t>重要</w:t>
      </w:r>
      <w:r>
        <w:t>会计政策</w:t>
      </w:r>
      <w:r>
        <w:rPr>
          <w:rFonts w:hint="eastAsia"/>
        </w:rPr>
        <w:t>和</w:t>
      </w:r>
      <w:r>
        <w:t>会计估计的变更</w:t>
      </w:r>
    </w:p>
    <w:p>
      <w:pPr>
        <w:pStyle w:val="90"/>
        <w:numPr>
          <w:ilvl w:val="3"/>
          <w:numId w:val="69"/>
        </w:numPr>
        <w:ind w:left="426" w:hanging="426"/>
      </w:pPr>
      <w:r>
        <w:rPr>
          <w:rFonts w:hint="eastAsia"/>
        </w:rPr>
        <w:t>重要</w:t>
      </w:r>
      <w:r>
        <w:t>会计政策变更</w:t>
      </w:r>
    </w:p>
    <w:sdt>
      <w:sdtPr>
        <w:rPr>
          <w:szCs w:val="21"/>
        </w:rPr>
        <w:alias w:val="是否适用：重要会计政策变更[双击切换]"/>
        <w:tag w:val="_GBC_f1ebc580f60c4d30a80747190ffbec4f"/>
        <w:id w:val="26603"/>
        <w:lock w:val="contentLocked"/>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重要会计政策变更"/>
          <w:tag w:val="_GBC_dc95ba794b3e434f84be566c0074241d"/>
          <w:id w:val="26604"/>
          <w:placeholder>
            <w:docPart w:val="{bc11a89e-a278-4fe0-bebf-240321653a57}"/>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重要会计政策变更"/>
          <w:tag w:val="_GBC_44ee0a93f6534d82b4818cfa882020f2"/>
          <w:id w:val="26605"/>
          <w:placeholder>
            <w:docPart w:val="{bc11a89e-a278-4fe0-bebf-240321653a5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7"/>
        <w:gridCol w:w="4924"/>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Align w:val="center"/>
          </w:tcPr>
          <w:p>
            <w:pPr>
              <w:jc w:val="center"/>
              <w:rPr>
                <w:szCs w:val="21"/>
              </w:rPr>
            </w:pPr>
            <w:sdt>
              <w:sdtPr>
                <w:rPr>
                  <w:rFonts w:hint="eastAsia"/>
                  <w:szCs w:val="21"/>
                </w:rPr>
                <w:tag w:val="_PLD_e1dec237a8bd4e95920b80a564ae1cb9"/>
                <w:id w:val="2887"/>
              </w:sdtPr>
              <w:sdtEndPr>
                <w:rPr>
                  <w:rFonts w:hint="default"/>
                  <w:szCs w:val="24"/>
                </w:rPr>
              </w:sdtEndPr>
              <w:sdtContent>
                <w:r>
                  <w:rPr>
                    <w:rFonts w:hint="eastAsia"/>
                    <w:szCs w:val="21"/>
                  </w:rPr>
                  <w:t>会计政策变更的内容和原因</w:t>
                </w:r>
              </w:sdtContent>
            </w:sdt>
          </w:p>
        </w:tc>
        <w:tc>
          <w:tcPr>
            <w:tcW w:w="2720" w:type="pct"/>
            <w:vAlign w:val="center"/>
          </w:tcPr>
          <w:sdt>
            <w:sdtPr>
              <w:rPr>
                <w:rFonts w:hint="eastAsia"/>
              </w:rPr>
              <w:tag w:val="_PLD_65f50e2312c947e8acdb47411e2295bd"/>
              <w:id w:val="2888"/>
            </w:sdtPr>
            <w:sdtEndPr>
              <w:rPr>
                <w:rFonts w:hint="eastAsia"/>
              </w:rPr>
            </w:sdtEndPr>
            <w:sdtContent>
              <w:p>
                <w:pPr>
                  <w:jc w:val="center"/>
                </w:pPr>
                <w:r>
                  <w:rPr>
                    <w:rFonts w:hint="eastAsia"/>
                  </w:rPr>
                  <w:t>受重要影响的报表项目名称</w:t>
                </w:r>
              </w:p>
            </w:sdtContent>
          </w:sdt>
        </w:tc>
        <w:sdt>
          <w:sdtPr>
            <w:tag w:val="_PLD_f4b6323c0cf54fc0b4bff40f66002d51"/>
            <w:id w:val="2889"/>
          </w:sdtPr>
          <w:sdtContent>
            <w:tc>
              <w:tcPr>
                <w:tcW w:w="938" w:type="pct"/>
                <w:tcBorders>
                  <w:bottom w:val="single" w:color="auto" w:sz="4" w:space="0"/>
                </w:tcBorders>
                <w:vAlign w:val="center"/>
              </w:tcPr>
              <w:p>
                <w:pPr>
                  <w:jc w:val="center"/>
                  <w:rPr>
                    <w:szCs w:val="21"/>
                  </w:rPr>
                </w:pPr>
                <w:r>
                  <w:rPr>
                    <w:szCs w:val="21"/>
                  </w:rPr>
                  <w:t>影响金额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color w:val="000000"/>
                <w:kern w:val="0"/>
                <w:szCs w:val="21"/>
              </w:rPr>
              <w:t>执行《企业会计准则解释第16号》</w:t>
            </w:r>
          </w:p>
        </w:tc>
        <w:tc>
          <w:tcPr>
            <w:tcW w:w="2720" w:type="pct"/>
            <w:vAlign w:val="center"/>
          </w:tcPr>
          <w:p>
            <w:pPr>
              <w:jc w:val="left"/>
              <w:rPr>
                <w:rFonts w:hint="default" w:ascii="Times New Roman" w:hAnsi="Times New Roman" w:cs="Times New Roman"/>
                <w:szCs w:val="21"/>
              </w:rPr>
            </w:pPr>
            <w:r>
              <w:rPr>
                <w:rFonts w:hint="default" w:ascii="Times New Roman" w:hAnsi="Times New Roman" w:eastAsia="宋体" w:cs="Times New Roman"/>
                <w:color w:val="000000"/>
                <w:kern w:val="2"/>
                <w:sz w:val="21"/>
                <w:szCs w:val="21"/>
              </w:rPr>
              <w:t>2022年12月31日</w:t>
            </w:r>
            <w:r>
              <w:rPr>
                <w:rFonts w:hint="default" w:ascii="Times New Roman" w:hAnsi="Times New Roman" w:cs="Times New Roman"/>
                <w:color w:val="000000"/>
                <w:kern w:val="2"/>
                <w:sz w:val="21"/>
                <w:szCs w:val="21"/>
                <w:lang w:val="en-US" w:eastAsia="zh-CN"/>
              </w:rPr>
              <w:t>合并资产负债表-</w:t>
            </w:r>
            <w:r>
              <w:rPr>
                <w:rFonts w:hint="default" w:ascii="Times New Roman" w:hAnsi="Times New Roman" w:cs="Times New Roman"/>
              </w:rPr>
              <w:t>递延所得税资产</w:t>
            </w:r>
          </w:p>
        </w:tc>
        <w:tc>
          <w:tcPr>
            <w:tcW w:w="938" w:type="pct"/>
            <w:vAlign w:val="center"/>
          </w:tcPr>
          <w:p>
            <w:pPr>
              <w:jc w:val="right"/>
              <w:rPr>
                <w:rFonts w:hint="default" w:ascii="Times New Roman" w:hAnsi="Times New Roman" w:cs="Times New Roman"/>
                <w:szCs w:val="21"/>
              </w:rPr>
            </w:pPr>
            <w:r>
              <w:rPr>
                <w:rFonts w:hint="default" w:ascii="Times New Roman" w:hAnsi="Times New Roman" w:cs="Times New Roman"/>
              </w:rPr>
              <w:t>327,442.62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kern w:val="0"/>
                <w:szCs w:val="21"/>
              </w:rPr>
            </w:pPr>
            <w:r>
              <w:rPr>
                <w:rFonts w:hint="default" w:ascii="Times New Roman" w:hAnsi="Times New Roman" w:eastAsia="宋体" w:cs="Times New Roman"/>
                <w:color w:val="000000"/>
                <w:kern w:val="2"/>
                <w:sz w:val="21"/>
                <w:szCs w:val="21"/>
              </w:rPr>
              <w:t>2022年12月31日</w:t>
            </w:r>
            <w:r>
              <w:rPr>
                <w:rFonts w:hint="default" w:ascii="Times New Roman" w:hAnsi="Times New Roman" w:cs="Times New Roman"/>
                <w:color w:val="000000"/>
                <w:kern w:val="2"/>
                <w:sz w:val="21"/>
                <w:szCs w:val="21"/>
                <w:lang w:val="en-US" w:eastAsia="zh-CN"/>
              </w:rPr>
              <w:t>合并资产负债表-</w:t>
            </w:r>
            <w:r>
              <w:rPr>
                <w:rFonts w:hint="default" w:ascii="Times New Roman" w:hAnsi="Times New Roman" w:cs="Times New Roman"/>
              </w:rPr>
              <w:t>递延所得税负债</w:t>
            </w:r>
          </w:p>
        </w:tc>
        <w:tc>
          <w:tcPr>
            <w:tcW w:w="938" w:type="pct"/>
            <w:vAlign w:val="center"/>
          </w:tcPr>
          <w:p>
            <w:pPr>
              <w:jc w:val="right"/>
              <w:rPr>
                <w:rFonts w:hint="default" w:ascii="Times New Roman" w:hAnsi="Times New Roman" w:cs="Times New Roman"/>
                <w:kern w:val="0"/>
                <w:szCs w:val="21"/>
              </w:rPr>
            </w:pPr>
            <w:r>
              <w:rPr>
                <w:rFonts w:hint="default" w:ascii="Times New Roman" w:hAnsi="Times New Roman" w:cs="Times New Roman"/>
              </w:rPr>
              <w:t>331,255.24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kern w:val="0"/>
                <w:szCs w:val="21"/>
              </w:rPr>
            </w:pPr>
            <w:r>
              <w:rPr>
                <w:rFonts w:hint="default" w:ascii="Times New Roman" w:hAnsi="Times New Roman" w:eastAsia="宋体" w:cs="Times New Roman"/>
                <w:color w:val="000000"/>
                <w:kern w:val="2"/>
                <w:sz w:val="21"/>
                <w:szCs w:val="21"/>
              </w:rPr>
              <w:t>2022年12月31日</w:t>
            </w:r>
            <w:r>
              <w:rPr>
                <w:rFonts w:hint="default" w:ascii="Times New Roman" w:hAnsi="Times New Roman" w:cs="Times New Roman"/>
                <w:color w:val="000000"/>
                <w:kern w:val="2"/>
                <w:sz w:val="21"/>
                <w:szCs w:val="21"/>
                <w:lang w:val="en-US" w:eastAsia="zh-CN"/>
              </w:rPr>
              <w:t>合并资产负债表-</w:t>
            </w:r>
            <w:r>
              <w:rPr>
                <w:rFonts w:hint="default" w:ascii="Times New Roman" w:hAnsi="Times New Roman" w:cs="Times New Roman"/>
              </w:rPr>
              <w:t>未分配利润</w:t>
            </w:r>
          </w:p>
        </w:tc>
        <w:tc>
          <w:tcPr>
            <w:tcW w:w="938" w:type="pct"/>
            <w:vAlign w:val="center"/>
          </w:tcPr>
          <w:p>
            <w:pPr>
              <w:jc w:val="right"/>
              <w:rPr>
                <w:rFonts w:hint="default" w:ascii="Times New Roman" w:hAnsi="Times New Roman" w:cs="Times New Roman"/>
                <w:kern w:val="0"/>
                <w:szCs w:val="21"/>
              </w:rPr>
            </w:pPr>
            <w:r>
              <w:rPr>
                <w:rFonts w:hint="default" w:ascii="Times New Roman" w:hAnsi="Times New Roman" w:cs="Times New Roman"/>
              </w:rPr>
              <w:t>-3,576.24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kern w:val="0"/>
                <w:szCs w:val="21"/>
              </w:rPr>
            </w:pPr>
            <w:r>
              <w:rPr>
                <w:rFonts w:hint="default" w:ascii="Times New Roman" w:hAnsi="Times New Roman" w:eastAsia="宋体" w:cs="Times New Roman"/>
                <w:color w:val="000000"/>
                <w:kern w:val="2"/>
                <w:sz w:val="21"/>
                <w:szCs w:val="21"/>
              </w:rPr>
              <w:t>2022年12月31日</w:t>
            </w:r>
            <w:r>
              <w:rPr>
                <w:rFonts w:hint="default" w:ascii="Times New Roman" w:hAnsi="Times New Roman" w:cs="Times New Roman"/>
                <w:color w:val="000000"/>
                <w:kern w:val="2"/>
                <w:sz w:val="21"/>
                <w:szCs w:val="21"/>
                <w:lang w:val="en-US" w:eastAsia="zh-CN"/>
              </w:rPr>
              <w:t>合并资产负债表-</w:t>
            </w:r>
            <w:r>
              <w:rPr>
                <w:rFonts w:hint="default" w:ascii="Times New Roman" w:hAnsi="Times New Roman" w:cs="Times New Roman"/>
              </w:rPr>
              <w:t>少数股东权益</w:t>
            </w:r>
          </w:p>
        </w:tc>
        <w:tc>
          <w:tcPr>
            <w:tcW w:w="938" w:type="pct"/>
            <w:vAlign w:val="center"/>
          </w:tcPr>
          <w:p>
            <w:pPr>
              <w:jc w:val="right"/>
              <w:rPr>
                <w:rFonts w:hint="default" w:ascii="Times New Roman" w:hAnsi="Times New Roman" w:cs="Times New Roman"/>
                <w:kern w:val="0"/>
                <w:szCs w:val="21"/>
              </w:rPr>
            </w:pPr>
            <w:r>
              <w:rPr>
                <w:rFonts w:hint="default" w:ascii="Times New Roman" w:hAnsi="Times New Roman" w:cs="Times New Roman"/>
              </w:rPr>
              <w:t>-236.38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color w:val="000000"/>
                <w:kern w:val="0"/>
                <w:szCs w:val="21"/>
              </w:rPr>
            </w:pPr>
            <w:r>
              <w:rPr>
                <w:rFonts w:hint="default" w:ascii="Times New Roman" w:hAnsi="Times New Roman" w:cs="Times New Roman"/>
                <w:color w:val="000000"/>
                <w:kern w:val="2"/>
                <w:sz w:val="21"/>
                <w:szCs w:val="21"/>
                <w:lang w:val="en-US" w:eastAsia="zh-CN"/>
              </w:rPr>
              <w:t>2022年度</w:t>
            </w:r>
            <w:r>
              <w:rPr>
                <w:rFonts w:hint="default" w:ascii="Times New Roman" w:hAnsi="Times New Roman" w:eastAsia="宋体" w:cs="Times New Roman"/>
                <w:color w:val="000000"/>
                <w:kern w:val="2"/>
                <w:sz w:val="21"/>
                <w:szCs w:val="21"/>
              </w:rPr>
              <w:t>合并利润表</w:t>
            </w:r>
            <w:r>
              <w:rPr>
                <w:rFonts w:hint="default" w:ascii="Times New Roman" w:hAnsi="Times New Roman" w:cs="Times New Roman"/>
                <w:color w:val="000000"/>
                <w:kern w:val="2"/>
                <w:sz w:val="21"/>
                <w:szCs w:val="21"/>
                <w:lang w:val="en-US" w:eastAsia="zh-CN"/>
              </w:rPr>
              <w:t>-</w:t>
            </w:r>
            <w:r>
              <w:rPr>
                <w:rFonts w:hint="default" w:ascii="Times New Roman" w:hAnsi="Times New Roman" w:eastAsia="宋体" w:cs="Times New Roman"/>
                <w:kern w:val="2"/>
                <w:sz w:val="21"/>
                <w:szCs w:val="21"/>
              </w:rPr>
              <w:t>所得税费用</w:t>
            </w:r>
          </w:p>
        </w:tc>
        <w:tc>
          <w:tcPr>
            <w:tcW w:w="938" w:type="pct"/>
            <w:vAlign w:val="center"/>
          </w:tcPr>
          <w:p>
            <w:pPr>
              <w:jc w:val="right"/>
              <w:rPr>
                <w:rFonts w:hint="default" w:ascii="Times New Roman" w:hAnsi="Times New Roman" w:cs="Times New Roman"/>
                <w:color w:val="000000"/>
                <w:kern w:val="0"/>
                <w:szCs w:val="21"/>
              </w:rPr>
            </w:pPr>
            <w:r>
              <w:rPr>
                <w:rFonts w:hint="default" w:ascii="Times New Roman" w:hAnsi="Times New Roman" w:eastAsia="宋体" w:cs="Times New Roman"/>
                <w:kern w:val="2"/>
                <w:sz w:val="21"/>
                <w:szCs w:val="21"/>
              </w:rPr>
              <w:t xml:space="preserve"> 2,870.18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kern w:val="0"/>
                <w:szCs w:val="21"/>
              </w:rPr>
            </w:pPr>
            <w:r>
              <w:rPr>
                <w:rFonts w:hint="default" w:ascii="Times New Roman" w:hAnsi="Times New Roman" w:eastAsia="宋体" w:cs="Times New Roman"/>
                <w:color w:val="000000"/>
                <w:kern w:val="2"/>
                <w:sz w:val="21"/>
                <w:szCs w:val="21"/>
              </w:rPr>
              <w:t>2022年1月1日合并资产负债表</w:t>
            </w:r>
            <w:r>
              <w:rPr>
                <w:rFonts w:hint="default" w:ascii="Times New Roman" w:hAnsi="Times New Roman" w:cs="Times New Roman"/>
                <w:color w:val="000000"/>
                <w:kern w:val="2"/>
                <w:sz w:val="21"/>
                <w:szCs w:val="21"/>
                <w:lang w:val="en-US" w:eastAsia="zh-CN"/>
              </w:rPr>
              <w:t>-</w:t>
            </w:r>
            <w:r>
              <w:rPr>
                <w:rFonts w:hint="default" w:ascii="Times New Roman" w:hAnsi="Times New Roman" w:cs="Times New Roman"/>
              </w:rPr>
              <w:t>递延所得税资产</w:t>
            </w:r>
          </w:p>
        </w:tc>
        <w:tc>
          <w:tcPr>
            <w:tcW w:w="938" w:type="pct"/>
            <w:vAlign w:val="center"/>
          </w:tcPr>
          <w:p>
            <w:pPr>
              <w:jc w:val="right"/>
              <w:rPr>
                <w:rFonts w:hint="default" w:ascii="Times New Roman" w:hAnsi="Times New Roman" w:cs="Times New Roman"/>
                <w:kern w:val="0"/>
                <w:szCs w:val="21"/>
              </w:rPr>
            </w:pPr>
            <w:r>
              <w:rPr>
                <w:rFonts w:hint="default" w:ascii="Times New Roman" w:hAnsi="Times New Roman" w:cs="Times New Roman"/>
              </w:rPr>
              <w:t>532,887.99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kern w:val="0"/>
                <w:szCs w:val="21"/>
              </w:rPr>
            </w:pPr>
            <w:r>
              <w:rPr>
                <w:rFonts w:hint="default" w:ascii="Times New Roman" w:hAnsi="Times New Roman" w:eastAsia="宋体" w:cs="Times New Roman"/>
                <w:color w:val="000000"/>
                <w:kern w:val="2"/>
                <w:sz w:val="21"/>
                <w:szCs w:val="21"/>
              </w:rPr>
              <w:t>2022年1月1日合并资产负债表</w:t>
            </w:r>
            <w:r>
              <w:rPr>
                <w:rFonts w:hint="default" w:ascii="Times New Roman" w:hAnsi="Times New Roman" w:cs="Times New Roman"/>
                <w:color w:val="000000"/>
                <w:kern w:val="2"/>
                <w:sz w:val="21"/>
                <w:szCs w:val="21"/>
                <w:lang w:val="en-US" w:eastAsia="zh-CN"/>
              </w:rPr>
              <w:t>-</w:t>
            </w:r>
            <w:r>
              <w:rPr>
                <w:rFonts w:hint="default" w:ascii="Times New Roman" w:hAnsi="Times New Roman" w:cs="Times New Roman"/>
              </w:rPr>
              <w:t>递延所得税负债</w:t>
            </w:r>
          </w:p>
        </w:tc>
        <w:tc>
          <w:tcPr>
            <w:tcW w:w="938" w:type="pct"/>
            <w:vAlign w:val="center"/>
          </w:tcPr>
          <w:p>
            <w:pPr>
              <w:jc w:val="right"/>
              <w:rPr>
                <w:rFonts w:hint="default" w:ascii="Times New Roman" w:hAnsi="Times New Roman" w:cs="Times New Roman"/>
                <w:kern w:val="0"/>
                <w:szCs w:val="21"/>
              </w:rPr>
            </w:pPr>
            <w:r>
              <w:rPr>
                <w:rFonts w:hint="default" w:ascii="Times New Roman" w:hAnsi="Times New Roman" w:cs="Times New Roman"/>
              </w:rPr>
              <w:t>-884.01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pct"/>
            <w:vMerge w:val="continue"/>
          </w:tcPr>
          <w:p>
            <w:pPr>
              <w:rPr>
                <w:rFonts w:hint="default" w:ascii="Times New Roman" w:hAnsi="Times New Roman" w:cs="Times New Roman"/>
                <w:color w:val="000000"/>
                <w:kern w:val="0"/>
                <w:szCs w:val="21"/>
              </w:rPr>
            </w:pPr>
          </w:p>
        </w:tc>
        <w:tc>
          <w:tcPr>
            <w:tcW w:w="2720" w:type="pct"/>
            <w:vAlign w:val="center"/>
          </w:tcPr>
          <w:p>
            <w:pPr>
              <w:jc w:val="left"/>
              <w:rPr>
                <w:rFonts w:hint="default" w:ascii="Times New Roman" w:hAnsi="Times New Roman" w:cs="Times New Roman"/>
                <w:kern w:val="0"/>
                <w:szCs w:val="21"/>
              </w:rPr>
            </w:pPr>
            <w:r>
              <w:rPr>
                <w:rFonts w:hint="default" w:ascii="Times New Roman" w:hAnsi="Times New Roman" w:eastAsia="宋体" w:cs="Times New Roman"/>
                <w:color w:val="000000"/>
                <w:kern w:val="2"/>
                <w:sz w:val="21"/>
                <w:szCs w:val="21"/>
              </w:rPr>
              <w:t>2022年1月1日合并资产负债表</w:t>
            </w:r>
            <w:r>
              <w:rPr>
                <w:rFonts w:hint="default" w:ascii="Times New Roman" w:hAnsi="Times New Roman" w:cs="Times New Roman"/>
                <w:color w:val="000000"/>
                <w:kern w:val="2"/>
                <w:sz w:val="21"/>
                <w:szCs w:val="21"/>
                <w:lang w:val="en-US" w:eastAsia="zh-CN"/>
              </w:rPr>
              <w:t>-</w:t>
            </w:r>
            <w:r>
              <w:rPr>
                <w:rFonts w:hint="default" w:ascii="Times New Roman" w:hAnsi="Times New Roman" w:cs="Times New Roman"/>
              </w:rPr>
              <w:t>未分配利润</w:t>
            </w:r>
          </w:p>
        </w:tc>
        <w:tc>
          <w:tcPr>
            <w:tcW w:w="938" w:type="pct"/>
            <w:vAlign w:val="center"/>
          </w:tcPr>
          <w:p>
            <w:pPr>
              <w:jc w:val="right"/>
              <w:rPr>
                <w:rFonts w:hint="default" w:ascii="Times New Roman" w:hAnsi="Times New Roman" w:cs="Times New Roman"/>
                <w:kern w:val="0"/>
                <w:szCs w:val="21"/>
              </w:rPr>
            </w:pPr>
            <w:r>
              <w:rPr>
                <w:rFonts w:hint="default" w:ascii="Times New Roman" w:hAnsi="Times New Roman" w:cs="Times New Roman"/>
              </w:rPr>
              <w:t>-58.43</w:t>
            </w:r>
          </w:p>
        </w:tc>
      </w:tr>
    </w:tbl>
    <w:p>
      <w:pPr>
        <w:rPr>
          <w:rFonts w:hint="default" w:ascii="Times New Roman" w:hAnsi="Times New Roman" w:cs="Times New Roman"/>
        </w:rPr>
      </w:pPr>
    </w:p>
    <w:p>
      <w:pPr>
        <w:rPr>
          <w:szCs w:val="21"/>
        </w:rPr>
      </w:pPr>
      <w:r>
        <w:rPr>
          <w:rFonts w:hint="eastAsia"/>
          <w:szCs w:val="21"/>
        </w:rPr>
        <w:t>其他说明</w:t>
      </w:r>
    </w:p>
    <w:sdt>
      <w:sdtPr>
        <w:rPr>
          <w:szCs w:val="21"/>
        </w:rPr>
        <w:alias w:val="会计政策的变更的其他说明"/>
        <w:tag w:val="_GBC_93e2fc5a38cb45958eae783eee8d98c3"/>
        <w:id w:val="26609"/>
        <w:placeholder>
          <w:docPart w:val="{bc11a89e-a278-4fe0-bebf-240321653a57}"/>
        </w:placeholder>
      </w:sdtPr>
      <w:sdtEndPr>
        <w:rPr>
          <w:szCs w:val="21"/>
        </w:rPr>
      </w:sdtEndPr>
      <w:sdtContent>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sz w:val="21"/>
              <w:szCs w:val="21"/>
            </w:rPr>
            <w:t>执行</w:t>
          </w:r>
          <w:r>
            <w:rPr>
              <w:rFonts w:hint="eastAsia" w:ascii="Times New Roman" w:hAnsi="Times New Roman" w:eastAsia="宋体" w:cs="Arial"/>
              <w:kern w:val="0"/>
              <w:sz w:val="21"/>
            </w:rPr>
            <w:t>《企业会计准则解释第16号》中“关于单项交易产生的资产和负债相关的递延所得税不适用初始确认豁免的会计处理” 。</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 xml:space="preserve">2022年11月30日，财政部发布了《企业会计准则解释第 16号》（财会[2022]31号， 以下简称解释16号），其中“关于单项交易产生的资产和负债相关的递延所得税不适用初始确认豁免的会计处理”内容自2023年1月1日起施行。 </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本公司于2023年1月1日执行解释16号的该项规定，对于在首次施行解释16号的财 务报表列报最早期间的期初（即2022年1月1日）至2023年1月1日之间发生的适用解释16号的单项交易，本公司按照解释16号的规定进行调整。对于2022年1月1日因适用解释16号的单项交易而确认的租赁负债和使用权资产，产生应纳税暂时性差异和可抵扣暂时性差异的，本公司按照解释16号和《企业会计准则第18号——所得税》的规定，将累积影响数调整2022年1月1日的留存收益及其他相关财务报表项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执行上述会计政策对2022年12月31日合并资产负债表和2022年度合并利润表的影响如下：</w:t>
          </w:r>
        </w:p>
        <w:tbl>
          <w:tblPr>
            <w:tblStyle w:val="37"/>
            <w:tblW w:w="907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629"/>
            <w:gridCol w:w="2349"/>
            <w:gridCol w:w="1993"/>
            <w:gridCol w:w="210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tblHeader/>
              <w:jc w:val="center"/>
            </w:trPr>
            <w:tc>
              <w:tcPr>
                <w:tcW w:w="1448"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合并资产负债表项目</w:t>
                </w:r>
              </w:p>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（2022年12月31日）</w:t>
                </w:r>
              </w:p>
            </w:tc>
            <w:tc>
              <w:tcPr>
                <w:tcW w:w="1294"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调整前</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调整金额</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48"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递延所得税资产</w:t>
                </w:r>
              </w:p>
            </w:tc>
            <w:tc>
              <w:tcPr>
                <w:tcW w:w="1294"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5,766,356.53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327,442.62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6,093,799.15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48"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递延所得税负债</w:t>
                </w:r>
              </w:p>
            </w:tc>
            <w:tc>
              <w:tcPr>
                <w:tcW w:w="1294"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38,430,930.85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331,255.24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38,762,186.09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48"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未分配利润</w:t>
                </w:r>
              </w:p>
            </w:tc>
            <w:tc>
              <w:tcPr>
                <w:tcW w:w="1294"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125,349,337.14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-3,576.24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125,345,760.90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48"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少数股东权益</w:t>
                </w:r>
              </w:p>
            </w:tc>
            <w:tc>
              <w:tcPr>
                <w:tcW w:w="1294"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-5,473,997.80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-236.38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color w:val="000000"/>
                    <w:kern w:val="2"/>
                    <w:sz w:val="21"/>
                    <w:szCs w:val="21"/>
                  </w:rPr>
                </w:pPr>
                <w:r>
                  <w:rPr>
                    <w:rFonts w:ascii="Times New Roman" w:hAnsi="Times New Roman" w:eastAsia="宋体" w:cs="Arial"/>
                    <w:kern w:val="2"/>
                    <w:sz w:val="21"/>
                    <w:szCs w:val="21"/>
                  </w:rPr>
                  <w:t xml:space="preserve"> -5,474,234.18 </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p>
        <w:tbl>
          <w:tblPr>
            <w:tblStyle w:val="37"/>
            <w:tblW w:w="907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603"/>
            <w:gridCol w:w="2378"/>
            <w:gridCol w:w="1991"/>
            <w:gridCol w:w="210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tblHeader/>
              <w:jc w:val="center"/>
            </w:trPr>
            <w:tc>
              <w:tcPr>
                <w:tcW w:w="1434"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合并利润表项目</w:t>
                </w:r>
              </w:p>
              <w:p>
                <w:pPr>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（2022年度）</w:t>
                </w:r>
              </w:p>
            </w:tc>
            <w:tc>
              <w:tcPr>
                <w:tcW w:w="1310"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调整前</w:t>
                </w:r>
              </w:p>
            </w:tc>
            <w:tc>
              <w:tcPr>
                <w:tcW w:w="109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调整金额</w:t>
                </w:r>
              </w:p>
            </w:tc>
            <w:tc>
              <w:tcPr>
                <w:tcW w:w="115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34"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宋体"/>
                    <w:color w:val="000000"/>
                    <w:kern w:val="2"/>
                    <w:sz w:val="21"/>
                    <w:szCs w:val="21"/>
                  </w:rPr>
                </w:pPr>
                <w:r>
                  <w:rPr>
                    <w:rFonts w:hint="eastAsia" w:ascii="Times New Roman" w:hAnsi="Times New Roman" w:eastAsia="宋体" w:cs="Times New Roman"/>
                    <w:kern w:val="2"/>
                    <w:sz w:val="21"/>
                    <w:szCs w:val="21"/>
                  </w:rPr>
                  <w:t>所得税费用</w:t>
                </w:r>
              </w:p>
            </w:tc>
            <w:tc>
              <w:tcPr>
                <w:tcW w:w="1310"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-11,940,414.60 </w:t>
                </w:r>
              </w:p>
            </w:tc>
            <w:tc>
              <w:tcPr>
                <w:tcW w:w="109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2,870.18 </w:t>
                </w:r>
              </w:p>
            </w:tc>
            <w:tc>
              <w:tcPr>
                <w:tcW w:w="1157"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-11,937,544.42 </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426" w:firstLineChars="2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执行上述会计政策对2022年1月1日合并资产负债表的影响如下：</w:t>
          </w:r>
        </w:p>
        <w:tbl>
          <w:tblPr>
            <w:tblStyle w:val="37"/>
            <w:tblW w:w="9075"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667"/>
            <w:gridCol w:w="2311"/>
            <w:gridCol w:w="1993"/>
            <w:gridCol w:w="210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tblHeader/>
              <w:jc w:val="center"/>
            </w:trPr>
            <w:tc>
              <w:tcPr>
                <w:tcW w:w="146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合并资产负债表项目</w:t>
                </w:r>
              </w:p>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（2022年1月1日）</w:t>
                </w:r>
              </w:p>
            </w:tc>
            <w:tc>
              <w:tcPr>
                <w:tcW w:w="1273"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调整前</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调整金额</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both"/>
                  <w:textAlignment w:val="auto"/>
                  <w:rPr>
                    <w:rFonts w:ascii="Times New Roman" w:hAnsi="Times New Roman" w:eastAsia="宋体" w:cs="宋体"/>
                    <w:color w:val="000000"/>
                    <w:kern w:val="2"/>
                    <w:sz w:val="21"/>
                    <w:szCs w:val="21"/>
                  </w:rPr>
                </w:pPr>
                <w:r>
                  <w:rPr>
                    <w:rFonts w:ascii="Times New Roman" w:hAnsi="Times New Roman" w:eastAsia="宋体" w:cs="宋体"/>
                    <w:color w:val="000000"/>
                    <w:kern w:val="2"/>
                    <w:sz w:val="21"/>
                    <w:szCs w:val="21"/>
                  </w:rPr>
                  <w:t>调整后</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69"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递延所得税资产</w:t>
                </w:r>
              </w:p>
            </w:tc>
            <w:tc>
              <w:tcPr>
                <w:tcW w:w="1273"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4,651,936.90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531,945.55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5,183,882.45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69"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递延所得税负债</w:t>
                </w:r>
              </w:p>
            </w:tc>
            <w:tc>
              <w:tcPr>
                <w:tcW w:w="1273"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50,721,841.54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532,887.99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51,254,729.53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545" w:hRule="atLeast"/>
              <w:jc w:val="center"/>
            </w:trPr>
            <w:tc>
              <w:tcPr>
                <w:tcW w:w="1469"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未分配利润</w:t>
                </w:r>
              </w:p>
            </w:tc>
            <w:tc>
              <w:tcPr>
                <w:tcW w:w="1273"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163,935,703.23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-884.01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163,934,819.22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45" w:hRule="atLeast"/>
              <w:jc w:val="center"/>
            </w:trPr>
            <w:tc>
              <w:tcPr>
                <w:tcW w:w="1469" w:type="pct"/>
                <w:vAlign w:val="center"/>
              </w:tcPr>
              <w:p>
                <w:pPr>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少数股东权益</w:t>
                </w:r>
              </w:p>
            </w:tc>
            <w:tc>
              <w:tcPr>
                <w:tcW w:w="1273"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-5,416,962.30 </w:t>
                </w:r>
              </w:p>
            </w:tc>
            <w:tc>
              <w:tcPr>
                <w:tcW w:w="1098"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-58.43 </w:t>
                </w:r>
              </w:p>
            </w:tc>
            <w:tc>
              <w:tcPr>
                <w:tcW w:w="1159" w:type="pct"/>
                <w:vAlign w:val="center"/>
              </w:tcPr>
              <w:p>
                <w:pPr>
                  <w:keepNext w:val="0"/>
                  <w:keepLines w:val="0"/>
                  <w:pageBreakBefore w:val="0"/>
                  <w:widowControl w:val="0"/>
                  <w:kinsoku/>
                  <w:wordWrap/>
                  <w:overflowPunct/>
                  <w:topLinePunct w:val="0"/>
                  <w:bidi w:val="0"/>
                  <w:adjustRightInd w:val="0"/>
                  <w:snapToGrid w:val="0"/>
                  <w:spacing w:line="400" w:lineRule="exact"/>
                  <w:ind w:firstLine="420" w:firstLineChars="200"/>
                  <w:jc w:val="right"/>
                  <w:textAlignment w:val="auto"/>
                  <w:rPr>
                    <w:rFonts w:ascii="Times New Roman" w:hAnsi="Times New Roman" w:eastAsia="宋体" w:cs="Arial"/>
                    <w:kern w:val="2"/>
                    <w:sz w:val="21"/>
                    <w:szCs w:val="21"/>
                  </w:rPr>
                </w:pPr>
                <w:r>
                  <w:rPr>
                    <w:rFonts w:ascii="Times New Roman" w:hAnsi="Times New Roman" w:eastAsia="宋体" w:cs="Arial"/>
                    <w:kern w:val="2"/>
                    <w:sz w:val="21"/>
                    <w:szCs w:val="21"/>
                  </w:rPr>
                  <w:t xml:space="preserve"> -5,417,020.73 </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636" w:firstLineChars="303"/>
            <w:jc w:val="both"/>
            <w:textAlignment w:val="auto"/>
            <w:rPr>
              <w:rFonts w:ascii="Times New Roman" w:hAnsi="Times New Roman" w:eastAsia="宋体" w:cs="Arial"/>
              <w:kern w:val="0"/>
              <w:sz w:val="21"/>
            </w:rPr>
          </w:pPr>
          <w:r>
            <w:rPr>
              <w:rFonts w:hint="eastAsia" w:ascii="Times New Roman" w:hAnsi="Times New Roman" w:eastAsia="宋体" w:cs="Arial"/>
              <w:kern w:val="0"/>
              <w:sz w:val="21"/>
            </w:rPr>
            <w:t>本公司母公司比较财务报表的相关项目调整：无。</w:t>
          </w:r>
        </w:p>
        <w:p>
          <w:pPr>
            <w:outlineLvl w:val="9"/>
            <w:rPr>
              <w:szCs w:val="21"/>
            </w:rPr>
          </w:pPr>
        </w:p>
      </w:sdtContent>
    </w:sdt>
    <w:p>
      <w:pPr>
        <w:pStyle w:val="90"/>
        <w:numPr>
          <w:ilvl w:val="3"/>
          <w:numId w:val="69"/>
        </w:numPr>
        <w:ind w:left="426" w:hanging="426"/>
      </w:pPr>
      <w:r>
        <w:rPr>
          <w:rFonts w:hint="eastAsia"/>
        </w:rPr>
        <w:t>重要</w:t>
      </w:r>
      <w:r>
        <w:t>会计估计变更</w:t>
      </w:r>
    </w:p>
    <w:sdt>
      <w:sdtPr>
        <w:alias w:val="是否适用：重要会计估计变更[双击切换]"/>
        <w:tag w:val="_GBC_902f08bd36774074945386d2d1f9b67d"/>
        <w:id w:val="26610"/>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90"/>
        <w:numPr>
          <w:ilvl w:val="3"/>
          <w:numId w:val="69"/>
        </w:numPr>
        <w:ind w:left="426" w:hanging="426"/>
      </w:pPr>
      <w:bookmarkStart w:id="178" w:name="_Hlk10465969"/>
      <w:bookmarkEnd w:id="178"/>
      <w:bookmarkStart w:id="179" w:name="_Hlk24100246"/>
      <w:r>
        <w:rPr>
          <w:rFonts w:ascii="Times New Roman" w:hAnsi="Times New Roman"/>
        </w:rPr>
        <w:t>2023</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26611"/>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bookmarkEnd w:id="179"/>
    <w:p>
      <w:pPr>
        <w:pStyle w:val="203"/>
        <w:numPr>
          <w:ilvl w:val="0"/>
          <w:numId w:val="63"/>
        </w:numPr>
      </w:pPr>
      <w:bookmarkStart w:id="180" w:name="_Hlk24100423"/>
      <w:bookmarkEnd w:id="180"/>
      <w:r>
        <w:rPr>
          <w:rFonts w:hint="eastAsia"/>
        </w:rPr>
        <w:t>其他</w:t>
      </w:r>
    </w:p>
    <w:sdt>
      <w:sdtPr>
        <w:rPr>
          <w:rFonts w:hint="eastAsia"/>
          <w:szCs w:val="21"/>
        </w:rPr>
        <w:alias w:val="是否适用：公司主要会计政策、会计估计和前期差错的其他说明[双击切换]"/>
        <w:tag w:val="_GBC_bcb348c2b015461e9de30ce69ad888ae"/>
        <w:id w:val="26612"/>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60"/>
        </w:numPr>
        <w:rPr>
          <w:rFonts w:ascii="宋体" w:hAnsi="宋体"/>
        </w:rPr>
      </w:pPr>
      <w:r>
        <w:rPr>
          <w:rFonts w:hint="eastAsia" w:ascii="宋体" w:hAnsi="宋体"/>
        </w:rPr>
        <w:t>税项</w:t>
      </w:r>
    </w:p>
    <w:p>
      <w:pPr>
        <w:pStyle w:val="203"/>
        <w:numPr>
          <w:ilvl w:val="0"/>
          <w:numId w:val="70"/>
        </w:numPr>
        <w:tabs>
          <w:tab w:val="left" w:pos="546"/>
        </w:tabs>
      </w:pPr>
      <w:r>
        <w:t>主要税种及税率</w:t>
      </w:r>
    </w:p>
    <w:p>
      <w:r>
        <w:t>主要税种及税率</w:t>
      </w:r>
      <w:r>
        <w:rPr>
          <w:rFonts w:hint="eastAsia"/>
        </w:rPr>
        <w:t>情况</w:t>
      </w:r>
    </w:p>
    <w:sdt>
      <w:sdtPr>
        <w:alias w:val="是否适用：主要税种及税率情况 [双击切换]"/>
        <w:tag w:val="_GBC_f900f926144b41b9ba020b5a24aff3c0"/>
        <w:id w:val="2661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144"/>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b5758c089ae1414f99b1cc36321c29a1"/>
            <w:id w:val="26614"/>
          </w:sdtPr>
          <w:sdtEndPr>
            <w:rPr>
              <w:rFonts w:ascii="Times New Roman" w:hAnsi="Times New Roman"/>
            </w:rPr>
          </w:sdtEndPr>
          <w:sdtContent>
            <w:tc>
              <w:tcPr>
                <w:tcW w:w="1537" w:type="pct"/>
                <w:vAlign w:val="center"/>
              </w:tcPr>
              <w:p>
                <w:pPr>
                  <w:jc w:val="center"/>
                  <w:rPr>
                    <w:rFonts w:ascii="Times New Roman" w:hAnsi="Times New Roman"/>
                    <w:szCs w:val="21"/>
                  </w:rPr>
                </w:pPr>
                <w:r>
                  <w:rPr>
                    <w:rFonts w:ascii="Times New Roman" w:hAnsi="Times New Roman"/>
                    <w:szCs w:val="21"/>
                  </w:rPr>
                  <w:t>税种</w:t>
                </w:r>
              </w:p>
            </w:tc>
          </w:sdtContent>
        </w:sdt>
        <w:sdt>
          <w:sdtPr>
            <w:rPr>
              <w:rFonts w:ascii="Times New Roman" w:hAnsi="Times New Roman"/>
            </w:rPr>
            <w:tag w:val="_PLD_0e1599c84a4d47cc8f6f9b3d3069a1bd"/>
            <w:id w:val="26615"/>
          </w:sdtPr>
          <w:sdtEndPr>
            <w:rPr>
              <w:rFonts w:ascii="Times New Roman" w:hAnsi="Times New Roman"/>
            </w:rPr>
          </w:sdtEndPr>
          <w:sdtContent>
            <w:tc>
              <w:tcPr>
                <w:tcW w:w="1737" w:type="pct"/>
                <w:vAlign w:val="center"/>
              </w:tcPr>
              <w:p>
                <w:pPr>
                  <w:jc w:val="center"/>
                  <w:rPr>
                    <w:rFonts w:ascii="Times New Roman" w:hAnsi="Times New Roman"/>
                    <w:szCs w:val="21"/>
                  </w:rPr>
                </w:pPr>
                <w:r>
                  <w:rPr>
                    <w:rFonts w:ascii="Times New Roman" w:hAnsi="Times New Roman"/>
                    <w:szCs w:val="21"/>
                  </w:rPr>
                  <w:t>计税依据</w:t>
                </w:r>
              </w:p>
            </w:tc>
          </w:sdtContent>
        </w:sdt>
        <w:sdt>
          <w:sdtPr>
            <w:rPr>
              <w:rFonts w:ascii="Times New Roman" w:hAnsi="Times New Roman"/>
            </w:rPr>
            <w:tag w:val="_PLD_74e07bcec6714b078c64caa53447462a"/>
            <w:id w:val="26616"/>
          </w:sdtPr>
          <w:sdtEndPr>
            <w:rPr>
              <w:rFonts w:ascii="Times New Roman" w:hAnsi="Times New Roman"/>
            </w:rPr>
          </w:sdtEndPr>
          <w:sdtContent>
            <w:tc>
              <w:tcPr>
                <w:tcW w:w="1725" w:type="pct"/>
                <w:vAlign w:val="center"/>
              </w:tcPr>
              <w:p>
                <w:pPr>
                  <w:jc w:val="center"/>
                  <w:rPr>
                    <w:rFonts w:ascii="Times New Roman" w:hAnsi="Times New Roman"/>
                    <w:szCs w:val="21"/>
                  </w:rPr>
                </w:pPr>
                <w:r>
                  <w:rPr>
                    <w:rFonts w:ascii="Times New Roman" w:hAnsi="Times New Roman"/>
                    <w:szCs w:val="21"/>
                  </w:rP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7" w:type="pct"/>
            <w:vMerge w:val="restart"/>
            <w:vAlign w:val="center"/>
          </w:tcPr>
          <w:p>
            <w:pPr>
              <w:jc w:val="left"/>
              <w:rPr>
                <w:rFonts w:ascii="Times New Roman" w:hAnsi="Times New Roman"/>
                <w:szCs w:val="21"/>
              </w:rPr>
            </w:pPr>
            <w:r>
              <w:rPr>
                <w:rFonts w:ascii="Times New Roman" w:hAnsi="Times New Roman"/>
                <w:szCs w:val="21"/>
              </w:rPr>
              <w:t>增值税</w:t>
            </w:r>
          </w:p>
        </w:tc>
        <w:tc>
          <w:tcPr>
            <w:tcW w:w="1737" w:type="pct"/>
            <w:vAlign w:val="center"/>
          </w:tcPr>
          <w:p>
            <w:pPr>
              <w:jc w:val="left"/>
              <w:rPr>
                <w:rFonts w:ascii="Times New Roman" w:hAnsi="Times New Roman"/>
                <w:szCs w:val="21"/>
              </w:rPr>
            </w:pPr>
            <w:r>
              <w:rPr>
                <w:rFonts w:ascii="Times New Roman" w:hAnsi="Times New Roman"/>
              </w:rPr>
              <w:t>销售商品收入</w:t>
            </w:r>
          </w:p>
        </w:tc>
        <w:tc>
          <w:tcPr>
            <w:tcW w:w="1725" w:type="pct"/>
            <w:vAlign w:val="center"/>
          </w:tcPr>
          <w:p>
            <w:pPr>
              <w:jc w:val="right"/>
              <w:rPr>
                <w:rFonts w:hint="eastAsia" w:ascii="Times New Roman" w:hAnsi="Times New Roman" w:eastAsia="宋体" w:cs="Times New Roman"/>
                <w:szCs w:val="21"/>
                <w:lang w:val="en-US" w:eastAsia="zh-CN"/>
              </w:rPr>
            </w:pPr>
            <w:r>
              <w:rPr>
                <w:rFonts w:hint="default" w:ascii="Times New Roman" w:hAnsi="Times New Roman" w:cs="Times New Roman"/>
              </w:rPr>
              <w:t>9</w:t>
            </w:r>
            <w:r>
              <w:rPr>
                <w:rFonts w:hint="eastAsia" w:ascii="Times New Roman" w:hAnsi="Times New Roman" w:cs="Times New Roman"/>
                <w:lang w:val="en-US" w:eastAsia="zh-CN"/>
              </w:rPr>
              <w:t>%</w:t>
            </w:r>
            <w:r>
              <w:rPr>
                <w:rFonts w:hint="default" w:ascii="Times New Roman" w:hAnsi="Times New Roman" w:cs="Times New Roman"/>
              </w:rPr>
              <w:t>、13</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Merge w:val="continue"/>
            <w:vAlign w:val="center"/>
          </w:tcPr>
          <w:p>
            <w:pPr>
              <w:jc w:val="left"/>
              <w:rPr>
                <w:rFonts w:ascii="Times New Roman" w:hAnsi="Times New Roman"/>
                <w:szCs w:val="21"/>
              </w:rPr>
            </w:pPr>
          </w:p>
        </w:tc>
        <w:tc>
          <w:tcPr>
            <w:tcW w:w="1737" w:type="pct"/>
            <w:vAlign w:val="center"/>
          </w:tcPr>
          <w:p>
            <w:pPr>
              <w:jc w:val="left"/>
              <w:rPr>
                <w:rFonts w:ascii="Times New Roman" w:hAnsi="Times New Roman"/>
                <w:szCs w:val="21"/>
              </w:rPr>
            </w:pPr>
            <w:r>
              <w:rPr>
                <w:rFonts w:ascii="Times New Roman" w:hAnsi="Times New Roman"/>
              </w:rPr>
              <w:t>租金收入</w:t>
            </w:r>
          </w:p>
        </w:tc>
        <w:tc>
          <w:tcPr>
            <w:tcW w:w="1725"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Merge w:val="continue"/>
            <w:vAlign w:val="center"/>
          </w:tcPr>
          <w:p>
            <w:pPr>
              <w:jc w:val="left"/>
              <w:rPr>
                <w:rFonts w:ascii="Times New Roman" w:hAnsi="Times New Roman"/>
                <w:szCs w:val="21"/>
              </w:rPr>
            </w:pPr>
          </w:p>
        </w:tc>
        <w:tc>
          <w:tcPr>
            <w:tcW w:w="1737" w:type="pct"/>
            <w:vAlign w:val="center"/>
          </w:tcPr>
          <w:p>
            <w:pPr>
              <w:jc w:val="left"/>
              <w:rPr>
                <w:rFonts w:ascii="Times New Roman" w:hAnsi="Times New Roman"/>
                <w:szCs w:val="21"/>
              </w:rPr>
            </w:pPr>
            <w:r>
              <w:rPr>
                <w:rFonts w:ascii="Times New Roman" w:hAnsi="Times New Roman"/>
              </w:rPr>
              <w:t>利息收入</w:t>
            </w:r>
          </w:p>
        </w:tc>
        <w:tc>
          <w:tcPr>
            <w:tcW w:w="1725" w:type="pct"/>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城市维护建设税</w:t>
            </w:r>
          </w:p>
        </w:tc>
        <w:tc>
          <w:tcPr>
            <w:tcW w:w="1737" w:type="pct"/>
            <w:vAlign w:val="center"/>
          </w:tcPr>
          <w:p>
            <w:pPr>
              <w:jc w:val="left"/>
              <w:rPr>
                <w:rFonts w:ascii="Times New Roman" w:hAnsi="Times New Roman"/>
                <w:szCs w:val="21"/>
              </w:rPr>
            </w:pPr>
            <w:r>
              <w:rPr>
                <w:rFonts w:ascii="Times New Roman" w:hAnsi="Times New Roman"/>
              </w:rPr>
              <w:t>实缴流转税税额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5</w:t>
            </w:r>
            <w:r>
              <w:rPr>
                <w:rFonts w:hint="eastAsia" w:ascii="Times New Roman" w:hAnsi="Times New Roman" w:cs="Times New Roman"/>
                <w:lang w:val="en-US" w:eastAsia="zh-CN"/>
              </w:rPr>
              <w:t>%</w:t>
            </w:r>
            <w:r>
              <w:rPr>
                <w:rFonts w:hint="default" w:ascii="Times New Roman" w:hAnsi="Times New Roman" w:cs="Times New Roman"/>
              </w:rPr>
              <w:t>、7</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教育费附加</w:t>
            </w:r>
          </w:p>
        </w:tc>
        <w:tc>
          <w:tcPr>
            <w:tcW w:w="1737" w:type="pct"/>
            <w:vAlign w:val="center"/>
          </w:tcPr>
          <w:p>
            <w:pPr>
              <w:jc w:val="left"/>
              <w:rPr>
                <w:rFonts w:ascii="Times New Roman" w:hAnsi="Times New Roman"/>
                <w:szCs w:val="21"/>
              </w:rPr>
            </w:pPr>
            <w:r>
              <w:rPr>
                <w:rFonts w:ascii="Times New Roman" w:hAnsi="Times New Roman"/>
              </w:rPr>
              <w:t>实缴流转税税额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3</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地方教育费附加</w:t>
            </w:r>
          </w:p>
        </w:tc>
        <w:tc>
          <w:tcPr>
            <w:tcW w:w="1737" w:type="pct"/>
            <w:vAlign w:val="center"/>
          </w:tcPr>
          <w:p>
            <w:pPr>
              <w:jc w:val="left"/>
              <w:rPr>
                <w:rFonts w:ascii="Times New Roman" w:hAnsi="Times New Roman"/>
                <w:szCs w:val="21"/>
              </w:rPr>
            </w:pPr>
            <w:r>
              <w:rPr>
                <w:rFonts w:ascii="Times New Roman" w:hAnsi="Times New Roman"/>
              </w:rPr>
              <w:t>实缴流转税税额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2</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企业所得税</w:t>
            </w:r>
          </w:p>
        </w:tc>
        <w:tc>
          <w:tcPr>
            <w:tcW w:w="1737" w:type="pct"/>
            <w:vAlign w:val="center"/>
          </w:tcPr>
          <w:p>
            <w:pPr>
              <w:jc w:val="left"/>
              <w:rPr>
                <w:rFonts w:ascii="Times New Roman" w:hAnsi="Times New Roman"/>
                <w:szCs w:val="21"/>
              </w:rPr>
            </w:pPr>
            <w:r>
              <w:rPr>
                <w:rFonts w:ascii="Times New Roman" w:hAnsi="Times New Roman"/>
              </w:rPr>
              <w:t>应纳税所得额</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15</w:t>
            </w:r>
            <w:r>
              <w:rPr>
                <w:rFonts w:hint="eastAsia" w:ascii="Times New Roman" w:hAnsi="Times New Roman" w:cs="Times New Roman"/>
                <w:lang w:val="en-US" w:eastAsia="zh-CN"/>
              </w:rPr>
              <w:t>%</w:t>
            </w:r>
            <w:r>
              <w:rPr>
                <w:rFonts w:hint="default" w:ascii="Times New Roman" w:hAnsi="Times New Roman" w:cs="Times New Roman"/>
              </w:rPr>
              <w:t>、25</w:t>
            </w: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ind w:firstLine="0" w:firstLineChars="0"/>
              <w:jc w:val="left"/>
              <w:rPr>
                <w:rFonts w:ascii="Times New Roman" w:hAnsi="Times New Roman"/>
                <w:szCs w:val="21"/>
              </w:rPr>
            </w:pPr>
            <w:r>
              <w:rPr>
                <w:rFonts w:ascii="Times New Roman" w:hAnsi="Times New Roman" w:cs="Arial"/>
                <w:color w:val="000000" w:themeColor="text1"/>
                <w:spacing w:val="-4"/>
                <w:szCs w:val="21"/>
                <w14:textFill>
                  <w14:solidFill>
                    <w14:schemeClr w14:val="tx1"/>
                  </w14:solidFill>
                </w14:textFill>
              </w:rPr>
              <w:t>房产税</w:t>
            </w:r>
          </w:p>
        </w:tc>
        <w:tc>
          <w:tcPr>
            <w:tcW w:w="1737" w:type="pct"/>
            <w:vAlign w:val="center"/>
          </w:tcPr>
          <w:p>
            <w:pPr>
              <w:jc w:val="left"/>
              <w:rPr>
                <w:rFonts w:ascii="Times New Roman" w:hAnsi="Times New Roman"/>
                <w:szCs w:val="21"/>
              </w:rPr>
            </w:pPr>
            <w:r>
              <w:rPr>
                <w:rFonts w:ascii="Times New Roman" w:hAnsi="Times New Roman"/>
              </w:rPr>
              <w:t>按照房产原值的70%（或租金收入）为纳税基准</w:t>
            </w:r>
          </w:p>
        </w:tc>
        <w:tc>
          <w:tcPr>
            <w:tcW w:w="1725" w:type="pct"/>
            <w:vAlign w:val="center"/>
          </w:tcPr>
          <w:p>
            <w:pPr>
              <w:jc w:val="right"/>
              <w:rPr>
                <w:rFonts w:hint="default" w:ascii="Times New Roman" w:hAnsi="Times New Roman" w:cs="Times New Roman"/>
                <w:szCs w:val="21"/>
              </w:rPr>
            </w:pPr>
            <w:r>
              <w:rPr>
                <w:rFonts w:hint="default" w:ascii="Times New Roman" w:hAnsi="Times New Roman" w:cs="Times New Roman"/>
              </w:rPr>
              <w:t>1.2</w:t>
            </w:r>
            <w:r>
              <w:rPr>
                <w:rFonts w:hint="eastAsia" w:ascii="Times New Roman" w:hAnsi="Times New Roman" w:cs="Times New Roman"/>
                <w:lang w:val="en-US" w:eastAsia="zh-CN"/>
              </w:rPr>
              <w:t>%</w:t>
            </w:r>
            <w:r>
              <w:rPr>
                <w:rFonts w:hint="default" w:ascii="Times New Roman" w:hAnsi="Times New Roman" w:cs="Times New Roman"/>
              </w:rPr>
              <w:t>、12</w:t>
            </w:r>
            <w:r>
              <w:rPr>
                <w:rFonts w:hint="eastAsia" w:ascii="Times New Roman" w:hAnsi="Times New Roman" w:cs="Times New Roman"/>
                <w:lang w:val="en-US" w:eastAsia="zh-CN"/>
              </w:rPr>
              <w:t>%</w:t>
            </w:r>
          </w:p>
        </w:tc>
      </w:tr>
    </w:tbl>
    <w:p/>
    <w:p>
      <w:pPr>
        <w:rPr>
          <w:szCs w:val="21"/>
        </w:rPr>
      </w:pPr>
    </w:p>
    <w:p>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26617"/>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pStyle w:val="203"/>
        <w:numPr>
          <w:ilvl w:val="0"/>
          <w:numId w:val="70"/>
        </w:numPr>
        <w:tabs>
          <w:tab w:val="left" w:pos="546"/>
        </w:tabs>
      </w:pPr>
      <w:r>
        <w:t>税收优惠</w:t>
      </w:r>
    </w:p>
    <w:sdt>
      <w:sdtPr>
        <w:rPr>
          <w:rFonts w:hint="eastAsia"/>
          <w:szCs w:val="21"/>
        </w:rPr>
        <w:alias w:val="是否适用：税收优惠[双击切换]"/>
        <w:tag w:val="_GBC_7b649dcf8ab54475bffc51edb3c33588"/>
        <w:id w:val="26618"/>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26619"/>
        <w:placeholder>
          <w:docPart w:val="GBC22222222222222222222222222222"/>
        </w:placeholder>
      </w:sdtPr>
      <w:sdtEndPr>
        <w:rPr>
          <w:rFonts w:hint="eastAsia"/>
          <w:szCs w:val="21"/>
        </w:rPr>
      </w:sdtEndPr>
      <w:sdtContent>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b/>
              <w:bCs/>
              <w:sz w:val="21"/>
              <w:szCs w:val="21"/>
            </w:rPr>
            <w:t>（1）增值税优惠</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根据财政部、税务总局、海关总署关于深化增值税改革有关政策的公告〔财政部、税务总局、海关总署公告2019年第39号〕，自2019年4月1日至2021年12月31日，允许生产、生活性服务业纳税人按照当期可抵扣进项税额加计10%，抵减应纳税额（简称加计抵减政策），本公司及下属满足条件的子公司享受该优惠。</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自2023年1月1日至2023年12月31日，允许生产性服务业纳税人按照当期可抵扣进项税额加计5%抵减应纳税额。</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b/>
              <w:bCs/>
              <w:sz w:val="21"/>
              <w:szCs w:val="21"/>
            </w:rPr>
          </w:pPr>
          <w:r>
            <w:rPr>
              <w:rFonts w:hint="eastAsia" w:ascii="Times New Roman" w:hAnsi="Times New Roman"/>
              <w:b/>
              <w:bCs/>
              <w:sz w:val="21"/>
              <w:szCs w:val="21"/>
            </w:rPr>
            <w:t>（2）所得税优惠</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根据财政部、税务总局、国家发展改革委2020年第23号《关于延续西部大开发企业所得税政策的公告》，自2021年1月1日至2030年12月31日，对设在西部地区的鼓励类产业企业减按15%的税率征收企业所得税，本公司下属子公司广西两面针亿康药业股份有限公司，享受此优惠税率。</w:t>
          </w:r>
        </w:p>
        <w:p>
          <w:pPr>
            <w:rPr>
              <w:szCs w:val="21"/>
            </w:rPr>
          </w:pPr>
        </w:p>
      </w:sdtContent>
    </w:sdt>
    <w:p>
      <w:pPr>
        <w:rPr>
          <w:rFonts w:asciiTheme="minorEastAsia" w:hAnsiTheme="minorEastAsia" w:eastAsiaTheme="minorEastAsia"/>
          <w:szCs w:val="21"/>
        </w:rPr>
      </w:pPr>
    </w:p>
    <w:p>
      <w:pPr>
        <w:pStyle w:val="203"/>
        <w:numPr>
          <w:ilvl w:val="0"/>
          <w:numId w:val="70"/>
        </w:numPr>
        <w:tabs>
          <w:tab w:val="left" w:pos="546"/>
        </w:tabs>
        <w:rPr>
          <w:rFonts w:asciiTheme="minorEastAsia" w:hAnsiTheme="minorEastAsia" w:eastAsiaTheme="minorEastAsia"/>
        </w:rPr>
      </w:pPr>
      <w:r>
        <w:t>其他</w:t>
      </w:r>
    </w:p>
    <w:sdt>
      <w:sdtPr>
        <w:rPr>
          <w:rFonts w:hint="eastAsia"/>
          <w:szCs w:val="21"/>
        </w:rPr>
        <w:alias w:val="是否适用：税项说明[双击切换]"/>
        <w:tag w:val="_GBC_cb15d487e8d84ad7877bd8820156d381"/>
        <w:id w:val="26620"/>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3"/>
        <w:numPr>
          <w:ilvl w:val="0"/>
          <w:numId w:val="60"/>
        </w:numPr>
      </w:pPr>
      <w:r>
        <w:rPr>
          <w:rFonts w:hint="eastAsia"/>
        </w:rPr>
        <w:t>合并财务报表项目注释</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szCs w:val="21"/>
        </w:rPr>
      </w:pPr>
      <w:r>
        <w:rPr>
          <w:rFonts w:hint="eastAsia" w:ascii="Times New Roman" w:hAnsi="Times New Roman"/>
          <w:sz w:val="21"/>
          <w:szCs w:val="21"/>
        </w:rPr>
        <w:t>（期末系指2023年12月31日，期初系指2022年12月31日；本期指2023年度，上期系指2022年度；金额单位除确指外均为人民币元）</w:t>
      </w:r>
    </w:p>
    <w:p>
      <w:pPr>
        <w:pStyle w:val="229"/>
        <w:numPr>
          <w:ilvl w:val="0"/>
          <w:numId w:val="71"/>
        </w:numPr>
        <w:rPr>
          <w:szCs w:val="21"/>
        </w:rPr>
      </w:pPr>
      <w:r>
        <w:rPr>
          <w:szCs w:val="21"/>
        </w:rPr>
        <w:t>货币资金</w:t>
      </w:r>
    </w:p>
    <w:sdt>
      <w:sdtPr>
        <w:rPr>
          <w:rFonts w:hint="eastAsia"/>
          <w:szCs w:val="21"/>
        </w:rPr>
        <w:alias w:val="是否适用：货币资金[双击切换]"/>
        <w:tag w:val="_GBC_7583a9a918ef405ba2d26448cc628ff5"/>
        <w:id w:val="26621"/>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66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66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76"/>
        <w:gridCol w:w="3379"/>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26624"/>
          </w:sdtPr>
          <w:sdtContent>
            <w:tc>
              <w:tcPr>
                <w:tcW w:w="1256"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26625"/>
          </w:sdtPr>
          <w:sdtContent>
            <w:tc>
              <w:tcPr>
                <w:tcW w:w="1864"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26626"/>
          </w:sdtPr>
          <w:sdtContent>
            <w:tc>
              <w:tcPr>
                <w:tcW w:w="187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库存现金</w:t>
            </w:r>
          </w:p>
        </w:tc>
        <w:tc>
          <w:tcPr>
            <w:tcW w:w="3379"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eastAsiaTheme="minorEastAsia"/>
                <w:sz w:val="21"/>
                <w:szCs w:val="21"/>
              </w:rPr>
              <w:t>4,686.45</w:t>
            </w:r>
          </w:p>
        </w:tc>
        <w:tc>
          <w:tcPr>
            <w:tcW w:w="3404"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5,414.92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银行存款</w:t>
            </w:r>
          </w:p>
        </w:tc>
        <w:tc>
          <w:tcPr>
            <w:tcW w:w="3379"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eastAsiaTheme="minorEastAsia"/>
                <w:sz w:val="21"/>
                <w:szCs w:val="21"/>
              </w:rPr>
              <w:t>1,277,593,943.82</w:t>
            </w:r>
          </w:p>
        </w:tc>
        <w:tc>
          <w:tcPr>
            <w:tcW w:w="3404"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1,209,625,001.47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其他货币资金</w:t>
            </w:r>
          </w:p>
        </w:tc>
        <w:tc>
          <w:tcPr>
            <w:tcW w:w="3379"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eastAsiaTheme="minorEastAsia"/>
                <w:sz w:val="21"/>
                <w:szCs w:val="21"/>
              </w:rPr>
              <w:t>225,210.87</w:t>
            </w:r>
          </w:p>
        </w:tc>
        <w:tc>
          <w:tcPr>
            <w:tcW w:w="3404"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228,109.13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vAlign w:val="center"/>
          </w:tcPr>
          <w:p>
            <w:pPr>
              <w:autoSpaceDE w:val="0"/>
              <w:autoSpaceDN w:val="0"/>
              <w:adjustRightInd w:val="0"/>
              <w:snapToGrid w:val="0"/>
              <w:spacing w:line="240" w:lineRule="atLeast"/>
              <w:rPr>
                <w:szCs w:val="21"/>
              </w:rPr>
            </w:pPr>
            <w:r>
              <w:rPr>
                <w:rFonts w:hint="eastAsia"/>
                <w:szCs w:val="21"/>
              </w:rPr>
              <w:t>合计</w:t>
            </w:r>
          </w:p>
        </w:tc>
        <w:tc>
          <w:tcPr>
            <w:tcW w:w="3379"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eastAsiaTheme="minorEastAsia"/>
                <w:sz w:val="21"/>
                <w:szCs w:val="21"/>
              </w:rPr>
              <w:t>1,277,823,841.14</w:t>
            </w:r>
          </w:p>
        </w:tc>
        <w:tc>
          <w:tcPr>
            <w:tcW w:w="3404" w:type="dxa"/>
            <w:shd w:val="clear" w:color="auto" w:fill="auto"/>
            <w:vAlign w:val="center"/>
          </w:tcPr>
          <w:p>
            <w:pPr>
              <w:adjustRightInd w:val="0"/>
              <w:snapToGrid w:val="0"/>
              <w:spacing w:line="240" w:lineRule="auto"/>
              <w:ind w:left="-63" w:leftChars="-30" w:right="-63" w:rightChars="-30"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1,209,858,525.52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pPr>
              <w:autoSpaceDE w:val="0"/>
              <w:autoSpaceDN w:val="0"/>
              <w:adjustRightInd w:val="0"/>
              <w:snapToGrid w:val="0"/>
              <w:spacing w:line="240" w:lineRule="atLeast"/>
              <w:ind w:firstLine="210" w:firstLineChars="100"/>
              <w:jc w:val="center"/>
              <w:rPr>
                <w:szCs w:val="21"/>
              </w:rPr>
            </w:pPr>
            <w:r>
              <w:rPr>
                <w:rFonts w:hint="eastAsia"/>
                <w:szCs w:val="21"/>
              </w:rPr>
              <w:t>其中：存放在境外的款项总额</w:t>
            </w:r>
          </w:p>
        </w:tc>
        <w:tc>
          <w:tcPr>
            <w:tcW w:w="1864" w:type="pct"/>
            <w:shd w:val="clear" w:color="auto" w:fill="auto"/>
          </w:tcPr>
          <w:p>
            <w:pPr>
              <w:autoSpaceDE w:val="0"/>
              <w:autoSpaceDN w:val="0"/>
              <w:adjustRightInd w:val="0"/>
              <w:snapToGrid w:val="0"/>
              <w:spacing w:line="240" w:lineRule="atLeast"/>
              <w:jc w:val="right"/>
              <w:rPr>
                <w:szCs w:val="21"/>
              </w:rPr>
            </w:pPr>
          </w:p>
        </w:tc>
        <w:tc>
          <w:tcPr>
            <w:tcW w:w="1878" w:type="pct"/>
            <w:shd w:val="clear" w:color="auto" w:fill="auto"/>
          </w:tcPr>
          <w:p>
            <w:pPr>
              <w:autoSpaceDE w:val="0"/>
              <w:autoSpaceDN w:val="0"/>
              <w:adjustRightInd w:val="0"/>
              <w:snapToGrid w:val="0"/>
              <w:spacing w:line="240" w:lineRule="atLeast"/>
              <w:jc w:val="right"/>
              <w:rPr>
                <w:szCs w:val="21"/>
              </w:rPr>
            </w:pPr>
          </w:p>
        </w:tc>
      </w:tr>
    </w:tbl>
    <w:p/>
    <w:p>
      <w:pPr>
        <w:rPr>
          <w:szCs w:val="21"/>
        </w:rPr>
      </w:pPr>
      <w:r>
        <w:rPr>
          <w:rFonts w:hint="eastAsia"/>
          <w:szCs w:val="21"/>
        </w:rPr>
        <w:t>其他说明</w:t>
      </w:r>
    </w:p>
    <w:p>
      <w:pPr>
        <w:rPr>
          <w:rFonts w:ascii="Times New Roman" w:hAnsi="Times New Roman"/>
          <w:sz w:val="21"/>
          <w:szCs w:val="21"/>
        </w:rPr>
      </w:pPr>
      <w:sdt>
        <w:sdtPr>
          <w:rPr>
            <w:szCs w:val="21"/>
          </w:rPr>
          <w:alias w:val="货币资金的说明"/>
          <w:tag w:val="_GBC_672a863055084dfabbc1ba40f04a68b4"/>
          <w:id w:val="26627"/>
          <w:placeholder>
            <w:docPart w:val="GBC22222222222222222222222222222"/>
          </w:placeholder>
        </w:sdtPr>
        <w:sdtEndPr>
          <w:rPr>
            <w:rFonts w:ascii="Times New Roman" w:hAnsi="Times New Roman"/>
            <w:sz w:val="21"/>
            <w:szCs w:val="21"/>
          </w:rPr>
        </w:sdtEndPr>
        <w:sdtContent>
          <w:r>
            <w:rPr>
              <w:rFonts w:hint="eastAsia" w:ascii="Times New Roman" w:hAnsi="Times New Roman"/>
              <w:sz w:val="21"/>
              <w:szCs w:val="21"/>
            </w:rPr>
            <w:t>期末受到限制的款项3,000.00元，系公司车辆相关的ETC保证金。</w:t>
          </w:r>
        </w:sdtContent>
      </w:sdt>
    </w:p>
    <w:p>
      <w:pPr>
        <w:rPr>
          <w:szCs w:val="21"/>
        </w:rPr>
      </w:pPr>
    </w:p>
    <w:p>
      <w:pPr>
        <w:pStyle w:val="229"/>
        <w:numPr>
          <w:ilvl w:val="0"/>
          <w:numId w:val="71"/>
        </w:numPr>
        <w:rPr>
          <w:szCs w:val="21"/>
        </w:rPr>
      </w:pPr>
      <w:r>
        <w:rPr>
          <w:rFonts w:hint="eastAsia"/>
          <w:szCs w:val="21"/>
        </w:rPr>
        <w:t>交易性金融资产</w:t>
      </w:r>
    </w:p>
    <w:sdt>
      <w:sdtPr>
        <w:alias w:val="是否适用：交易性金融资产[双击切换]"/>
        <w:tag w:val="_GBC_c852c730c6fa4a3e8930f5cbbab9909f"/>
        <w:id w:val="26628"/>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266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266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4"/>
        <w:gridCol w:w="2069"/>
        <w:gridCol w:w="2087"/>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99f59eccaa43478dfbfc184cd2ce48"/>
            <w:id w:val="26631"/>
          </w:sdtPr>
          <w:sdtContent>
            <w:tc>
              <w:tcPr>
                <w:tcW w:w="1550" w:type="pct"/>
                <w:shd w:val="clear" w:color="auto" w:fill="auto"/>
                <w:vAlign w:val="center"/>
              </w:tcPr>
              <w:p>
                <w:pPr>
                  <w:jc w:val="center"/>
                  <w:rPr>
                    <w:szCs w:val="21"/>
                  </w:rPr>
                </w:pPr>
                <w:r>
                  <w:rPr>
                    <w:rFonts w:hint="eastAsia"/>
                    <w:szCs w:val="21"/>
                  </w:rPr>
                  <w:t>项目</w:t>
                </w:r>
              </w:p>
            </w:tc>
          </w:sdtContent>
        </w:sdt>
        <w:sdt>
          <w:sdtPr>
            <w:tag w:val="_PLD_caf9d9000b3e44c1817249ef4121d5db"/>
            <w:id w:val="26632"/>
          </w:sdtPr>
          <w:sdtContent>
            <w:tc>
              <w:tcPr>
                <w:tcW w:w="1143"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26633"/>
          </w:sdtPr>
          <w:sdtContent>
            <w:tc>
              <w:tcPr>
                <w:tcW w:w="1153"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c>
          <w:tcPr>
            <w:tcW w:w="1153" w:type="pct"/>
          </w:tcPr>
          <w:sdt>
            <w:sdtPr>
              <w:rPr>
                <w:rFonts w:hint="eastAsia"/>
              </w:rPr>
              <w:tag w:val="_PLD_e55b7f6937ab489e93d6d5561f99f11e"/>
              <w:id w:val="26634"/>
            </w:sdtPr>
            <w:sdtEndPr>
              <w:rPr>
                <w:rFonts w:hint="eastAsia"/>
              </w:rPr>
            </w:sdtEndPr>
            <w:sdtContent>
              <w:p>
                <w:pPr>
                  <w:autoSpaceDE w:val="0"/>
                  <w:autoSpaceDN w:val="0"/>
                  <w:adjustRightInd w:val="0"/>
                  <w:snapToGrid w:val="0"/>
                  <w:spacing w:line="240" w:lineRule="atLeast"/>
                  <w:jc w:val="center"/>
                </w:pPr>
                <w:r>
                  <w:rPr>
                    <w:rFonts w:hint="eastAsia"/>
                  </w:rPr>
                  <w:t>指定理由和依据</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tcPr>
          <w:p>
            <w:pPr>
              <w:autoSpaceDE w:val="0"/>
              <w:autoSpaceDN w:val="0"/>
              <w:adjustRightInd w:val="0"/>
              <w:rPr>
                <w:szCs w:val="21"/>
              </w:rPr>
            </w:pPr>
            <w:r>
              <w:rPr>
                <w:rFonts w:hint="eastAsia"/>
                <w:szCs w:val="21"/>
              </w:rPr>
              <w:t>以公允价值计量且其变动计入当期损益的金融资产</w:t>
            </w:r>
          </w:p>
        </w:tc>
        <w:tc>
          <w:tcPr>
            <w:tcW w:w="114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203,156,047.64</w:t>
            </w:r>
          </w:p>
        </w:tc>
        <w:tc>
          <w:tcPr>
            <w:tcW w:w="115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198,523,462.44</w:t>
            </w:r>
          </w:p>
        </w:tc>
        <w:tc>
          <w:tcPr>
            <w:tcW w:w="1153" w:type="pct"/>
          </w:tcPr>
          <w:p>
            <w:pPr>
              <w:jc w:val="right"/>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147bedd0b80c463ab365e4b926d8c081"/>
            <w:id w:val="26635"/>
          </w:sdtPr>
          <w:sdtEndPr>
            <w:rPr>
              <w:rFonts w:hint="default" w:ascii="Times New Roman" w:hAnsi="Times New Roman" w:cs="Times New Roman"/>
            </w:rPr>
          </w:sdtEndPr>
          <w:sdtContent>
            <w:tc>
              <w:tcPr>
                <w:tcW w:w="5000" w:type="pct"/>
                <w:gridSpan w:val="4"/>
                <w:shd w:val="clear" w:color="auto" w:fill="auto"/>
              </w:tcPr>
              <w:p>
                <w:pPr>
                  <w:rPr>
                    <w:rFonts w:hint="default" w:ascii="Times New Roman" w:hAnsi="Times New Roman" w:cs="Times New Roman"/>
                    <w:szCs w:val="21"/>
                  </w:rPr>
                </w:pPr>
                <w:r>
                  <w:rPr>
                    <w:rFonts w:hint="default" w:ascii="Times New Roman" w:hAnsi="Times New Roman" w:cs="Times New Roman"/>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tcPr>
          <w:p>
            <w:pPr>
              <w:autoSpaceDE w:val="0"/>
              <w:autoSpaceDN w:val="0"/>
              <w:adjustRightInd w:val="0"/>
              <w:ind w:firstLine="567" w:firstLineChars="270"/>
              <w:rPr>
                <w:szCs w:val="21"/>
              </w:rPr>
            </w:pPr>
            <w:r>
              <w:t>权益工具投资</w:t>
            </w:r>
          </w:p>
        </w:tc>
        <w:tc>
          <w:tcPr>
            <w:tcW w:w="114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203,156,047.64</w:t>
            </w:r>
          </w:p>
        </w:tc>
        <w:tc>
          <w:tcPr>
            <w:tcW w:w="115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198,523,462.44</w:t>
            </w:r>
          </w:p>
        </w:tc>
        <w:tc>
          <w:tcPr>
            <w:tcW w:w="1153" w:type="pct"/>
          </w:tcPr>
          <w:p>
            <w:pPr>
              <w:jc w:val="right"/>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tcPr>
          <w:p>
            <w:pPr>
              <w:autoSpaceDE w:val="0"/>
              <w:autoSpaceDN w:val="0"/>
              <w:adjustRightInd w:val="0"/>
              <w:rPr>
                <w:szCs w:val="21"/>
              </w:rPr>
            </w:pPr>
            <w:r>
              <w:rPr>
                <w:rFonts w:hint="eastAsia"/>
                <w:szCs w:val="21"/>
              </w:rPr>
              <w:t>指定以公允价值计量且其变动计入当期损益的金融资产</w:t>
            </w:r>
          </w:p>
        </w:tc>
        <w:tc>
          <w:tcPr>
            <w:tcW w:w="1143" w:type="pct"/>
            <w:shd w:val="clear" w:color="auto" w:fill="auto"/>
          </w:tcPr>
          <w:p>
            <w:pPr>
              <w:jc w:val="right"/>
              <w:rPr>
                <w:rFonts w:hint="default" w:ascii="Times New Roman" w:hAnsi="Times New Roman" w:cs="Times New Roman"/>
                <w:szCs w:val="21"/>
              </w:rPr>
            </w:pPr>
          </w:p>
        </w:tc>
        <w:tc>
          <w:tcPr>
            <w:tcW w:w="1153" w:type="pct"/>
            <w:shd w:val="clear" w:color="auto" w:fill="auto"/>
          </w:tcPr>
          <w:p>
            <w:pPr>
              <w:jc w:val="right"/>
              <w:rPr>
                <w:rFonts w:hint="default" w:ascii="Times New Roman" w:hAnsi="Times New Roman" w:cs="Times New Roman"/>
                <w:szCs w:val="21"/>
              </w:rPr>
            </w:pPr>
          </w:p>
        </w:tc>
        <w:tc>
          <w:tcPr>
            <w:tcW w:w="1153"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f1663a7b621f4b3eb912bf6125dd9966"/>
            <w:id w:val="26636"/>
          </w:sdtPr>
          <w:sdtEndPr>
            <w:rPr>
              <w:rFonts w:hint="default" w:ascii="Times New Roman" w:hAnsi="Times New Roman" w:cs="Times New Roman"/>
            </w:rPr>
          </w:sdtEndPr>
          <w:sdtContent>
            <w:tc>
              <w:tcPr>
                <w:tcW w:w="5000" w:type="pct"/>
                <w:gridSpan w:val="4"/>
                <w:shd w:val="clear" w:color="auto" w:fill="auto"/>
              </w:tcPr>
              <w:p>
                <w:pPr>
                  <w:rPr>
                    <w:rFonts w:hint="default" w:ascii="Times New Roman" w:hAnsi="Times New Roman" w:cs="Times New Roman"/>
                    <w:szCs w:val="21"/>
                  </w:rPr>
                </w:pPr>
                <w:r>
                  <w:rPr>
                    <w:rFonts w:hint="default" w:ascii="Times New Roman" w:hAnsi="Times New Roman" w:cs="Times New Roman"/>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shd w:val="clear" w:color="auto" w:fill="auto"/>
            <w:vAlign w:val="center"/>
          </w:tcPr>
          <w:p>
            <w:pPr>
              <w:jc w:val="center"/>
              <w:rPr>
                <w:szCs w:val="21"/>
              </w:rPr>
            </w:pPr>
            <w:r>
              <w:rPr>
                <w:rFonts w:hint="eastAsia"/>
                <w:szCs w:val="21"/>
              </w:rPr>
              <w:t>合计</w:t>
            </w:r>
          </w:p>
        </w:tc>
        <w:tc>
          <w:tcPr>
            <w:tcW w:w="114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203,156,047.64</w:t>
            </w:r>
          </w:p>
        </w:tc>
        <w:tc>
          <w:tcPr>
            <w:tcW w:w="115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198,523,462.44</w:t>
            </w:r>
          </w:p>
        </w:tc>
        <w:tc>
          <w:tcPr>
            <w:tcW w:w="1153" w:type="pct"/>
          </w:tcPr>
          <w:p>
            <w:pPr>
              <w:jc w:val="right"/>
              <w:rPr>
                <w:szCs w:val="21"/>
              </w:rPr>
            </w:pPr>
            <w:r>
              <w:rPr>
                <w:rFonts w:hint="eastAsia"/>
                <w:szCs w:val="21"/>
              </w:rPr>
              <w:t>/</w:t>
            </w:r>
          </w:p>
        </w:tc>
      </w:tr>
    </w:tbl>
    <w:p/>
    <w:p/>
    <w:p>
      <w:r>
        <w:rPr>
          <w:rFonts w:hint="eastAsia"/>
        </w:rPr>
        <w:t>其他</w:t>
      </w:r>
      <w:r>
        <w:t>说明</w:t>
      </w:r>
      <w:r>
        <w:rPr>
          <w:rFonts w:hint="eastAsia"/>
        </w:rPr>
        <w:t>：</w:t>
      </w:r>
    </w:p>
    <w:sdt>
      <w:sdtPr>
        <w:alias w:val="是否适用：交易性金融资产的说明[双击切换]"/>
        <w:tag w:val="_GBC_9bed9315a85147e7ac11c2b4bac78358"/>
        <w:id w:val="26637"/>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交易性金融资产的说明"/>
        <w:tag w:val="_GBC_20a177fc99e145c4bb7b3119682db963"/>
        <w:id w:val="26638"/>
        <w:placeholder>
          <w:docPart w:val="GBC22222222222222222222222222222"/>
        </w:placeholder>
      </w:sdtPr>
      <w:sdtEndPr>
        <w:rPr>
          <w:rFonts w:hint="eastAsia"/>
          <w:szCs w:val="21"/>
        </w:rPr>
      </w:sdtEndPr>
      <w:sdtContent>
        <w:p>
          <w:pPr>
            <w:rPr>
              <w:rFonts w:hint="eastAsia"/>
            </w:rPr>
          </w:pPr>
          <w:r>
            <w:rPr>
              <w:rFonts w:hint="eastAsia"/>
            </w:rPr>
            <w:t>交易性金融资产具体明细：</w:t>
          </w:r>
        </w:p>
        <w:tbl>
          <w:tblPr>
            <w:tblStyle w:val="125"/>
            <w:tblW w:w="881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368"/>
            <w:gridCol w:w="2585"/>
            <w:gridCol w:w="285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tblHeader/>
              <w:jc w:val="center"/>
            </w:trPr>
            <w:tc>
              <w:tcPr>
                <w:tcW w:w="1911" w:type="pct"/>
                <w:vAlign w:val="center"/>
              </w:tcPr>
              <w:p>
                <w:pPr>
                  <w:widowControl w:val="0"/>
                  <w:tabs>
                    <w:tab w:val="left" w:pos="196"/>
                    <w:tab w:val="left" w:pos="426"/>
                    <w:tab w:val="left" w:pos="1134"/>
                  </w:tabs>
                  <w:snapToGrid w:val="0"/>
                  <w:spacing w:line="450" w:lineRule="exact"/>
                  <w:ind w:firstLine="0" w:firstLineChars="0"/>
                  <w:jc w:val="center"/>
                  <w:rPr>
                    <w:rFonts w:ascii="宋体" w:hAnsi="宋体" w:cs="Times New Roman"/>
                    <w:kern w:val="2"/>
                    <w:sz w:val="18"/>
                    <w:szCs w:val="18"/>
                  </w:rPr>
                </w:pPr>
                <w:r>
                  <w:rPr>
                    <w:rFonts w:ascii="宋体" w:hAnsi="宋体" w:cs="Times New Roman"/>
                    <w:kern w:val="2"/>
                    <w:sz w:val="18"/>
                    <w:szCs w:val="18"/>
                  </w:rPr>
                  <w:t>项目</w:t>
                </w:r>
              </w:p>
            </w:tc>
            <w:tc>
              <w:tcPr>
                <w:tcW w:w="1467" w:type="pct"/>
                <w:vAlign w:val="center"/>
              </w:tcPr>
              <w:p>
                <w:pPr>
                  <w:widowControl w:val="0"/>
                  <w:tabs>
                    <w:tab w:val="left" w:pos="196"/>
                    <w:tab w:val="left" w:pos="426"/>
                    <w:tab w:val="left" w:pos="1134"/>
                  </w:tabs>
                  <w:snapToGrid w:val="0"/>
                  <w:spacing w:line="450" w:lineRule="exact"/>
                  <w:ind w:firstLine="0" w:firstLineChars="0"/>
                  <w:jc w:val="center"/>
                  <w:rPr>
                    <w:rFonts w:ascii="宋体" w:hAnsi="宋体" w:cs="Times New Roman"/>
                    <w:kern w:val="2"/>
                    <w:sz w:val="18"/>
                    <w:szCs w:val="18"/>
                  </w:rPr>
                </w:pPr>
                <w:r>
                  <w:rPr>
                    <w:rFonts w:hint="eastAsia" w:ascii="宋体" w:hAnsi="宋体" w:cs="Times New Roman"/>
                    <w:kern w:val="2"/>
                    <w:sz w:val="18"/>
                    <w:szCs w:val="18"/>
                  </w:rPr>
                  <w:t>期末投资成本</w:t>
                </w:r>
              </w:p>
            </w:tc>
            <w:tc>
              <w:tcPr>
                <w:tcW w:w="1622" w:type="pct"/>
                <w:vAlign w:val="center"/>
              </w:tcPr>
              <w:p>
                <w:pPr>
                  <w:widowControl w:val="0"/>
                  <w:tabs>
                    <w:tab w:val="left" w:pos="196"/>
                    <w:tab w:val="left" w:pos="426"/>
                    <w:tab w:val="left" w:pos="1134"/>
                  </w:tabs>
                  <w:snapToGrid w:val="0"/>
                  <w:spacing w:line="450" w:lineRule="exact"/>
                  <w:ind w:firstLine="0" w:firstLineChars="0"/>
                  <w:jc w:val="center"/>
                  <w:rPr>
                    <w:rFonts w:ascii="宋体" w:hAnsi="宋体" w:cs="Times New Roman"/>
                    <w:kern w:val="2"/>
                    <w:sz w:val="18"/>
                    <w:szCs w:val="18"/>
                  </w:rPr>
                </w:pPr>
                <w:r>
                  <w:rPr>
                    <w:rFonts w:hint="eastAsia" w:ascii="宋体" w:hAnsi="宋体" w:cs="Times New Roman"/>
                    <w:kern w:val="2"/>
                    <w:sz w:val="18"/>
                    <w:szCs w:val="18"/>
                  </w:rPr>
                  <w:t>期末公允价值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911" w:type="pct"/>
                <w:vAlign w:val="center"/>
              </w:tcPr>
              <w:p>
                <w:pPr>
                  <w:widowControl w:val="0"/>
                  <w:snapToGrid w:val="0"/>
                  <w:spacing w:line="450" w:lineRule="exact"/>
                  <w:ind w:firstLine="0" w:firstLineChars="0"/>
                  <w:jc w:val="both"/>
                  <w:rPr>
                    <w:rFonts w:ascii="宋体" w:hAnsi="宋体" w:cs="Times New Roman"/>
                    <w:kern w:val="2"/>
                    <w:sz w:val="18"/>
                    <w:szCs w:val="18"/>
                  </w:rPr>
                </w:pPr>
                <w:r>
                  <w:rPr>
                    <w:rFonts w:hint="eastAsia" w:ascii="宋体" w:hAnsi="宋体" w:cs="Times New Roman"/>
                    <w:kern w:val="2"/>
                    <w:sz w:val="18"/>
                    <w:szCs w:val="18"/>
                  </w:rPr>
                  <w:t>股票投资</w:t>
                </w:r>
              </w:p>
            </w:tc>
            <w:tc>
              <w:tcPr>
                <w:tcW w:w="1467" w:type="pct"/>
                <w:vAlign w:val="center"/>
              </w:tcPr>
              <w:p>
                <w:pPr>
                  <w:widowControl w:val="0"/>
                  <w:adjustRightInd w:val="0"/>
                  <w:snapToGrid w:val="0"/>
                  <w:spacing w:line="240" w:lineRule="auto"/>
                  <w:ind w:firstLine="0" w:firstLineChars="0"/>
                  <w:jc w:val="right"/>
                  <w:rPr>
                    <w:rFonts w:hint="default" w:ascii="Times New Roman" w:hAnsi="Times New Roman" w:cs="Times New Roman"/>
                    <w:kern w:val="2"/>
                    <w:sz w:val="21"/>
                    <w:szCs w:val="21"/>
                  </w:rPr>
                </w:pPr>
                <w:r>
                  <w:rPr>
                    <w:rFonts w:hint="default" w:ascii="Times New Roman" w:hAnsi="Times New Roman" w:cs="Times New Roman"/>
                    <w:kern w:val="2"/>
                    <w:sz w:val="21"/>
                    <w:szCs w:val="21"/>
                  </w:rPr>
                  <w:t>44,799,739.06</w:t>
                </w:r>
              </w:p>
            </w:tc>
            <w:tc>
              <w:tcPr>
                <w:tcW w:w="1622" w:type="pct"/>
                <w:vAlign w:val="center"/>
              </w:tcPr>
              <w:p>
                <w:pPr>
                  <w:widowControl w:val="0"/>
                  <w:adjustRightInd w:val="0"/>
                  <w:snapToGrid w:val="0"/>
                  <w:spacing w:line="240" w:lineRule="auto"/>
                  <w:ind w:firstLine="0" w:firstLineChars="0"/>
                  <w:jc w:val="right"/>
                  <w:rPr>
                    <w:rFonts w:hint="default" w:ascii="Times New Roman" w:hAnsi="Times New Roman" w:cs="Times New Roman"/>
                    <w:kern w:val="2"/>
                    <w:sz w:val="21"/>
                    <w:szCs w:val="21"/>
                  </w:rPr>
                </w:pPr>
                <w:r>
                  <w:rPr>
                    <w:rFonts w:hint="default" w:ascii="Times New Roman" w:hAnsi="Times New Roman" w:cs="Times New Roman"/>
                    <w:kern w:val="2"/>
                    <w:sz w:val="21"/>
                    <w:szCs w:val="21"/>
                  </w:rPr>
                  <w:t>203,156,047.64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911" w:type="pct"/>
                <w:vAlign w:val="center"/>
              </w:tcPr>
              <w:p>
                <w:pPr>
                  <w:widowControl w:val="0"/>
                  <w:tabs>
                    <w:tab w:val="left" w:pos="196"/>
                    <w:tab w:val="left" w:pos="426"/>
                    <w:tab w:val="left" w:pos="1134"/>
                  </w:tabs>
                  <w:snapToGrid w:val="0"/>
                  <w:spacing w:line="450" w:lineRule="exact"/>
                  <w:ind w:firstLine="0" w:firstLineChars="0"/>
                  <w:jc w:val="center"/>
                  <w:rPr>
                    <w:rFonts w:ascii="宋体" w:hAnsi="宋体" w:cs="Times New Roman"/>
                    <w:kern w:val="2"/>
                    <w:sz w:val="18"/>
                    <w:szCs w:val="18"/>
                  </w:rPr>
                </w:pPr>
                <w:r>
                  <w:rPr>
                    <w:rFonts w:ascii="宋体" w:hAnsi="宋体" w:cs="Times New Roman"/>
                    <w:kern w:val="2"/>
                    <w:sz w:val="18"/>
                    <w:szCs w:val="18"/>
                  </w:rPr>
                  <w:t>合计</w:t>
                </w:r>
              </w:p>
            </w:tc>
            <w:tc>
              <w:tcPr>
                <w:tcW w:w="1467" w:type="pct"/>
                <w:vAlign w:val="center"/>
              </w:tcPr>
              <w:p>
                <w:pPr>
                  <w:widowControl w:val="0"/>
                  <w:adjustRightInd w:val="0"/>
                  <w:snapToGrid w:val="0"/>
                  <w:spacing w:line="240" w:lineRule="auto"/>
                  <w:ind w:firstLine="0" w:firstLineChars="0"/>
                  <w:jc w:val="right"/>
                  <w:rPr>
                    <w:rFonts w:hint="default" w:ascii="Times New Roman" w:hAnsi="Times New Roman" w:cs="Times New Roman"/>
                    <w:kern w:val="2"/>
                    <w:sz w:val="21"/>
                    <w:szCs w:val="21"/>
                  </w:rPr>
                </w:pPr>
                <w:r>
                  <w:rPr>
                    <w:rFonts w:hint="default" w:ascii="Times New Roman" w:hAnsi="Times New Roman" w:cs="Times New Roman"/>
                    <w:kern w:val="2"/>
                    <w:sz w:val="21"/>
                    <w:szCs w:val="21"/>
                  </w:rPr>
                  <w:t>44,799,739.06</w:t>
                </w:r>
              </w:p>
            </w:tc>
            <w:tc>
              <w:tcPr>
                <w:tcW w:w="1622" w:type="pct"/>
                <w:vAlign w:val="center"/>
              </w:tcPr>
              <w:p>
                <w:pPr>
                  <w:widowControl w:val="0"/>
                  <w:adjustRightInd w:val="0"/>
                  <w:snapToGrid w:val="0"/>
                  <w:spacing w:line="240" w:lineRule="auto"/>
                  <w:ind w:firstLine="0" w:firstLineChars="0"/>
                  <w:jc w:val="right"/>
                  <w:rPr>
                    <w:rFonts w:hint="default" w:ascii="Times New Roman" w:hAnsi="Times New Roman" w:cs="Times New Roman"/>
                    <w:kern w:val="2"/>
                    <w:sz w:val="21"/>
                    <w:szCs w:val="21"/>
                  </w:rPr>
                </w:pPr>
                <w:r>
                  <w:rPr>
                    <w:rFonts w:hint="default" w:ascii="Times New Roman" w:hAnsi="Times New Roman" w:cs="Times New Roman"/>
                    <w:kern w:val="2"/>
                    <w:sz w:val="21"/>
                    <w:szCs w:val="21"/>
                  </w:rPr>
                  <w:t>203,156,047.64</w:t>
                </w:r>
              </w:p>
            </w:tc>
          </w:tr>
        </w:tbl>
        <w:p>
          <w:pPr>
            <w:rPr>
              <w:szCs w:val="21"/>
            </w:rPr>
          </w:pPr>
        </w:p>
      </w:sdtContent>
    </w:sdt>
    <w:p>
      <w:pPr>
        <w:rPr>
          <w:szCs w:val="21"/>
        </w:rPr>
      </w:pPr>
    </w:p>
    <w:p>
      <w:pPr>
        <w:pStyle w:val="229"/>
        <w:numPr>
          <w:ilvl w:val="0"/>
          <w:numId w:val="71"/>
        </w:numPr>
        <w:rPr>
          <w:szCs w:val="21"/>
        </w:rPr>
      </w:pPr>
      <w:r>
        <w:rPr>
          <w:rFonts w:hint="eastAsia"/>
          <w:szCs w:val="21"/>
        </w:rPr>
        <w:t>衍生金融资产</w:t>
      </w:r>
    </w:p>
    <w:sdt>
      <w:sdtPr>
        <w:alias w:val="是否适用：衍生金融资产[双击切换]"/>
        <w:tag w:val="_GBC_d17bfaab262c4a499d0afca62045c5e0"/>
        <w:id w:val="26639"/>
        <w:placeholder>
          <w:docPart w:val="GBC22222222222222222222222222222"/>
        </w:placeholder>
      </w:sdtPr>
      <w:sdtContent>
        <w:p>
          <w:pPr>
            <w:snapToGrid w:val="0"/>
            <w:spacing w:line="240" w:lineRule="atLeast"/>
            <w:ind w:left="1470" w:right="25" w:rightChars="12" w:hanging="1470" w:hangingChars="700"/>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ind w:left="1470" w:right="25" w:rightChars="12" w:hanging="1470" w:hangingChars="700"/>
        <w:rPr>
          <w:szCs w:val="21"/>
        </w:rPr>
      </w:pPr>
    </w:p>
    <w:p>
      <w:pPr>
        <w:pStyle w:val="229"/>
        <w:numPr>
          <w:ilvl w:val="0"/>
          <w:numId w:val="71"/>
        </w:numPr>
        <w:rPr>
          <w:rFonts w:ascii="宋体" w:hAnsi="宋体" w:cs="宋体"/>
          <w:kern w:val="0"/>
          <w:szCs w:val="21"/>
        </w:rPr>
      </w:pPr>
      <w:r>
        <w:rPr>
          <w:rFonts w:hint="eastAsia" w:ascii="宋体" w:hAnsi="宋体" w:cs="宋体"/>
          <w:kern w:val="0"/>
          <w:szCs w:val="21"/>
        </w:rPr>
        <w:t>应收票据</w:t>
      </w:r>
    </w:p>
    <w:p>
      <w:pPr>
        <w:pStyle w:val="196"/>
        <w:numPr>
          <w:ilvl w:val="3"/>
          <w:numId w:val="72"/>
        </w:numPr>
        <w:ind w:left="426" w:hanging="426"/>
      </w:pPr>
      <w:r>
        <w:rPr>
          <w:rFonts w:hint="eastAsia"/>
        </w:rPr>
        <w:t>应收票据分类列示</w:t>
      </w:r>
    </w:p>
    <w:sdt>
      <w:sdtPr>
        <w:alias w:val="是否适用：应收票据分类列示[双击切换]"/>
        <w:tag w:val="_GBC_bdf010020d484a01ae60c52d7465a06a"/>
        <w:id w:val="2664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266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26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1"/>
        <w:gridCol w:w="3130"/>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26643"/>
          </w:sdtPr>
          <w:sdtContent>
            <w:tc>
              <w:tcPr>
                <w:tcW w:w="1650" w:type="pc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26644"/>
          </w:sdtPr>
          <w:sdtContent>
            <w:tc>
              <w:tcPr>
                <w:tcW w:w="1727" w:type="pct"/>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26645"/>
          </w:sdtPr>
          <w:sdtContent>
            <w:tc>
              <w:tcPr>
                <w:tcW w:w="1621" w:type="pct"/>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0" w:type="pct"/>
          </w:tcPr>
          <w:p>
            <w:pPr>
              <w:autoSpaceDE w:val="0"/>
              <w:autoSpaceDN w:val="0"/>
              <w:adjustRightInd w:val="0"/>
              <w:snapToGrid w:val="0"/>
              <w:spacing w:line="240" w:lineRule="atLeast"/>
              <w:rPr>
                <w:szCs w:val="21"/>
              </w:rPr>
            </w:pPr>
            <w:r>
              <w:rPr>
                <w:rFonts w:hint="eastAsia"/>
                <w:szCs w:val="21"/>
              </w:rPr>
              <w:t>银行承兑票据</w:t>
            </w:r>
          </w:p>
        </w:tc>
        <w:tc>
          <w:tcPr>
            <w:tcW w:w="1727" w:type="pct"/>
            <w:vAlign w:val="center"/>
          </w:tcPr>
          <w:p>
            <w:pPr>
              <w:ind w:right="13"/>
              <w:jc w:val="right"/>
              <w:rPr>
                <w:rFonts w:hint="default" w:ascii="Times New Roman" w:hAnsi="Times New Roman" w:cs="Times New Roman"/>
                <w:szCs w:val="21"/>
              </w:rPr>
            </w:pPr>
            <w:r>
              <w:rPr>
                <w:rFonts w:hint="default" w:ascii="Times New Roman" w:hAnsi="Times New Roman" w:cs="Times New Roman"/>
              </w:rPr>
              <w:t>10,209,048.25</w:t>
            </w:r>
          </w:p>
        </w:tc>
        <w:tc>
          <w:tcPr>
            <w:tcW w:w="1621" w:type="pct"/>
            <w:vAlign w:val="center"/>
          </w:tcPr>
          <w:p>
            <w:pPr>
              <w:ind w:right="13"/>
              <w:jc w:val="right"/>
              <w:rPr>
                <w:rFonts w:hint="default" w:ascii="Times New Roman" w:hAnsi="Times New Roman" w:cs="Times New Roman"/>
                <w:szCs w:val="21"/>
              </w:rPr>
            </w:pPr>
            <w:r>
              <w:rPr>
                <w:rFonts w:hint="default" w:ascii="Times New Roman" w:hAnsi="Times New Roman" w:cs="Times New Roman"/>
              </w:rPr>
              <w:t>4,223,921.40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0" w:type="pct"/>
          </w:tcPr>
          <w:p>
            <w:pPr>
              <w:autoSpaceDE w:val="0"/>
              <w:autoSpaceDN w:val="0"/>
              <w:adjustRightInd w:val="0"/>
              <w:snapToGrid w:val="0"/>
              <w:spacing w:line="240" w:lineRule="atLeast"/>
              <w:rPr>
                <w:szCs w:val="21"/>
              </w:rPr>
            </w:pPr>
            <w:r>
              <w:rPr>
                <w:rFonts w:hint="eastAsia"/>
                <w:szCs w:val="21"/>
              </w:rPr>
              <w:t>商业承兑票据</w:t>
            </w:r>
          </w:p>
        </w:tc>
        <w:tc>
          <w:tcPr>
            <w:tcW w:w="1727" w:type="pct"/>
            <w:vAlign w:val="center"/>
          </w:tcPr>
          <w:p>
            <w:pPr>
              <w:ind w:right="13"/>
              <w:jc w:val="right"/>
              <w:rPr>
                <w:rFonts w:hint="default" w:ascii="Times New Roman" w:hAnsi="Times New Roman" w:cs="Times New Roman"/>
                <w:szCs w:val="21"/>
              </w:rPr>
            </w:pPr>
          </w:p>
        </w:tc>
        <w:tc>
          <w:tcPr>
            <w:tcW w:w="1621" w:type="pct"/>
            <w:vAlign w:val="center"/>
          </w:tcPr>
          <w:p>
            <w:pPr>
              <w:ind w:right="1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0" w:type="pct"/>
            <w:vAlign w:val="center"/>
          </w:tcPr>
          <w:p>
            <w:pPr>
              <w:autoSpaceDE w:val="0"/>
              <w:autoSpaceDN w:val="0"/>
              <w:adjustRightInd w:val="0"/>
              <w:snapToGrid w:val="0"/>
              <w:spacing w:line="240" w:lineRule="atLeast"/>
              <w:jc w:val="center"/>
              <w:rPr>
                <w:szCs w:val="21"/>
              </w:rPr>
            </w:pPr>
            <w:r>
              <w:rPr>
                <w:rFonts w:hint="eastAsia"/>
                <w:szCs w:val="21"/>
              </w:rPr>
              <w:t>合计</w:t>
            </w:r>
          </w:p>
        </w:tc>
        <w:tc>
          <w:tcPr>
            <w:tcW w:w="1727" w:type="pct"/>
            <w:vAlign w:val="center"/>
          </w:tcPr>
          <w:p>
            <w:pPr>
              <w:jc w:val="right"/>
              <w:rPr>
                <w:rFonts w:hint="default" w:ascii="Times New Roman" w:hAnsi="Times New Roman" w:cs="Times New Roman"/>
                <w:szCs w:val="21"/>
              </w:rPr>
            </w:pPr>
            <w:r>
              <w:rPr>
                <w:rFonts w:hint="default" w:ascii="Times New Roman" w:hAnsi="Times New Roman" w:cs="Times New Roman"/>
              </w:rPr>
              <w:t>10,209,048.25</w:t>
            </w:r>
          </w:p>
        </w:tc>
        <w:tc>
          <w:tcPr>
            <w:tcW w:w="1621" w:type="pct"/>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4,223,921.40</w:t>
            </w:r>
          </w:p>
        </w:tc>
      </w:tr>
    </w:tbl>
    <w:p>
      <w:pPr>
        <w:snapToGrid w:val="0"/>
        <w:spacing w:line="240" w:lineRule="atLeast"/>
        <w:rPr>
          <w:szCs w:val="21"/>
        </w:rPr>
      </w:pPr>
    </w:p>
    <w:p>
      <w:pPr>
        <w:pStyle w:val="196"/>
        <w:numPr>
          <w:ilvl w:val="3"/>
          <w:numId w:val="72"/>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2664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3"/>
          <w:numId w:val="72"/>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2664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3"/>
          <w:numId w:val="72"/>
        </w:numPr>
        <w:ind w:left="426" w:hanging="426"/>
      </w:pPr>
      <w:bookmarkStart w:id="181" w:name="_Hlk533596246"/>
      <w:r>
        <w:t>按坏账计提方法分类披露</w:t>
      </w:r>
    </w:p>
    <w:sdt>
      <w:sdtPr>
        <w:alias w:val="是否适用：应收票据按坏账计提方法分类披露[双击切换]"/>
        <w:tag w:val="_GBC_806abc31b942462ba4b46f92c99312a5"/>
        <w:id w:val="2664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182" w:name="_Hlk533511527"/>
        </w:p>
      </w:sdtContent>
    </w:sdt>
    <w:p>
      <w:pPr>
        <w:outlineLvl w:val="9"/>
      </w:pPr>
    </w:p>
    <w:bookmarkEnd w:id="181"/>
    <w:bookmarkEnd w:id="182"/>
    <w:p>
      <w:r>
        <w:rPr>
          <w:rFonts w:hint="eastAsia"/>
        </w:rPr>
        <w:t>按单项计提坏账准备：</w:t>
      </w:r>
    </w:p>
    <w:sdt>
      <w:sdtPr>
        <w:rPr>
          <w:rFonts w:hint="eastAsia"/>
        </w:rPr>
        <w:alias w:val="是否适用：按单项计提坏账准备的应收票据详细情况[双击切换]"/>
        <w:tag w:val="_GBC_9f41f638de8f4c42b9d00ca6755931fb"/>
        <w:id w:val="26649"/>
        <w:placeholder>
          <w:docPart w:val="GBC22222222222222222222222222222"/>
        </w:placeholder>
      </w:sdtPr>
      <w:sdtEndPr>
        <w:rPr>
          <w:rFonts w:hint="eastAsia"/>
        </w:rPr>
      </w:sdtEnd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183" w:name="_Hlk533597423"/>
        </w:p>
      </w:sdtContent>
    </w:sdt>
    <w:p>
      <w:pPr>
        <w:rPr>
          <w:szCs w:val="21"/>
        </w:rPr>
      </w:pPr>
    </w:p>
    <w:bookmarkEnd w:id="183"/>
    <w:sdt>
      <w:sdtPr>
        <w:rPr>
          <w:rFonts w:hint="eastAsia" w:asciiTheme="minorHAnsi" w:hAnsiTheme="minorHAnsi" w:cstheme="minorBidi"/>
          <w:bCs/>
          <w:szCs w:val="22"/>
        </w:rPr>
        <w:tag w:val="_PLD_c5822df72e094b5083c45a32639c6995"/>
        <w:id w:val="26650"/>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26651"/>
        <w:placeholder>
          <w:docPart w:val="GBC22222222222222222222222222222"/>
        </w:placeholder>
      </w:sdtPr>
      <w:sdtEndPr>
        <w:rPr>
          <w:rFonts w:hint="eastAsia" w:asciiTheme="minorHAnsi" w:hAnsiTheme="minorHAnsi" w:cstheme="minorBidi"/>
          <w:bCs/>
          <w:szCs w:val="22"/>
        </w:rPr>
      </w:sdtEndPr>
      <w:sdtContent>
        <w:p>
          <w:pPr>
            <w:outlineLvl w:val="9"/>
            <w:rPr>
              <w:szCs w:val="21"/>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bookmarkStart w:id="184" w:name="_Hlk533601037"/>
        </w:p>
      </w:sdtContent>
    </w:sdt>
    <w:p>
      <w:pPr>
        <w:rPr>
          <w:rFonts w:asciiTheme="minorHAnsi" w:hAnsiTheme="minorHAnsi" w:cstheme="minorBidi"/>
          <w:b/>
          <w:bCs/>
          <w:szCs w:val="22"/>
        </w:rPr>
      </w:pPr>
    </w:p>
    <w:bookmarkEnd w:id="184"/>
    <w:p>
      <w:pPr>
        <w:rPr>
          <w:rFonts w:cstheme="minorBidi"/>
          <w:bCs/>
          <w:szCs w:val="22"/>
        </w:rPr>
      </w:pPr>
      <w:bookmarkStart w:id="185" w:name="_Hlk153356892"/>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26652"/>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cstheme="minorBidi"/>
          <w:bCs/>
          <w:szCs w:val="22"/>
        </w:rPr>
      </w:pPr>
    </w:p>
    <w:p>
      <w:pPr>
        <w:autoSpaceDE w:val="0"/>
        <w:autoSpaceDN w:val="0"/>
        <w:adjustRightInd w:val="0"/>
        <w:ind w:right="105" w:rightChars="50"/>
        <w:rPr>
          <w:szCs w:val="21"/>
          <w:highlight w:val="none"/>
        </w:rPr>
      </w:pPr>
      <w:r>
        <w:rPr>
          <w:rFonts w:hint="eastAsia"/>
          <w:szCs w:val="21"/>
          <w:highlight w:val="none"/>
        </w:rPr>
        <w:t>各阶段划分依据和坏账准备计提比例</w:t>
      </w:r>
    </w:p>
    <w:sdt>
      <w:sdtPr>
        <w:rPr>
          <w:rFonts w:cs="Times New Roman"/>
          <w:bCs/>
          <w:szCs w:val="22"/>
          <w:highlight w:val="none"/>
        </w:rPr>
        <w:alias w:val="各阶段划分依据和坏账准备计提比例"/>
        <w:tag w:val="_GBC_64b745b874a741e0959d6b23dbf1c56a"/>
        <w:id w:val="26653"/>
        <w:placeholder>
          <w:docPart w:val="GBC22222222222222222222222222222"/>
        </w:placeholder>
      </w:sdtPr>
      <w:sdtEndPr>
        <w:rPr>
          <w:rFonts w:cs="Times New Roman"/>
          <w:bCs/>
          <w:szCs w:val="22"/>
          <w:highlight w:val="none"/>
        </w:rPr>
      </w:sdtEndPr>
      <w:sdtContent>
        <w:p>
          <w:pPr>
            <w:rPr>
              <w:rFonts w:cs="Times New Roman"/>
              <w:bCs/>
              <w:szCs w:val="22"/>
              <w:highlight w:val="none"/>
            </w:rPr>
          </w:pPr>
          <w:r>
            <w:rPr>
              <w:rFonts w:hint="eastAsia" w:cs="Times New Roman"/>
              <w:bCs/>
              <w:szCs w:val="22"/>
              <w:highlight w:val="none"/>
              <w:lang w:eastAsia="zh-CN"/>
            </w:rPr>
            <w:t>无</w:t>
          </w:r>
        </w:p>
      </w:sdtContent>
    </w:sdt>
    <w:p>
      <w:pPr>
        <w:rPr>
          <w:rFonts w:asciiTheme="minorHAnsi" w:hAnsiTheme="minorHAnsi" w:cstheme="minorBidi"/>
          <w:b/>
          <w:bCs/>
          <w:szCs w:val="22"/>
        </w:rPr>
      </w:pPr>
    </w:p>
    <w:p>
      <w:pPr>
        <w:pStyle w:val="288"/>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26654"/>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185"/>
    <w:p>
      <w:pPr>
        <w:pStyle w:val="196"/>
        <w:numPr>
          <w:ilvl w:val="3"/>
          <w:numId w:val="72"/>
        </w:numPr>
        <w:ind w:left="426" w:hanging="426"/>
      </w:pPr>
      <w:bookmarkStart w:id="186" w:name="_Hlk532980547"/>
      <w:bookmarkStart w:id="187" w:name="_Hlk154148795"/>
      <w:r>
        <w:rPr>
          <w:rFonts w:hint="eastAsia"/>
        </w:rPr>
        <w:t>坏账准备的情况</w:t>
      </w:r>
    </w:p>
    <w:sdt>
      <w:sdtPr>
        <w:alias w:val="是否适用：应收票据坏账准备情况[双击切换]"/>
        <w:tag w:val="_GBC_3c7b44ae9e3b4aa6a67012163093206f"/>
        <w:id w:val="26655"/>
        <w:lock w:val="contentLocked"/>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26656"/>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rPr>
          <w:rFonts w:cstheme="minorBidi"/>
          <w:bCs/>
          <w:szCs w:val="22"/>
        </w:rPr>
        <w:alias w:val="应收票据坏账准备的其他说明"/>
        <w:tag w:val="_GBC_861db5fd771c449390c4ea436bc9ad1e"/>
        <w:id w:val="26657"/>
        <w:placeholder>
          <w:docPart w:val="GBC22222222222222222222222222222"/>
        </w:placeholder>
      </w:sdtPr>
      <w:sdtEndPr>
        <w:rPr>
          <w:rFonts w:asciiTheme="minorHAnsi" w:hAnsiTheme="minorHAnsi" w:cstheme="minorBidi"/>
          <w:b/>
          <w:bCs/>
          <w:szCs w:val="22"/>
        </w:rPr>
      </w:sdtEndPr>
      <w:sdtContent>
        <w:p>
          <w:pPr>
            <w:rPr>
              <w:rFonts w:asciiTheme="minorHAnsi" w:hAnsiTheme="minorHAnsi" w:cstheme="minorBidi"/>
              <w:b/>
              <w:bCs/>
              <w:szCs w:val="22"/>
            </w:rPr>
          </w:pPr>
          <w:r>
            <w:rPr>
              <w:rFonts w:hint="eastAsia" w:cstheme="minorBidi"/>
              <w:bCs/>
              <w:szCs w:val="22"/>
              <w:lang w:eastAsia="zh-CN"/>
            </w:rPr>
            <w:t>无</w:t>
          </w:r>
        </w:p>
      </w:sdtContent>
    </w:sdt>
    <w:p>
      <w:pPr>
        <w:rPr>
          <w:rFonts w:asciiTheme="minorHAnsi" w:hAnsiTheme="minorHAnsi" w:cstheme="minorBidi"/>
          <w:b/>
          <w:bCs/>
          <w:szCs w:val="22"/>
        </w:rPr>
      </w:pPr>
    </w:p>
    <w:bookmarkEnd w:id="186"/>
    <w:bookmarkEnd w:id="187"/>
    <w:p>
      <w:pPr>
        <w:pStyle w:val="196"/>
        <w:numPr>
          <w:ilvl w:val="3"/>
          <w:numId w:val="72"/>
        </w:numPr>
        <w:ind w:left="426" w:hanging="426"/>
      </w:pPr>
      <w:bookmarkStart w:id="188" w:name="_Hlk152837614"/>
      <w:bookmarkStart w:id="189" w:name="_Hlk532982011"/>
      <w:r>
        <w:rPr>
          <w:rFonts w:hint="eastAsia"/>
        </w:rPr>
        <w:t>本期实际核销的应收票据情况</w:t>
      </w:r>
    </w:p>
    <w:sdt>
      <w:sdtPr>
        <w:alias w:val="是否适用：实际核销的应收票据[双击切换]"/>
        <w:tag w:val="_GBC_a0d8af67abfc4a1698fd198064d3b108"/>
        <w:id w:val="2665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188"/>
    <w:p>
      <w:pPr>
        <w:rPr>
          <w:szCs w:val="21"/>
        </w:rPr>
      </w:pPr>
      <w:bookmarkStart w:id="190" w:name="_Hlk152837635"/>
      <w:r>
        <w:rPr>
          <w:rFonts w:hint="eastAsia"/>
          <w:szCs w:val="21"/>
        </w:rPr>
        <w:t>其中重要的应收票据核销情况：</w:t>
      </w:r>
    </w:p>
    <w:sdt>
      <w:sdtPr>
        <w:rPr>
          <w:szCs w:val="21"/>
        </w:rPr>
        <w:alias w:val="是否适用：重要的应收票据核销[双击切换]"/>
        <w:tag w:val="_GBC_8a4eb0fe2cd044db955869f172508ff4"/>
        <w:id w:val="26659"/>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szCs w:val="21"/>
        </w:rPr>
      </w:pPr>
    </w:p>
    <w:bookmarkEnd w:id="190"/>
    <w:p>
      <w:pPr>
        <w:snapToGrid w:val="0"/>
        <w:spacing w:line="240" w:lineRule="atLeast"/>
        <w:rPr>
          <w:szCs w:val="21"/>
        </w:rPr>
      </w:pPr>
      <w:bookmarkStart w:id="191" w:name="_Hlk152837641"/>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26660"/>
        <w:placeholder>
          <w:docPart w:val="GBC22222222222222222222222222222"/>
        </w:placeholder>
      </w:sdtPr>
      <w:sdtEndPr>
        <w:rPr>
          <w:rFonts w:asciiTheme="minorHAnsi" w:hAnsiTheme="minorHAnsi" w:cstheme="minorBidi"/>
          <w:bCs/>
          <w:szCs w:val="22"/>
        </w:rPr>
      </w:sdtEndPr>
      <w:sdtContent>
        <w:p>
          <w:pPr>
            <w:outlineLvl w:val="9"/>
            <w:rPr>
              <w:rFonts w:asciiTheme="minorHAnsi" w:hAnsiTheme="minorHAnsi"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rPr>
          <w:rFonts w:asciiTheme="minorHAnsi" w:hAnsiTheme="minorHAnsi" w:cstheme="minorBidi"/>
          <w:b/>
          <w:bCs/>
          <w:szCs w:val="22"/>
        </w:rPr>
      </w:pPr>
    </w:p>
    <w:bookmarkEnd w:id="189"/>
    <w:bookmarkEnd w:id="191"/>
    <w:p>
      <w:r>
        <w:rPr>
          <w:rFonts w:hint="eastAsia"/>
        </w:rPr>
        <w:t>其他说明</w:t>
      </w:r>
    </w:p>
    <w:sdt>
      <w:sdtPr>
        <w:alias w:val="是否适用：应收票据的说明[双击切换]"/>
        <w:tag w:val="_GBC_dc21e09520924a5db7020ba029631550"/>
        <w:id w:val="26661"/>
        <w:placeholder>
          <w:docPart w:val="GBC22222222222222222222222222222"/>
        </w:placeholder>
      </w:sdtPr>
      <w:sdtContent>
        <w:p>
          <w:pPr>
            <w:snapToGrid w:val="0"/>
            <w:spacing w:line="240" w:lineRule="atLeast"/>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p>
      <w:pPr>
        <w:pStyle w:val="229"/>
        <w:numPr>
          <w:ilvl w:val="0"/>
          <w:numId w:val="71"/>
        </w:numPr>
        <w:rPr>
          <w:rFonts w:ascii="宋体" w:hAnsi="宋体" w:cs="宋体"/>
          <w:kern w:val="0"/>
          <w:szCs w:val="21"/>
        </w:rPr>
      </w:pPr>
      <w:r>
        <w:rPr>
          <w:rFonts w:hint="eastAsia" w:ascii="宋体" w:hAnsi="宋体" w:cs="宋体"/>
          <w:kern w:val="0"/>
          <w:szCs w:val="21"/>
        </w:rPr>
        <w:t>应收账款</w:t>
      </w:r>
    </w:p>
    <w:p>
      <w:pPr>
        <w:pStyle w:val="196"/>
        <w:numPr>
          <w:ilvl w:val="3"/>
          <w:numId w:val="73"/>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26662"/>
        <w:placeholder>
          <w:docPart w:val="GBC22222222222222222222222222222"/>
        </w:placeholder>
      </w:sdtPr>
      <w:sdtEndPr>
        <w:rPr>
          <w:rFonts w:hint="eastAsia"/>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6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266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3050"/>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87827fb8f754c15801979884cb78127"/>
            <w:id w:val="26665"/>
          </w:sdtPr>
          <w:sdtContent>
            <w:tc>
              <w:tcPr>
                <w:tcW w:w="162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tag w:val="_PLD_53a2def126e844eabd4ea223442a8a87"/>
            <w:id w:val="26666"/>
          </w:sdtPr>
          <w:sdtContent>
            <w:tc>
              <w:tcPr>
                <w:tcW w:w="168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sdt>
          <w:sdtPr>
            <w:rPr>
              <w:rFonts w:hint="eastAsia"/>
            </w:rPr>
            <w:tag w:val="_PLD_a827d93406c24ad3bf1a17438f1117c1"/>
            <w:id w:val="26667"/>
          </w:sdtPr>
          <w:sdtEndPr>
            <w:rPr>
              <w:rFonts w:hint="eastAsia"/>
            </w:rPr>
          </w:sdtEndPr>
          <w:sdtContent>
            <w:tc>
              <w:tcPr>
                <w:tcW w:w="1688" w:type="pct"/>
                <w:tcBorders>
                  <w:top w:val="single" w:color="auto" w:sz="4" w:space="0"/>
                  <w:left w:val="single" w:color="auto" w:sz="4" w:space="0"/>
                  <w:bottom w:val="single" w:color="auto" w:sz="4" w:space="0"/>
                  <w:right w:val="single" w:color="auto" w:sz="4" w:space="0"/>
                </w:tcBorders>
              </w:tcPr>
              <w:p>
                <w:pPr>
                  <w:jc w:val="center"/>
                </w:pPr>
                <w:r>
                  <w:rPr>
                    <w:rFonts w:hint="eastAsia"/>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11560db02fd4399b97a79d7c7fe4ca3"/>
            <w:id w:val="26668"/>
          </w:sdtPr>
          <w:sdtContent>
            <w:tc>
              <w:tcPr>
                <w:tcW w:w="5000" w:type="pct"/>
                <w:gridSpan w:val="3"/>
                <w:tcBorders>
                  <w:top w:val="single" w:color="auto" w:sz="4" w:space="0"/>
                  <w:left w:val="single" w:color="auto" w:sz="4" w:space="0"/>
                  <w:bottom w:val="single" w:color="auto" w:sz="4" w:space="0"/>
                  <w:right w:val="single" w:color="auto" w:sz="4" w:space="0"/>
                </w:tcBorders>
              </w:tcPr>
              <w:p>
                <w:pPr>
                  <w:rPr>
                    <w:color w:val="FF0000"/>
                    <w:szCs w:val="21"/>
                  </w:rPr>
                </w:pPr>
                <w:r>
                  <w:rPr>
                    <w:rFonts w:hint="eastAsia"/>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hint="default" w:ascii="Times New Roman" w:hAnsi="Times New Roman" w:cs="Times New Roman"/>
            </w:rPr>
            <w:tag w:val="_PLD_785750c92d5d486990596d8d5b2f4a1f"/>
            <w:id w:val="26669"/>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0.5年以内</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69,608,261.12</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69,286,636.13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0.5年至1年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3,625,508.46</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17,502,148.88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1年以内小计</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eastAsia="zh-CN"/>
              </w:rPr>
            </w:pPr>
            <w:r>
              <w:rPr>
                <w:rFonts w:hint="eastAsia" w:ascii="Times New Roman" w:hAnsi="Times New Roman" w:cs="Times New Roman"/>
                <w:lang w:eastAsia="zh-CN"/>
              </w:rPr>
              <w:t>73,233,769.58</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86,788,785.01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26"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1－2年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12,748,717.17</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7,156,445.89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2－3年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2,845,116.75</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1,668,083.93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3－5年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1,961,123.60</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3,951,742.92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26"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5年以上</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50,812,422.07</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48,897,342.83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小计</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141,601,149.17</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148,462,400.58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减：坏账准备</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53,622,042.01</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54,060,567.17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highlight w:val="none"/>
              </w:rPr>
              <w:t>87,979,107.16</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94,401,833.41</w:t>
            </w:r>
          </w:p>
        </w:tc>
      </w:tr>
    </w:tbl>
    <w:p>
      <w:pPr>
        <w:sectPr>
          <w:pgSz w:w="11906" w:h="16838"/>
          <w:pgMar w:top="1440" w:right="1797" w:bottom="1525" w:left="1276" w:header="856" w:footer="992" w:gutter="0"/>
          <w:cols w:space="425" w:num="1"/>
          <w:docGrid w:linePitch="312" w:charSpace="0"/>
        </w:sectPr>
      </w:pPr>
    </w:p>
    <w:p>
      <w:pPr>
        <w:pStyle w:val="196"/>
        <w:numPr>
          <w:ilvl w:val="3"/>
          <w:numId w:val="73"/>
        </w:numPr>
        <w:ind w:left="426" w:hanging="426"/>
      </w:pPr>
      <w:bookmarkStart w:id="192" w:name="_Hlk533601584"/>
      <w:r>
        <w:rPr>
          <w:rFonts w:hint="eastAsia"/>
        </w:rPr>
        <w:t>按坏账计提方法分类披露</w:t>
      </w:r>
    </w:p>
    <w:sdt>
      <w:sdtPr>
        <w:alias w:val="是否适用：应收账款分类披露[双击切换]"/>
        <w:tag w:val="_GBC_5532cbb0484a40fcb185be4bb8709d46"/>
        <w:id w:val="26670"/>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64"/>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266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45ed90b2e73740bfa8c1f5d7d12ff35e"/>
          <w:id w:val="266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332" w:type="pct"/>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1596"/>
        <w:gridCol w:w="914"/>
        <w:gridCol w:w="1718"/>
        <w:gridCol w:w="763"/>
        <w:gridCol w:w="1337"/>
        <w:gridCol w:w="1500"/>
        <w:gridCol w:w="845"/>
        <w:gridCol w:w="1432"/>
        <w:gridCol w:w="1186"/>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ascii="Times New Roman" w:hAnsi="Times New Roman" w:eastAsia="宋体" w:cs="Times New Roman"/>
              <w:sz w:val="18"/>
              <w:szCs w:val="18"/>
            </w:rPr>
            <w:tag w:val="_PLD_f8d5a19b9b724da98e30475a6df20be9"/>
            <w:id w:val="26673"/>
          </w:sdtPr>
          <w:sdtEndPr>
            <w:rPr>
              <w:rFonts w:ascii="Times New Roman" w:hAnsi="Times New Roman" w:eastAsia="宋体" w:cs="Times New Roman"/>
              <w:sz w:val="18"/>
              <w:szCs w:val="18"/>
            </w:rPr>
          </w:sdtEndPr>
          <w:sdtContent>
            <w:tc>
              <w:tcPr>
                <w:tcW w:w="616" w:type="pct"/>
                <w:vMerge w:val="restart"/>
                <w:tcBorders>
                  <w:top w:val="single" w:color="auto" w:sz="4" w:space="0"/>
                  <w:left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类别</w:t>
                </w:r>
              </w:p>
            </w:tc>
          </w:sdtContent>
        </w:sdt>
        <w:sdt>
          <w:sdtPr>
            <w:rPr>
              <w:rFonts w:ascii="Times New Roman" w:hAnsi="Times New Roman" w:eastAsia="宋体" w:cs="Times New Roman"/>
              <w:sz w:val="18"/>
              <w:szCs w:val="18"/>
            </w:rPr>
            <w:tag w:val="_PLD_8e6cd64a5cc84d259bab748be3f49169"/>
            <w:id w:val="26674"/>
          </w:sdtPr>
          <w:sdtEndPr>
            <w:rPr>
              <w:rFonts w:ascii="Times New Roman" w:hAnsi="Times New Roman" w:eastAsia="宋体" w:cs="Times New Roman"/>
              <w:sz w:val="18"/>
              <w:szCs w:val="18"/>
            </w:rPr>
          </w:sdtEndPr>
          <w:sdtContent>
            <w:tc>
              <w:tcPr>
                <w:tcW w:w="2105" w:type="pct"/>
                <w:gridSpan w:val="5"/>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期末余额</w:t>
                </w:r>
              </w:p>
            </w:tc>
          </w:sdtContent>
        </w:sdt>
        <w:sdt>
          <w:sdtPr>
            <w:rPr>
              <w:rFonts w:ascii="Times New Roman" w:hAnsi="Times New Roman" w:eastAsia="宋体" w:cs="Times New Roman"/>
              <w:sz w:val="18"/>
              <w:szCs w:val="18"/>
            </w:rPr>
            <w:tag w:val="_PLD_f3718624b866493ab3b8d8edadf10560"/>
            <w:id w:val="26675"/>
          </w:sdtPr>
          <w:sdtEndPr>
            <w:rPr>
              <w:rFonts w:ascii="Times New Roman" w:hAnsi="Times New Roman" w:eastAsia="宋体" w:cs="Times New Roman"/>
              <w:sz w:val="18"/>
              <w:szCs w:val="18"/>
            </w:rPr>
          </w:sdtEndPr>
          <w:sdtContent>
            <w:tc>
              <w:tcPr>
                <w:tcW w:w="2278" w:type="pct"/>
                <w:gridSpan w:val="5"/>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616" w:type="pct"/>
            <w:vMerge w:val="continue"/>
            <w:tcBorders>
              <w:left w:val="single" w:color="auto" w:sz="4" w:space="0"/>
              <w:right w:val="single" w:color="auto" w:sz="4" w:space="0"/>
            </w:tcBorders>
            <w:vAlign w:val="center"/>
          </w:tcPr>
          <w:p>
            <w:pPr>
              <w:rPr>
                <w:rFonts w:ascii="Times New Roman" w:hAnsi="Times New Roman" w:eastAsia="宋体" w:cs="Times New Roman"/>
                <w:sz w:val="18"/>
                <w:szCs w:val="18"/>
              </w:rPr>
            </w:pPr>
          </w:p>
        </w:tc>
        <w:sdt>
          <w:sdtPr>
            <w:rPr>
              <w:rFonts w:ascii="Times New Roman" w:hAnsi="Times New Roman" w:eastAsia="宋体" w:cs="Times New Roman"/>
              <w:sz w:val="18"/>
              <w:szCs w:val="18"/>
            </w:rPr>
            <w:tag w:val="_PLD_696c52ce758e49deb616a7fb8df8ee20"/>
            <w:id w:val="26676"/>
          </w:sdtPr>
          <w:sdtEndPr>
            <w:rPr>
              <w:rFonts w:ascii="Times New Roman" w:hAnsi="Times New Roman" w:eastAsia="宋体" w:cs="Times New Roman"/>
              <w:sz w:val="18"/>
              <w:szCs w:val="18"/>
            </w:rPr>
          </w:sdtEndPr>
          <w:sdtContent>
            <w:tc>
              <w:tcPr>
                <w:tcW w:w="83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账面余额</w:t>
                </w:r>
              </w:p>
            </w:tc>
          </w:sdtContent>
        </w:sdt>
        <w:sdt>
          <w:sdtPr>
            <w:rPr>
              <w:rFonts w:ascii="Times New Roman" w:hAnsi="Times New Roman" w:eastAsia="宋体" w:cs="Times New Roman"/>
              <w:sz w:val="18"/>
              <w:szCs w:val="18"/>
            </w:rPr>
            <w:tag w:val="_PLD_1ca261fa1763424688ba2be8550f43e1"/>
            <w:id w:val="26677"/>
          </w:sdtPr>
          <w:sdtEndPr>
            <w:rPr>
              <w:rFonts w:ascii="Times New Roman" w:hAnsi="Times New Roman" w:eastAsia="宋体" w:cs="Times New Roman"/>
              <w:sz w:val="18"/>
              <w:szCs w:val="18"/>
            </w:rPr>
          </w:sdtEndPr>
          <w:sdtContent>
            <w:tc>
              <w:tcPr>
                <w:tcW w:w="82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坏账准备</w:t>
                </w:r>
              </w:p>
            </w:tc>
          </w:sdtContent>
        </w:sdt>
        <w:sdt>
          <w:sdtPr>
            <w:rPr>
              <w:rFonts w:ascii="Times New Roman" w:hAnsi="Times New Roman" w:eastAsia="宋体" w:cs="Times New Roman"/>
              <w:sz w:val="18"/>
              <w:szCs w:val="18"/>
            </w:rPr>
            <w:tag w:val="_PLD_caaf7fb85a4a432890635f2eb9c38cd5"/>
            <w:id w:val="26678"/>
          </w:sdtPr>
          <w:sdtEndPr>
            <w:rPr>
              <w:rFonts w:ascii="Times New Roman" w:hAnsi="Times New Roman" w:eastAsia="宋体" w:cs="Times New Roman"/>
              <w:sz w:val="18"/>
              <w:szCs w:val="18"/>
            </w:rPr>
          </w:sdtEndPr>
          <w:sdtContent>
            <w:tc>
              <w:tcPr>
                <w:tcW w:w="444"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账面</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价值</w:t>
                </w:r>
              </w:p>
            </w:tc>
          </w:sdtContent>
        </w:sdt>
        <w:sdt>
          <w:sdtPr>
            <w:rPr>
              <w:rFonts w:ascii="Times New Roman" w:hAnsi="Times New Roman" w:eastAsia="宋体" w:cs="Times New Roman"/>
              <w:sz w:val="18"/>
              <w:szCs w:val="18"/>
            </w:rPr>
            <w:tag w:val="_PLD_f01498a5d6634d7ab63dd393e266902a"/>
            <w:id w:val="26679"/>
          </w:sdtPr>
          <w:sdtEndPr>
            <w:rPr>
              <w:rFonts w:ascii="Times New Roman" w:hAnsi="Times New Roman" w:eastAsia="宋体" w:cs="Times New Roman"/>
              <w:sz w:val="18"/>
              <w:szCs w:val="18"/>
            </w:rPr>
          </w:sdtEndPr>
          <w:sdtContent>
            <w:tc>
              <w:tcPr>
                <w:tcW w:w="780" w:type="pct"/>
                <w:gridSpan w:val="2"/>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账面余额</w:t>
                </w:r>
              </w:p>
            </w:tc>
          </w:sdtContent>
        </w:sdt>
        <w:sdt>
          <w:sdtPr>
            <w:rPr>
              <w:rFonts w:ascii="Times New Roman" w:hAnsi="Times New Roman" w:eastAsia="宋体" w:cs="Times New Roman"/>
              <w:sz w:val="18"/>
              <w:szCs w:val="18"/>
            </w:rPr>
            <w:tag w:val="_PLD_e9336373677a4e1781b6e81f705c1bec"/>
            <w:id w:val="26680"/>
          </w:sdtPr>
          <w:sdtEndPr>
            <w:rPr>
              <w:rFonts w:ascii="Times New Roman" w:hAnsi="Times New Roman" w:eastAsia="宋体" w:cs="Times New Roman"/>
              <w:sz w:val="18"/>
              <w:szCs w:val="18"/>
            </w:rPr>
          </w:sdtEndPr>
          <w:sdtContent>
            <w:tc>
              <w:tcPr>
                <w:tcW w:w="871" w:type="pct"/>
                <w:gridSpan w:val="2"/>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坏账准备</w:t>
                </w:r>
              </w:p>
            </w:tc>
          </w:sdtContent>
        </w:sdt>
        <w:sdt>
          <w:sdtPr>
            <w:rPr>
              <w:rFonts w:ascii="Times New Roman" w:hAnsi="Times New Roman" w:eastAsia="宋体" w:cs="Times New Roman"/>
              <w:sz w:val="18"/>
              <w:szCs w:val="18"/>
            </w:rPr>
            <w:tag w:val="_PLD_09bacc527e7b4910a0c82606fe4a5754"/>
            <w:id w:val="26681"/>
          </w:sdtPr>
          <w:sdtEndPr>
            <w:rPr>
              <w:rFonts w:ascii="Times New Roman" w:hAnsi="Times New Roman" w:eastAsia="宋体" w:cs="Times New Roman"/>
              <w:sz w:val="18"/>
              <w:szCs w:val="18"/>
            </w:rPr>
          </w:sdtEndPr>
          <w:sdtContent>
            <w:tc>
              <w:tcPr>
                <w:tcW w:w="626"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账面</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616" w:type="pct"/>
            <w:vMerge w:val="continue"/>
            <w:tcBorders>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p>
        </w:tc>
        <w:sdt>
          <w:sdtPr>
            <w:rPr>
              <w:rFonts w:ascii="Times New Roman" w:hAnsi="Times New Roman" w:eastAsia="宋体" w:cs="Times New Roman"/>
              <w:sz w:val="18"/>
              <w:szCs w:val="18"/>
            </w:rPr>
            <w:tag w:val="_PLD_9a908e63a38c4885ae2f80c1b860b93a"/>
            <w:id w:val="26682"/>
          </w:sdtPr>
          <w:sdtEndPr>
            <w:rPr>
              <w:rFonts w:ascii="Times New Roman" w:hAnsi="Times New Roman" w:eastAsia="宋体" w:cs="Times New Roman"/>
              <w:sz w:val="18"/>
              <w:szCs w:val="18"/>
            </w:rPr>
          </w:sdtEndPr>
          <w:sdtContent>
            <w:tc>
              <w:tcPr>
                <w:tcW w:w="531"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金额</w:t>
                </w:r>
              </w:p>
            </w:tc>
          </w:sdtContent>
        </w:sdt>
        <w:sdt>
          <w:sdtPr>
            <w:rPr>
              <w:rFonts w:ascii="Times New Roman" w:hAnsi="Times New Roman" w:eastAsia="宋体" w:cs="Times New Roman"/>
              <w:sz w:val="18"/>
              <w:szCs w:val="18"/>
            </w:rPr>
            <w:tag w:val="_PLD_df211ff0344e48aa8266bff852c13d4a"/>
            <w:id w:val="26683"/>
          </w:sdtPr>
          <w:sdtEndPr>
            <w:rPr>
              <w:rFonts w:ascii="Times New Roman" w:hAnsi="Times New Roman" w:eastAsia="宋体" w:cs="Times New Roman"/>
              <w:sz w:val="18"/>
              <w:szCs w:val="18"/>
            </w:rPr>
          </w:sdtEndPr>
          <w:sdtContent>
            <w:tc>
              <w:tcPr>
                <w:tcW w:w="304"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比例</w:t>
                </w:r>
                <w:r>
                  <w:rPr>
                    <w:rFonts w:ascii="Times New Roman" w:hAnsi="Times New Roman" w:eastAsia="宋体" w:cs="Times New Roman"/>
                    <w:sz w:val="18"/>
                    <w:szCs w:val="18"/>
                  </w:rPr>
                  <w:t>(%)</w:t>
                </w:r>
              </w:p>
            </w:tc>
          </w:sdtContent>
        </w:sdt>
        <w:sdt>
          <w:sdtPr>
            <w:rPr>
              <w:rFonts w:ascii="Times New Roman" w:hAnsi="Times New Roman" w:eastAsia="宋体" w:cs="Times New Roman"/>
              <w:sz w:val="18"/>
              <w:szCs w:val="18"/>
            </w:rPr>
            <w:tag w:val="_PLD_bc7278fbd5c542a3abfb9a55090a49e0"/>
            <w:id w:val="26684"/>
          </w:sdtPr>
          <w:sdtEndPr>
            <w:rPr>
              <w:rFonts w:ascii="Times New Roman" w:hAnsi="Times New Roman" w:eastAsia="宋体" w:cs="Times New Roman"/>
              <w:sz w:val="18"/>
              <w:szCs w:val="18"/>
            </w:rPr>
          </w:sdtEndPr>
          <w:sdtContent>
            <w:tc>
              <w:tcPr>
                <w:tcW w:w="571"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金额</w:t>
                </w:r>
              </w:p>
            </w:tc>
          </w:sdtContent>
        </w:sdt>
        <w:sdt>
          <w:sdtPr>
            <w:rPr>
              <w:rFonts w:ascii="Times New Roman" w:hAnsi="Times New Roman" w:eastAsia="宋体" w:cs="Times New Roman"/>
              <w:sz w:val="18"/>
              <w:szCs w:val="18"/>
            </w:rPr>
            <w:tag w:val="_PLD_98f107e07b5b44938d61d6b0984d9e2b"/>
            <w:id w:val="26685"/>
          </w:sdtPr>
          <w:sdtEndPr>
            <w:rPr>
              <w:rFonts w:ascii="Times New Roman" w:hAnsi="Times New Roman" w:eastAsia="宋体" w:cs="Times New Roman"/>
              <w:sz w:val="18"/>
              <w:szCs w:val="18"/>
            </w:rPr>
          </w:sdtEndPr>
          <w:sdtContent>
            <w:tc>
              <w:tcPr>
                <w:tcW w:w="253"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计提比例</w:t>
                </w:r>
                <w:r>
                  <w:rPr>
                    <w:rFonts w:ascii="Times New Roman" w:hAnsi="Times New Roman" w:eastAsia="宋体" w:cs="Times New Roman"/>
                    <w:sz w:val="18"/>
                    <w:szCs w:val="18"/>
                  </w:rPr>
                  <w:t>(%)</w:t>
                </w:r>
              </w:p>
            </w:tc>
          </w:sdtContent>
        </w:sdt>
        <w:tc>
          <w:tcPr>
            <w:tcW w:w="444" w:type="pct"/>
            <w:vMerge w:val="continue"/>
            <w:tcBorders>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p>
        </w:tc>
        <w:sdt>
          <w:sdtPr>
            <w:rPr>
              <w:rFonts w:ascii="Times New Roman" w:hAnsi="Times New Roman" w:eastAsia="宋体" w:cs="Times New Roman"/>
              <w:sz w:val="18"/>
              <w:szCs w:val="18"/>
            </w:rPr>
            <w:tag w:val="_PLD_27c35a851bfc461b93652bdd1c4da46e"/>
            <w:id w:val="26686"/>
          </w:sdtPr>
          <w:sdtEndPr>
            <w:rPr>
              <w:rFonts w:ascii="Times New Roman" w:hAnsi="Times New Roman" w:eastAsia="宋体" w:cs="Times New Roman"/>
              <w:sz w:val="18"/>
              <w:szCs w:val="18"/>
            </w:rPr>
          </w:sdtEndPr>
          <w:sdtContent>
            <w:tc>
              <w:tcPr>
                <w:tcW w:w="499"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金额</w:t>
                </w:r>
              </w:p>
            </w:tc>
          </w:sdtContent>
        </w:sdt>
        <w:sdt>
          <w:sdtPr>
            <w:rPr>
              <w:rFonts w:ascii="Times New Roman" w:hAnsi="Times New Roman" w:eastAsia="宋体" w:cs="Times New Roman"/>
              <w:sz w:val="18"/>
              <w:szCs w:val="18"/>
            </w:rPr>
            <w:tag w:val="_PLD_8cdcb4d0cfc74ea299eeda00998b7eed"/>
            <w:id w:val="26687"/>
          </w:sdtPr>
          <w:sdtEndPr>
            <w:rPr>
              <w:rFonts w:ascii="Times New Roman" w:hAnsi="Times New Roman" w:eastAsia="宋体" w:cs="Times New Roman"/>
              <w:sz w:val="18"/>
              <w:szCs w:val="18"/>
            </w:rPr>
          </w:sdtEndPr>
          <w:sdtContent>
            <w:tc>
              <w:tcPr>
                <w:tcW w:w="281"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比例</w:t>
                </w:r>
                <w:r>
                  <w:rPr>
                    <w:rFonts w:ascii="Times New Roman" w:hAnsi="Times New Roman" w:eastAsia="宋体" w:cs="Times New Roman"/>
                    <w:sz w:val="18"/>
                    <w:szCs w:val="18"/>
                  </w:rPr>
                  <w:t>(%)</w:t>
                </w:r>
              </w:p>
            </w:tc>
          </w:sdtContent>
        </w:sdt>
        <w:sdt>
          <w:sdtPr>
            <w:rPr>
              <w:rFonts w:ascii="Times New Roman" w:hAnsi="Times New Roman" w:eastAsia="宋体" w:cs="Times New Roman"/>
              <w:sz w:val="18"/>
              <w:szCs w:val="18"/>
            </w:rPr>
            <w:tag w:val="_PLD_205ec069d7004eaba20d3af25a7dfeda"/>
            <w:id w:val="26688"/>
          </w:sdtPr>
          <w:sdtEndPr>
            <w:rPr>
              <w:rFonts w:ascii="Times New Roman" w:hAnsi="Times New Roman" w:eastAsia="宋体" w:cs="Times New Roman"/>
              <w:sz w:val="18"/>
              <w:szCs w:val="18"/>
            </w:rPr>
          </w:sdtEndPr>
          <w:sdtContent>
            <w:tc>
              <w:tcPr>
                <w:tcW w:w="476"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金额</w:t>
                </w:r>
              </w:p>
            </w:tc>
          </w:sdtContent>
        </w:sdt>
        <w:sdt>
          <w:sdtPr>
            <w:rPr>
              <w:rFonts w:ascii="Times New Roman" w:hAnsi="Times New Roman" w:eastAsia="宋体" w:cs="Times New Roman"/>
              <w:sz w:val="18"/>
              <w:szCs w:val="18"/>
            </w:rPr>
            <w:tag w:val="_PLD_cee6517bce154e26a5f2a917cc143a54"/>
            <w:id w:val="26689"/>
          </w:sdtPr>
          <w:sdtEndPr>
            <w:rPr>
              <w:rFonts w:ascii="Times New Roman" w:hAnsi="Times New Roman" w:eastAsia="宋体" w:cs="Times New Roman"/>
              <w:sz w:val="18"/>
              <w:szCs w:val="18"/>
            </w:rPr>
          </w:sdtEndPr>
          <w:sdtContent>
            <w:tc>
              <w:tcPr>
                <w:tcW w:w="394"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计提比例</w:t>
                </w:r>
                <w:r>
                  <w:rPr>
                    <w:rFonts w:ascii="Times New Roman" w:hAnsi="Times New Roman" w:eastAsia="宋体" w:cs="Times New Roman"/>
                    <w:sz w:val="18"/>
                    <w:szCs w:val="18"/>
                  </w:rPr>
                  <w:t>(%)</w:t>
                </w:r>
              </w:p>
            </w:tc>
          </w:sdtContent>
        </w:sdt>
        <w:tc>
          <w:tcPr>
            <w:tcW w:w="626" w:type="pct"/>
            <w:vMerge w:val="continue"/>
            <w:tcBorders>
              <w:left w:val="single" w:color="auto" w:sz="4" w:space="0"/>
              <w:bottom w:val="single" w:color="auto" w:sz="4" w:space="0"/>
              <w:right w:val="single" w:color="auto" w:sz="4" w:space="0"/>
            </w:tcBorders>
          </w:tcPr>
          <w:p>
            <w:pP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6" w:type="pct"/>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按单项计提坏账准备</w:t>
            </w:r>
          </w:p>
        </w:tc>
        <w:tc>
          <w:tcPr>
            <w:tcW w:w="53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21,727,698.01</w:t>
            </w:r>
          </w:p>
        </w:tc>
        <w:tc>
          <w:tcPr>
            <w:tcW w:w="30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15.34</w:t>
            </w:r>
          </w:p>
        </w:tc>
        <w:tc>
          <w:tcPr>
            <w:tcW w:w="57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21,727,698.01</w:t>
            </w:r>
          </w:p>
        </w:tc>
        <w:tc>
          <w:tcPr>
            <w:tcW w:w="2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100.00</w:t>
            </w:r>
          </w:p>
        </w:tc>
        <w:tc>
          <w:tcPr>
            <w:tcW w:w="4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p>
        </w:tc>
        <w:tc>
          <w:tcPr>
            <w:tcW w:w="49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21,778,156.02</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14.67</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21,778,156.02</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100.00</w:t>
            </w:r>
          </w:p>
        </w:tc>
        <w:tc>
          <w:tcPr>
            <w:tcW w:w="626" w:type="pct"/>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eastAsia="宋体" w:cs="Times New Roman"/>
              <w:sz w:val="18"/>
              <w:szCs w:val="18"/>
            </w:rPr>
            <w:tag w:val="_PLD_2843924a07e24276b2592afce851b5fd"/>
            <w:id w:val="26690"/>
          </w:sdtPr>
          <w:sdtEndPr>
            <w:rPr>
              <w:rFonts w:ascii="Times New Roman" w:hAnsi="Times New Roman" w:eastAsia="宋体" w:cs="Times New Roman"/>
              <w:sz w:val="18"/>
              <w:szCs w:val="18"/>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eastAsia="宋体" w:cs="Times New Roman"/>
              <w:sz w:val="18"/>
              <w:szCs w:val="18"/>
            </w:rPr>
            <w:alias w:val="按单项计提坏账准备的应收账款明细-类别"/>
            <w:tag w:val="_GBC_886eea3bd42a4a8b945a70eaa8cff3df"/>
            <w:id w:val="26691"/>
          </w:sdtPr>
          <w:sdtEndPr>
            <w:rPr>
              <w:rFonts w:ascii="Times New Roman" w:hAnsi="Times New Roman" w:eastAsia="宋体" w:cs="Times New Roman"/>
              <w:sz w:val="18"/>
              <w:szCs w:val="18"/>
            </w:rPr>
          </w:sdtEndPr>
          <w:sdtContent>
            <w:tc>
              <w:tcPr>
                <w:tcW w:w="616" w:type="pct"/>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 单项计提预期信用损失的应收账款</w:t>
                </w:r>
              </w:p>
            </w:tc>
          </w:sdtContent>
        </w:sdt>
        <w:tc>
          <w:tcPr>
            <w:tcW w:w="53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21,727,698.01</w:t>
            </w:r>
          </w:p>
        </w:tc>
        <w:tc>
          <w:tcPr>
            <w:tcW w:w="30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15.34</w:t>
            </w:r>
          </w:p>
        </w:tc>
        <w:tc>
          <w:tcPr>
            <w:tcW w:w="57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21,727,698.01</w:t>
            </w:r>
          </w:p>
        </w:tc>
        <w:tc>
          <w:tcPr>
            <w:tcW w:w="2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4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p>
        </w:tc>
        <w:tc>
          <w:tcPr>
            <w:tcW w:w="49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21,778,156.02</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14.67</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21,778,156.02</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100.00</w:t>
            </w:r>
          </w:p>
        </w:tc>
        <w:tc>
          <w:tcPr>
            <w:tcW w:w="626" w:type="pct"/>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6" w:type="pct"/>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按组合计提坏账准备</w:t>
            </w:r>
          </w:p>
        </w:tc>
        <w:tc>
          <w:tcPr>
            <w:tcW w:w="53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119,873,451.16</w:t>
            </w:r>
          </w:p>
        </w:tc>
        <w:tc>
          <w:tcPr>
            <w:tcW w:w="30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84.66</w:t>
            </w:r>
          </w:p>
        </w:tc>
        <w:tc>
          <w:tcPr>
            <w:tcW w:w="57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31,894,344.00</w:t>
            </w:r>
          </w:p>
        </w:tc>
        <w:tc>
          <w:tcPr>
            <w:tcW w:w="2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26.61</w:t>
            </w:r>
          </w:p>
        </w:tc>
        <w:tc>
          <w:tcPr>
            <w:tcW w:w="4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87,979,107.16</w:t>
            </w:r>
          </w:p>
        </w:tc>
        <w:tc>
          <w:tcPr>
            <w:tcW w:w="49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126,684,244.56</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85.33</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32,282,411.15</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25.48</w:t>
            </w:r>
          </w:p>
        </w:tc>
        <w:tc>
          <w:tcPr>
            <w:tcW w:w="62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94,401,833.41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eastAsia="宋体" w:cs="Times New Roman"/>
              <w:sz w:val="18"/>
              <w:szCs w:val="18"/>
            </w:rPr>
            <w:tag w:val="_PLD_ce0cfa8fc80147608db7db4b7ce1db69"/>
            <w:id w:val="26693"/>
          </w:sdtPr>
          <w:sdtEndPr>
            <w:rPr>
              <w:rFonts w:ascii="Times New Roman" w:hAnsi="Times New Roman" w:eastAsia="宋体" w:cs="Times New Roman"/>
              <w:sz w:val="18"/>
              <w:szCs w:val="18"/>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eastAsia="宋体" w:cs="Times New Roman"/>
              <w:sz w:val="18"/>
              <w:szCs w:val="18"/>
            </w:rPr>
            <w:alias w:val="按组合计提坏账准备的应收账款明细-组合名称"/>
            <w:tag w:val="_GBC_a216a551f9d54c89b88dad6bcecd942d"/>
            <w:id w:val="26694"/>
          </w:sdtPr>
          <w:sdtEndPr>
            <w:rPr>
              <w:rFonts w:ascii="Times New Roman" w:hAnsi="Times New Roman" w:eastAsia="宋体" w:cs="Times New Roman"/>
              <w:sz w:val="18"/>
              <w:szCs w:val="18"/>
            </w:rPr>
          </w:sdtEndPr>
          <w:sdtContent>
            <w:tc>
              <w:tcPr>
                <w:tcW w:w="616" w:type="pct"/>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8"/>
                    <w:szCs w:val="18"/>
                  </w:rPr>
                </w:pPr>
                <w:r>
                  <w:rPr>
                    <w:rFonts w:ascii="Arial" w:hAnsi="Arial" w:eastAsia="宋体" w:cs="Arial"/>
                    <w:bCs/>
                    <w:color w:val="000000"/>
                    <w:sz w:val="18"/>
                    <w:szCs w:val="18"/>
                  </w:rPr>
                  <w:t>按账龄组合</w:t>
                </w:r>
              </w:p>
            </w:tc>
          </w:sdtContent>
        </w:sdt>
        <w:tc>
          <w:tcPr>
            <w:tcW w:w="53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119,873,451.16</w:t>
            </w:r>
          </w:p>
        </w:tc>
        <w:tc>
          <w:tcPr>
            <w:tcW w:w="30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84.66</w:t>
            </w:r>
          </w:p>
        </w:tc>
        <w:tc>
          <w:tcPr>
            <w:tcW w:w="57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31,894,344.00</w:t>
            </w:r>
          </w:p>
        </w:tc>
        <w:tc>
          <w:tcPr>
            <w:tcW w:w="2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26.61</w:t>
            </w:r>
          </w:p>
        </w:tc>
        <w:tc>
          <w:tcPr>
            <w:tcW w:w="4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87,979,107.16</w:t>
            </w:r>
          </w:p>
        </w:tc>
        <w:tc>
          <w:tcPr>
            <w:tcW w:w="49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126,684,244.56</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85.33</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32,282,411.15</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25.48</w:t>
            </w:r>
          </w:p>
        </w:tc>
        <w:tc>
          <w:tcPr>
            <w:tcW w:w="62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94,401,833.41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1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合计</w:t>
            </w:r>
          </w:p>
        </w:tc>
        <w:tc>
          <w:tcPr>
            <w:tcW w:w="53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141,601,149.17</w:t>
            </w:r>
          </w:p>
        </w:tc>
        <w:tc>
          <w:tcPr>
            <w:tcW w:w="30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 100.00</w:t>
            </w:r>
          </w:p>
        </w:tc>
        <w:tc>
          <w:tcPr>
            <w:tcW w:w="57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53,622,042.01</w:t>
            </w:r>
          </w:p>
        </w:tc>
        <w:tc>
          <w:tcPr>
            <w:tcW w:w="2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  37.87</w:t>
            </w:r>
          </w:p>
        </w:tc>
        <w:tc>
          <w:tcPr>
            <w:tcW w:w="4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87,979,107.16</w:t>
            </w:r>
          </w:p>
        </w:tc>
        <w:tc>
          <w:tcPr>
            <w:tcW w:w="49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148,462,400.58</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 100.00</w:t>
            </w:r>
          </w:p>
        </w:tc>
        <w:tc>
          <w:tcPr>
            <w:tcW w:w="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54,060,567.17</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 36.41</w:t>
            </w:r>
          </w:p>
        </w:tc>
        <w:tc>
          <w:tcPr>
            <w:tcW w:w="62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sz w:val="18"/>
                <w:szCs w:val="18"/>
              </w:rPr>
            </w:pPr>
            <w:r>
              <w:rPr>
                <w:rFonts w:ascii="Times New Roman" w:hAnsi="Times New Roman" w:eastAsia="宋体" w:cs="Times New Roman"/>
                <w:sz w:val="18"/>
                <w:szCs w:val="18"/>
              </w:rPr>
              <w:t> 94,401,833.41</w:t>
            </w:r>
          </w:p>
        </w:tc>
      </w:tr>
    </w:tbl>
    <w:p/>
    <w:bookmarkEnd w:id="192"/>
    <w:p>
      <w:pPr>
        <w:rPr>
          <w:szCs w:val="21"/>
        </w:rPr>
      </w:pPr>
      <w:bookmarkStart w:id="193" w:name="_Hlk533606785"/>
      <w:r>
        <w:rPr>
          <w:rFonts w:hint="eastAsia"/>
          <w:szCs w:val="21"/>
        </w:rPr>
        <w:t>按单项计提坏账准备：</w:t>
      </w:r>
    </w:p>
    <w:sdt>
      <w:sdtPr>
        <w:rPr>
          <w:rFonts w:hint="eastAsia"/>
        </w:rPr>
        <w:alias w:val="是否适用：按单项计提坏账准备的应收账款详细情况[双击切换]"/>
        <w:tag w:val="_GBC_1add32cead514597854ff8ba7f5bf59e"/>
        <w:id w:val="26696"/>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266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266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8"/>
        <w:gridCol w:w="2646"/>
        <w:gridCol w:w="2649"/>
        <w:gridCol w:w="2646"/>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97fa41067b8749859d9b8b001dab9dde"/>
            <w:id w:val="26699"/>
          </w:sdtPr>
          <w:sdtEndPr>
            <w:rPr>
              <w:rFonts w:ascii="Times New Roman" w:hAnsi="Times New Roman"/>
            </w:rPr>
          </w:sdtEndPr>
          <w:sdtContent>
            <w:tc>
              <w:tcPr>
                <w:tcW w:w="1160" w:type="pct"/>
                <w:vMerge w:val="restart"/>
                <w:vAlign w:val="center"/>
              </w:tcPr>
              <w:p>
                <w:pPr>
                  <w:jc w:val="center"/>
                  <w:rPr>
                    <w:rFonts w:ascii="Times New Roman" w:hAnsi="Times New Roman"/>
                    <w:szCs w:val="21"/>
                  </w:rPr>
                </w:pPr>
                <w:r>
                  <w:rPr>
                    <w:rFonts w:hint="eastAsia" w:ascii="Times New Roman" w:hAnsi="Times New Roman"/>
                    <w:szCs w:val="21"/>
                  </w:rPr>
                  <w:t>名称</w:t>
                </w:r>
              </w:p>
            </w:tc>
          </w:sdtContent>
        </w:sdt>
        <w:sdt>
          <w:sdtPr>
            <w:rPr>
              <w:rFonts w:ascii="Times New Roman" w:hAnsi="Times New Roman"/>
            </w:rPr>
            <w:tag w:val="_PLD_53121e07f76046af9290059d0b8136d4"/>
            <w:id w:val="26700"/>
          </w:sdtPr>
          <w:sdtEndPr>
            <w:rPr>
              <w:rFonts w:ascii="Times New Roman" w:hAnsi="Times New Roman"/>
            </w:rPr>
          </w:sdtEndPr>
          <w:sdtContent>
            <w:tc>
              <w:tcPr>
                <w:tcW w:w="3840" w:type="pct"/>
                <w:gridSpan w:val="4"/>
                <w:vAlign w:val="center"/>
              </w:tcPr>
              <w:p>
                <w:pPr>
                  <w:jc w:val="center"/>
                  <w:rPr>
                    <w:rFonts w:ascii="Times New Roman" w:hAnsi="Times New Roman"/>
                    <w:szCs w:val="21"/>
                  </w:rPr>
                </w:pPr>
                <w:r>
                  <w:rPr>
                    <w:rFonts w:hint="eastAsia" w:ascii="Times New Roman" w:hAnsi="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pPr>
              <w:jc w:val="center"/>
              <w:rPr>
                <w:rFonts w:ascii="Times New Roman" w:hAnsi="Times New Roman"/>
                <w:szCs w:val="21"/>
              </w:rPr>
            </w:pPr>
          </w:p>
        </w:tc>
        <w:sdt>
          <w:sdtPr>
            <w:rPr>
              <w:rFonts w:ascii="Times New Roman" w:hAnsi="Times New Roman"/>
            </w:rPr>
            <w:tag w:val="_PLD_89b2d64d2083464fae141734d17523d3"/>
            <w:id w:val="26701"/>
          </w:sdtPr>
          <w:sdtEndPr>
            <w:rPr>
              <w:rFonts w:ascii="Times New Roman" w:hAnsi="Times New Roman"/>
            </w:rPr>
          </w:sdtEndPr>
          <w:sdtContent>
            <w:tc>
              <w:tcPr>
                <w:tcW w:w="939" w:type="pct"/>
                <w:vAlign w:val="center"/>
              </w:tcPr>
              <w:p>
                <w:pPr>
                  <w:jc w:val="center"/>
                  <w:rPr>
                    <w:rFonts w:ascii="Times New Roman" w:hAnsi="Times New Roman"/>
                    <w:szCs w:val="21"/>
                  </w:rPr>
                </w:pPr>
                <w:r>
                  <w:rPr>
                    <w:rFonts w:hint="eastAsia" w:ascii="Times New Roman" w:hAnsi="Times New Roman"/>
                    <w:szCs w:val="21"/>
                  </w:rPr>
                  <w:t>账面余额</w:t>
                </w:r>
              </w:p>
            </w:tc>
          </w:sdtContent>
        </w:sdt>
        <w:sdt>
          <w:sdtPr>
            <w:rPr>
              <w:rFonts w:ascii="Times New Roman" w:hAnsi="Times New Roman"/>
            </w:rPr>
            <w:tag w:val="_PLD_ace529544c544606915552a352f0e13b"/>
            <w:id w:val="26702"/>
          </w:sdtPr>
          <w:sdtEndPr>
            <w:rPr>
              <w:rFonts w:ascii="Times New Roman" w:hAnsi="Times New Roman"/>
            </w:rPr>
          </w:sdtEndPr>
          <w:sdtContent>
            <w:tc>
              <w:tcPr>
                <w:tcW w:w="940" w:type="pct"/>
                <w:vAlign w:val="center"/>
              </w:tcPr>
              <w:p>
                <w:pPr>
                  <w:jc w:val="center"/>
                  <w:rPr>
                    <w:rFonts w:ascii="Times New Roman" w:hAnsi="Times New Roman"/>
                    <w:szCs w:val="21"/>
                  </w:rPr>
                </w:pPr>
                <w:r>
                  <w:rPr>
                    <w:rFonts w:hint="eastAsia" w:ascii="Times New Roman" w:hAnsi="Times New Roman"/>
                    <w:szCs w:val="21"/>
                  </w:rPr>
                  <w:t>坏账准备</w:t>
                </w:r>
              </w:p>
            </w:tc>
          </w:sdtContent>
        </w:sdt>
        <w:sdt>
          <w:sdtPr>
            <w:rPr>
              <w:rFonts w:ascii="Times New Roman" w:hAnsi="Times New Roman"/>
            </w:rPr>
            <w:tag w:val="_PLD_8fd7658c68a540cf9892f97231c626d7"/>
            <w:id w:val="26703"/>
          </w:sdtPr>
          <w:sdtEndPr>
            <w:rPr>
              <w:rFonts w:ascii="Times New Roman" w:hAnsi="Times New Roman"/>
            </w:rPr>
          </w:sdtEndPr>
          <w:sdtContent>
            <w:tc>
              <w:tcPr>
                <w:tcW w:w="939" w:type="pct"/>
                <w:vAlign w:val="center"/>
              </w:tcPr>
              <w:p>
                <w:pPr>
                  <w:jc w:val="center"/>
                  <w:rPr>
                    <w:rFonts w:ascii="Times New Roman" w:hAnsi="Times New Roman"/>
                    <w:szCs w:val="21"/>
                  </w:rPr>
                </w:pPr>
                <w:r>
                  <w:rPr>
                    <w:rFonts w:ascii="Times New Roman" w:hAnsi="Times New Roman"/>
                    <w:szCs w:val="21"/>
                  </w:rPr>
                  <w:t>计提比例</w:t>
                </w:r>
                <w:r>
                  <w:rPr>
                    <w:rFonts w:hint="eastAsia" w:ascii="Times New Roman" w:hAnsi="Times New Roman"/>
                    <w:szCs w:val="21"/>
                  </w:rPr>
                  <w:t>（%）</w:t>
                </w:r>
              </w:p>
            </w:tc>
          </w:sdtContent>
        </w:sdt>
        <w:sdt>
          <w:sdtPr>
            <w:rPr>
              <w:rFonts w:ascii="Times New Roman" w:hAnsi="Times New Roman"/>
            </w:rPr>
            <w:tag w:val="_PLD_e9726e8171bb463ba9719bc643c14988"/>
            <w:id w:val="26704"/>
          </w:sdtPr>
          <w:sdtEndPr>
            <w:rPr>
              <w:rFonts w:ascii="Times New Roman" w:hAnsi="Times New Roman"/>
            </w:rPr>
          </w:sdtEndPr>
          <w:sdtContent>
            <w:tc>
              <w:tcPr>
                <w:tcW w:w="1023" w:type="pct"/>
                <w:vAlign w:val="center"/>
              </w:tcPr>
              <w:p>
                <w:pPr>
                  <w:jc w:val="center"/>
                  <w:rPr>
                    <w:rFonts w:ascii="Times New Roman" w:hAnsi="Times New Roman"/>
                    <w:szCs w:val="21"/>
                  </w:rPr>
                </w:pPr>
                <w:r>
                  <w:rPr>
                    <w:rFonts w:hint="eastAsia" w:ascii="Times New Roman" w:hAnsi="Times New Roman"/>
                    <w:szCs w:val="21"/>
                  </w:rPr>
                  <w:t>计提理由</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szCs w:val="21"/>
              </w:rPr>
            </w:pPr>
            <w:r>
              <w:rPr>
                <w:rFonts w:ascii="Times New Roman" w:hAnsi="Times New Roman"/>
              </w:rPr>
              <w:t>客户1</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tcPr>
          <w:p>
            <w:pPr>
              <w:jc w:val="center"/>
              <w:rPr>
                <w:rFonts w:ascii="Times New Roman" w:hAnsi="Times New Roman"/>
                <w:szCs w:val="21"/>
              </w:rPr>
            </w:pPr>
            <w:r>
              <w:rPr>
                <w:rFonts w:ascii="Times New Roman" w:hAnsi="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szCs w:val="21"/>
              </w:rPr>
            </w:pPr>
            <w:r>
              <w:rPr>
                <w:rFonts w:ascii="Times New Roman" w:hAnsi="Times New Roman"/>
              </w:rPr>
              <w:t>客户2</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2,079,197.55</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2,079,197.55</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tcPr>
          <w:p>
            <w:pPr>
              <w:jc w:val="center"/>
              <w:rPr>
                <w:rFonts w:ascii="Times New Roman" w:hAnsi="Times New Roman"/>
                <w:szCs w:val="21"/>
              </w:rPr>
            </w:pPr>
            <w:r>
              <w:rPr>
                <w:rFonts w:ascii="Times New Roman" w:hAnsi="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szCs w:val="21"/>
              </w:rPr>
            </w:pPr>
            <w:r>
              <w:rPr>
                <w:rFonts w:ascii="Times New Roman" w:hAnsi="Times New Roman"/>
              </w:rPr>
              <w:t>客户3</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734,898.87</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734,898.87</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tcPr>
          <w:p>
            <w:pPr>
              <w:jc w:val="center"/>
              <w:rPr>
                <w:rFonts w:ascii="Times New Roman" w:hAnsi="Times New Roman"/>
                <w:szCs w:val="21"/>
              </w:rPr>
            </w:pPr>
            <w:r>
              <w:rPr>
                <w:rFonts w:ascii="Times New Roman" w:hAnsi="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szCs w:val="21"/>
              </w:rPr>
            </w:pPr>
            <w:r>
              <w:rPr>
                <w:rFonts w:ascii="Times New Roman" w:hAnsi="Times New Roman"/>
              </w:rPr>
              <w:t>客户4</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616,115.30</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616,115.30</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tcPr>
          <w:p>
            <w:pPr>
              <w:jc w:val="center"/>
              <w:rPr>
                <w:rFonts w:ascii="Times New Roman" w:hAnsi="Times New Roman"/>
                <w:szCs w:val="21"/>
              </w:rPr>
            </w:pPr>
            <w:r>
              <w:rPr>
                <w:rFonts w:ascii="Times New Roman" w:hAnsi="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szCs w:val="21"/>
              </w:rPr>
            </w:pPr>
            <w:r>
              <w:rPr>
                <w:rFonts w:ascii="Times New Roman" w:hAnsi="Times New Roman"/>
              </w:rPr>
              <w:t>客户5</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554,277.71</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554,277.71</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tcPr>
          <w:p>
            <w:pPr>
              <w:jc w:val="center"/>
              <w:rPr>
                <w:rFonts w:ascii="Times New Roman" w:hAnsi="Times New Roman"/>
                <w:szCs w:val="21"/>
              </w:rPr>
            </w:pPr>
            <w:r>
              <w:rPr>
                <w:rFonts w:ascii="Times New Roman" w:hAnsi="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szCs w:val="21"/>
              </w:rPr>
            </w:pPr>
            <w:r>
              <w:rPr>
                <w:rFonts w:ascii="Times New Roman" w:hAnsi="Times New Roman"/>
              </w:rPr>
              <w:t>其他客户汇总</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2,133,964.11</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2,133,964.11</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023" w:type="pct"/>
          </w:tcPr>
          <w:p>
            <w:pPr>
              <w:jc w:val="center"/>
              <w:rPr>
                <w:rFonts w:ascii="Times New Roman" w:hAnsi="Times New Roman"/>
                <w:szCs w:val="21"/>
              </w:rPr>
            </w:pPr>
            <w:r>
              <w:rPr>
                <w:rFonts w:ascii="Times New Roman" w:hAnsi="Times New Roman"/>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jc w:val="center"/>
              <w:rPr>
                <w:rFonts w:ascii="Times New Roman" w:hAnsi="Times New Roman"/>
                <w:szCs w:val="21"/>
              </w:rPr>
            </w:pPr>
            <w:r>
              <w:rPr>
                <w:rFonts w:hint="eastAsia" w:ascii="Times New Roman" w:hAnsi="Times New Roman"/>
                <w:szCs w:val="21"/>
              </w:rPr>
              <w:t>合计</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21,727,698.01</w:t>
            </w:r>
          </w:p>
        </w:tc>
        <w:tc>
          <w:tcPr>
            <w:tcW w:w="940" w:type="pct"/>
          </w:tcPr>
          <w:p>
            <w:pPr>
              <w:jc w:val="right"/>
              <w:rPr>
                <w:rFonts w:hint="default" w:ascii="Times New Roman" w:hAnsi="Times New Roman" w:cs="Times New Roman"/>
                <w:szCs w:val="21"/>
              </w:rPr>
            </w:pPr>
            <w:r>
              <w:rPr>
                <w:rFonts w:hint="default" w:ascii="Times New Roman" w:hAnsi="Times New Roman" w:cs="Times New Roman"/>
              </w:rPr>
              <w:t>21,727,698.01</w:t>
            </w:r>
          </w:p>
        </w:tc>
        <w:tc>
          <w:tcPr>
            <w:tcW w:w="939" w:type="pct"/>
          </w:tcPr>
          <w:p>
            <w:pPr>
              <w:jc w:val="right"/>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023" w:type="pct"/>
            <w:vAlign w:val="center"/>
          </w:tcPr>
          <w:p>
            <w:pPr>
              <w:jc w:val="center"/>
              <w:rPr>
                <w:rFonts w:hint="eastAsia" w:ascii="Times New Roman" w:hAnsi="Times New Roman" w:eastAsia="宋体"/>
                <w:szCs w:val="21"/>
                <w:lang w:val="en-US" w:eastAsia="zh-CN"/>
              </w:rPr>
            </w:pPr>
            <w:r>
              <w:rPr>
                <w:rFonts w:hint="default" w:ascii="Times New Roman" w:hAnsi="Times New Roman" w:cs="Times New Roman"/>
                <w:szCs w:val="21"/>
                <w:lang w:val="en-US" w:eastAsia="zh-CN"/>
              </w:rPr>
              <w:t>/</w:t>
            </w:r>
          </w:p>
        </w:tc>
      </w:tr>
    </w:tbl>
    <w:p/>
    <w:p>
      <w:pPr>
        <w:sectPr>
          <w:pgSz w:w="16838" w:h="11906" w:orient="landscape"/>
          <w:pgMar w:top="1276" w:right="1440" w:bottom="1797" w:left="1525" w:header="856" w:footer="992" w:gutter="0"/>
          <w:cols w:space="425" w:num="1"/>
          <w:docGrid w:linePitch="312" w:charSpace="0"/>
        </w:sectPr>
      </w:pPr>
    </w:p>
    <w:p/>
    <w:p>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26705"/>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193"/>
    <w:sdt>
      <w:sdtPr>
        <w:rPr>
          <w:rFonts w:hint="eastAsia"/>
          <w:szCs w:val="21"/>
        </w:rPr>
        <w:tag w:val="_PLD_21b31dda4e9f44bd901ccb9e126e1392"/>
        <w:id w:val="26706"/>
        <w:placeholder>
          <w:docPart w:val="GBC22222222222222222222222222222"/>
        </w:placeholder>
      </w:sdtPr>
      <w:sdtEndPr>
        <w:rPr>
          <w:rFonts w:hint="eastAsia"/>
          <w:szCs w:val="21"/>
        </w:rPr>
      </w:sdtEndPr>
      <w:sdtContent>
        <w:p>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6707"/>
        <w:lock w:val="contentLocked"/>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rPr>
          <w:szCs w:val="21"/>
        </w:rPr>
      </w:pPr>
      <w:bookmarkStart w:id="194" w:name="_Hlk533607573"/>
      <w:r>
        <w:rPr>
          <w:rFonts w:hint="eastAsia"/>
          <w:szCs w:val="21"/>
        </w:rPr>
        <w:t>组合计提项目：</w:t>
      </w:r>
      <w:sdt>
        <w:sdtPr>
          <w:rPr>
            <w:rFonts w:hint="eastAsia"/>
            <w:szCs w:val="21"/>
          </w:rPr>
          <w:alias w:val="按组合计提坏账准备的应收账款明细-组合名称"/>
          <w:tag w:val="_GBC_a99af83acd7e492a99d5eed2536b8adb"/>
          <w:id w:val="26708"/>
          <w:placeholder>
            <w:docPart w:val="GBC22222222222222222222222222222"/>
          </w:placeholder>
          <w:comboBox>
            <w:listItem w:displayText="按账龄组合" w:value="按账龄组合"/>
          </w:comboBox>
        </w:sdtPr>
        <w:sdtEndPr>
          <w:rPr>
            <w:rFonts w:hint="eastAsia"/>
            <w:szCs w:val="21"/>
          </w:rPr>
        </w:sdtEndPr>
        <w:sdtContent>
          <w:r>
            <w:rPr>
              <w:rFonts w:hint="eastAsia" w:ascii="宋体" w:hAnsi="宋体" w:eastAsia="宋体" w:cs="宋体"/>
              <w:sz w:val="21"/>
              <w:szCs w:val="21"/>
              <w:lang w:val="en-US" w:eastAsia="zh-CN" w:bidi="ar-SA"/>
            </w:rPr>
            <w:t>按账龄组合</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267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267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26711"/>
          </w:sdtPr>
          <w:sdtContent>
            <w:tc>
              <w:tcPr>
                <w:tcW w:w="1158" w:type="pct"/>
                <w:vMerge w:val="restart"/>
                <w:vAlign w:val="center"/>
              </w:tcPr>
              <w:p>
                <w:pPr>
                  <w:jc w:val="center"/>
                  <w:rPr>
                    <w:szCs w:val="21"/>
                  </w:rPr>
                </w:pPr>
                <w:r>
                  <w:rPr>
                    <w:rFonts w:hint="eastAsia"/>
                    <w:szCs w:val="21"/>
                  </w:rPr>
                  <w:t>名称</w:t>
                </w:r>
              </w:p>
            </w:tc>
          </w:sdtContent>
        </w:sdt>
        <w:sdt>
          <w:sdtPr>
            <w:tag w:val="_PLD_2ea73da2ba22410090605fad4228c06a"/>
            <w:id w:val="26712"/>
          </w:sdtPr>
          <w:sdtContent>
            <w:tc>
              <w:tcPr>
                <w:tcW w:w="3842" w:type="pct"/>
                <w:gridSpan w:val="3"/>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szCs w:val="21"/>
              </w:rPr>
            </w:pPr>
          </w:p>
        </w:tc>
        <w:sdt>
          <w:sdtPr>
            <w:tag w:val="_PLD_841eb33e3b60464dbe6b3cefac602503"/>
            <w:id w:val="26713"/>
          </w:sdtPr>
          <w:sdtContent>
            <w:tc>
              <w:tcPr>
                <w:tcW w:w="1276" w:type="pct"/>
                <w:vAlign w:val="center"/>
              </w:tcPr>
              <w:p>
                <w:pPr>
                  <w:jc w:val="center"/>
                  <w:rPr>
                    <w:szCs w:val="21"/>
                  </w:rPr>
                </w:pPr>
                <w:r>
                  <w:rPr>
                    <w:rFonts w:hint="eastAsia"/>
                    <w:szCs w:val="21"/>
                  </w:rPr>
                  <w:t>应收账款</w:t>
                </w:r>
              </w:p>
            </w:tc>
          </w:sdtContent>
        </w:sdt>
        <w:sdt>
          <w:sdtPr>
            <w:tag w:val="_PLD_b28da65f0aac478c80ab20a817d350ac"/>
            <w:id w:val="26714"/>
          </w:sdtPr>
          <w:sdtContent>
            <w:tc>
              <w:tcPr>
                <w:tcW w:w="1299" w:type="pct"/>
                <w:vAlign w:val="center"/>
              </w:tcPr>
              <w:p>
                <w:pPr>
                  <w:jc w:val="center"/>
                  <w:rPr>
                    <w:szCs w:val="21"/>
                  </w:rPr>
                </w:pPr>
                <w:r>
                  <w:rPr>
                    <w:rFonts w:hint="eastAsia"/>
                    <w:szCs w:val="21"/>
                  </w:rPr>
                  <w:t>坏账准备</w:t>
                </w:r>
              </w:p>
            </w:tc>
          </w:sdtContent>
        </w:sdt>
        <w:sdt>
          <w:sdtPr>
            <w:tag w:val="_PLD_98321f537bf94701b17705eae6c543e2"/>
            <w:id w:val="26715"/>
          </w:sdtPr>
          <w:sdtContent>
            <w:tc>
              <w:tcPr>
                <w:tcW w:w="1267" w:type="pct"/>
                <w:vAlign w:val="center"/>
              </w:tcPr>
              <w:p>
                <w:pPr>
                  <w:jc w:val="center"/>
                  <w:rPr>
                    <w:szCs w:val="21"/>
                  </w:rPr>
                </w:pPr>
                <w:r>
                  <w:rPr>
                    <w:szCs w:val="21"/>
                  </w:rPr>
                  <w:t>计提比例</w:t>
                </w:r>
                <w:r>
                  <w:rPr>
                    <w:rFonts w:hint="eastAsia"/>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8" w:type="pct"/>
          </w:tcPr>
          <w:p>
            <w:pPr>
              <w:rPr>
                <w:rFonts w:hint="default" w:ascii="Times New Roman" w:hAnsi="Times New Roman" w:cs="Times New Roman"/>
                <w:szCs w:val="21"/>
              </w:rPr>
            </w:pPr>
            <w:r>
              <w:rPr>
                <w:rFonts w:hint="default" w:ascii="Times New Roman" w:hAnsi="Times New Roman" w:cs="Times New Roman"/>
              </w:rPr>
              <w:t>0.5年以内</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 xml:space="preserve">69,608,261.12 </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 </w:t>
            </w:r>
          </w:p>
        </w:tc>
        <w:tc>
          <w:tcPr>
            <w:tcW w:w="1267" w:type="pct"/>
          </w:tcPr>
          <w:p>
            <w:pPr>
              <w:jc w:val="right"/>
              <w:rPr>
                <w:rFonts w:hint="default" w:ascii="Times New Roman" w:hAnsi="Times New Roman" w:cs="Times New Roman"/>
                <w:szCs w:val="21"/>
              </w:rPr>
            </w:pPr>
            <w:r>
              <w:rPr>
                <w:rFonts w:hint="default" w:ascii="Times New Roman" w:hAnsi="Times New Roman"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hint="default" w:ascii="Times New Roman" w:hAnsi="Times New Roman" w:cs="Times New Roman"/>
                <w:szCs w:val="21"/>
              </w:rPr>
            </w:pPr>
            <w:r>
              <w:rPr>
                <w:rFonts w:hint="default" w:ascii="Times New Roman" w:hAnsi="Times New Roman" w:cs="Times New Roman"/>
              </w:rPr>
              <w:t>0.5年至1年</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3,625,508.46</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181,275.43</w:t>
            </w:r>
          </w:p>
        </w:tc>
        <w:tc>
          <w:tcPr>
            <w:tcW w:w="1267" w:type="pct"/>
          </w:tcPr>
          <w:p>
            <w:pPr>
              <w:jc w:val="right"/>
              <w:rPr>
                <w:rFonts w:hint="default" w:ascii="Times New Roman" w:hAnsi="Times New Roman" w:cs="Times New Roman"/>
                <w:szCs w:val="21"/>
              </w:rPr>
            </w:pPr>
            <w:r>
              <w:rPr>
                <w:rFonts w:hint="default"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hint="default" w:ascii="Times New Roman" w:hAnsi="Times New Roman" w:cs="Times New Roman"/>
                <w:szCs w:val="21"/>
              </w:rPr>
            </w:pPr>
            <w:r>
              <w:rPr>
                <w:rFonts w:hint="default" w:ascii="Times New Roman" w:hAnsi="Times New Roman" w:cs="Times New Roman"/>
              </w:rPr>
              <w:t>1年以内小计</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12,748,717.17</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1,274,871.72</w:t>
            </w:r>
          </w:p>
        </w:tc>
        <w:tc>
          <w:tcPr>
            <w:tcW w:w="1267" w:type="pct"/>
          </w:tcPr>
          <w:p>
            <w:pPr>
              <w:jc w:val="right"/>
              <w:rPr>
                <w:rFonts w:hint="default" w:ascii="Times New Roman" w:hAnsi="Times New Roman" w:cs="Times New Roman"/>
                <w:szCs w:val="21"/>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hint="default" w:ascii="Times New Roman" w:hAnsi="Times New Roman" w:cs="Times New Roman"/>
                <w:szCs w:val="21"/>
              </w:rPr>
            </w:pPr>
            <w:r>
              <w:rPr>
                <w:rFonts w:hint="default" w:ascii="Times New Roman" w:hAnsi="Times New Roman" w:cs="Times New Roman"/>
              </w:rPr>
              <w:t>1－2年</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2,845,116.75</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569,023.35</w:t>
            </w:r>
          </w:p>
        </w:tc>
        <w:tc>
          <w:tcPr>
            <w:tcW w:w="1267" w:type="pct"/>
          </w:tcPr>
          <w:p>
            <w:pPr>
              <w:jc w:val="right"/>
              <w:rPr>
                <w:rFonts w:hint="default" w:ascii="Times New Roman" w:hAnsi="Times New Roman" w:cs="Times New Roman"/>
                <w:szCs w:val="21"/>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hint="default" w:ascii="Times New Roman" w:hAnsi="Times New Roman" w:cs="Times New Roman"/>
                <w:szCs w:val="21"/>
              </w:rPr>
            </w:pPr>
            <w:r>
              <w:rPr>
                <w:rFonts w:hint="default" w:ascii="Times New Roman" w:hAnsi="Times New Roman" w:cs="Times New Roman"/>
              </w:rPr>
              <w:t>2－3年</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 xml:space="preserve">1,961,123.60 </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784,449.44</w:t>
            </w:r>
          </w:p>
        </w:tc>
        <w:tc>
          <w:tcPr>
            <w:tcW w:w="1267" w:type="pct"/>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hint="default" w:ascii="Times New Roman" w:hAnsi="Times New Roman" w:cs="Times New Roman"/>
                <w:szCs w:val="21"/>
              </w:rPr>
            </w:pPr>
            <w:r>
              <w:rPr>
                <w:rFonts w:hint="default" w:ascii="Times New Roman" w:hAnsi="Times New Roman" w:cs="Times New Roman"/>
              </w:rPr>
              <w:t>3－5年</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29,084,724.06</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29,084,724.06</w:t>
            </w:r>
          </w:p>
        </w:tc>
        <w:tc>
          <w:tcPr>
            <w:tcW w:w="1267" w:type="pct"/>
          </w:tcPr>
          <w:p>
            <w:pPr>
              <w:jc w:val="right"/>
              <w:rPr>
                <w:rFonts w:hint="default" w:ascii="Times New Roman" w:hAnsi="Times New Roman" w:cs="Times New Roman"/>
                <w:szCs w:val="21"/>
              </w:rPr>
            </w:pP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276" w:type="pct"/>
          </w:tcPr>
          <w:p>
            <w:pPr>
              <w:jc w:val="right"/>
              <w:rPr>
                <w:rFonts w:hint="default" w:ascii="Times New Roman" w:hAnsi="Times New Roman" w:cs="Times New Roman"/>
                <w:szCs w:val="21"/>
              </w:rPr>
            </w:pPr>
            <w:r>
              <w:rPr>
                <w:rFonts w:hint="default" w:ascii="Times New Roman" w:hAnsi="Times New Roman" w:cs="Times New Roman"/>
              </w:rPr>
              <w:t>119,873,451.16</w:t>
            </w:r>
          </w:p>
        </w:tc>
        <w:tc>
          <w:tcPr>
            <w:tcW w:w="1299" w:type="pct"/>
          </w:tcPr>
          <w:p>
            <w:pPr>
              <w:jc w:val="right"/>
              <w:rPr>
                <w:rFonts w:hint="default" w:ascii="Times New Roman" w:hAnsi="Times New Roman" w:cs="Times New Roman"/>
                <w:szCs w:val="21"/>
              </w:rPr>
            </w:pPr>
            <w:r>
              <w:rPr>
                <w:rFonts w:hint="default" w:ascii="Times New Roman" w:hAnsi="Times New Roman" w:cs="Times New Roman"/>
              </w:rPr>
              <w:t>31,894,344.00</w:t>
            </w:r>
          </w:p>
        </w:tc>
        <w:tc>
          <w:tcPr>
            <w:tcW w:w="1267" w:type="pct"/>
          </w:tcPr>
          <w:p>
            <w:pPr>
              <w:jc w:val="right"/>
              <w:rPr>
                <w:rFonts w:hint="default" w:ascii="Times New Roman" w:hAnsi="Times New Roman" w:cs="Times New Roman"/>
                <w:szCs w:val="21"/>
              </w:rPr>
            </w:pPr>
            <w:r>
              <w:rPr>
                <w:rFonts w:hint="default" w:ascii="Times New Roman" w:hAnsi="Times New Roman" w:cs="Times New Roman"/>
              </w:rPr>
              <w:t>26.61</w:t>
            </w:r>
          </w:p>
        </w:tc>
      </w:tr>
    </w:tbl>
    <w:p/>
    <w:p/>
    <w:p>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2671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194"/>
    <w:p>
      <w:pPr>
        <w:rPr>
          <w:rFonts w:cstheme="minorBidi"/>
          <w:bCs/>
          <w:szCs w:val="22"/>
        </w:rPr>
      </w:pPr>
      <w:bookmarkStart w:id="195" w:name="_Hlk154134618"/>
      <w:bookmarkStart w:id="196" w:name="_Hlk153357523"/>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26717"/>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cstheme="minorBidi"/>
          <w:bCs/>
          <w:szCs w:val="22"/>
        </w:rPr>
      </w:pPr>
    </w:p>
    <w:p>
      <w:pPr>
        <w:autoSpaceDE w:val="0"/>
        <w:autoSpaceDN w:val="0"/>
        <w:adjustRightInd w:val="0"/>
        <w:ind w:right="105" w:rightChars="50"/>
        <w:rPr>
          <w:szCs w:val="21"/>
          <w:highlight w:val="none"/>
        </w:rPr>
      </w:pPr>
      <w:r>
        <w:rPr>
          <w:rFonts w:hint="eastAsia"/>
          <w:szCs w:val="21"/>
          <w:highlight w:val="none"/>
        </w:rPr>
        <w:t>各阶段划分依据和坏账准备计提比例</w:t>
      </w:r>
    </w:p>
    <w:sdt>
      <w:sdtPr>
        <w:rPr>
          <w:rFonts w:cs="Times New Roman"/>
          <w:bCs/>
          <w:szCs w:val="22"/>
          <w:highlight w:val="none"/>
        </w:rPr>
        <w:alias w:val="各阶段划分依据和坏账准备计提比例"/>
        <w:tag w:val="_GBC_fefa2e57cd9349fba804e9f0aa553bb9"/>
        <w:id w:val="26718"/>
        <w:placeholder>
          <w:docPart w:val="GBC22222222222222222222222222222"/>
        </w:placeholder>
      </w:sdtPr>
      <w:sdtEndPr>
        <w:rPr>
          <w:rFonts w:cs="Times New Roman"/>
          <w:bCs/>
          <w:szCs w:val="22"/>
          <w:highlight w:val="none"/>
        </w:rPr>
      </w:sdtEndPr>
      <w:sdtContent>
        <w:p>
          <w:pPr>
            <w:rPr>
              <w:rFonts w:cs="Times New Roman"/>
              <w:bCs/>
              <w:szCs w:val="22"/>
              <w:highlight w:val="none"/>
            </w:rPr>
          </w:pPr>
          <w:r>
            <w:rPr>
              <w:rFonts w:hint="eastAsia" w:cs="Times New Roman"/>
              <w:bCs/>
              <w:szCs w:val="22"/>
              <w:highlight w:val="none"/>
              <w:lang w:eastAsia="zh-CN"/>
            </w:rPr>
            <w:t>无</w:t>
          </w:r>
        </w:p>
      </w:sdtContent>
    </w:sdt>
    <w:p>
      <w:pPr>
        <w:rPr>
          <w:rFonts w:asciiTheme="minorHAnsi" w:hAnsiTheme="minorHAnsi" w:cstheme="minorBidi"/>
          <w:b/>
          <w:bCs/>
          <w:szCs w:val="22"/>
        </w:rPr>
      </w:pPr>
    </w:p>
    <w:p>
      <w:pPr>
        <w:pStyle w:val="288"/>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26719"/>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195"/>
    <w:bookmarkEnd w:id="196"/>
    <w:p>
      <w:pPr>
        <w:pStyle w:val="196"/>
        <w:numPr>
          <w:ilvl w:val="3"/>
          <w:numId w:val="73"/>
        </w:numPr>
        <w:ind w:left="426" w:hanging="426"/>
      </w:pPr>
      <w:bookmarkStart w:id="197" w:name="_Hlk532991911"/>
      <w:r>
        <w:rPr>
          <w:rFonts w:hint="eastAsia"/>
        </w:rPr>
        <w:t>坏账准备的情况</w:t>
      </w:r>
    </w:p>
    <w:sdt>
      <w:sdtPr>
        <w:alias w:val="是否适用：应收账款坏账准备[双击切换]"/>
        <w:tag w:val="_GBC_9f417fa21150444abc4efab15ee99d53"/>
        <w:id w:val="26721"/>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64"/>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267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账款坏账准备"/>
          <w:tag w:val="_GBC_0ea3ceddf10d4313a5111e5088ac98cf"/>
          <w:id w:val="267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97"/>
        <w:gridCol w:w="1434"/>
        <w:gridCol w:w="784"/>
        <w:gridCol w:w="1336"/>
        <w:gridCol w:w="1557"/>
        <w:gridCol w:w="1117"/>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21"/>
              <w:szCs w:val="21"/>
            </w:rPr>
            <w:tag w:val="_PLD_4744c2787819466dad3d228aea9d34a1"/>
            <w:id w:val="26724"/>
          </w:sdtPr>
          <w:sdtEndPr>
            <w:rPr>
              <w:sz w:val="21"/>
              <w:szCs w:val="21"/>
            </w:rPr>
          </w:sdtEndPr>
          <w:sdtContent>
            <w:tc>
              <w:tcPr>
                <w:tcW w:w="771" w:type="pct"/>
                <w:vMerge w:val="restart"/>
                <w:shd w:val="clear" w:color="auto" w:fill="FFFFFF"/>
                <w:vAlign w:val="center"/>
              </w:tcPr>
              <w:p>
                <w:pPr>
                  <w:widowControl w:val="0"/>
                  <w:jc w:val="center"/>
                  <w:rPr>
                    <w:sz w:val="21"/>
                    <w:szCs w:val="21"/>
                  </w:rPr>
                </w:pPr>
                <w:r>
                  <w:rPr>
                    <w:sz w:val="21"/>
                    <w:szCs w:val="21"/>
                  </w:rPr>
                  <w:t>类别</w:t>
                </w:r>
              </w:p>
            </w:tc>
          </w:sdtContent>
        </w:sdt>
        <w:sdt>
          <w:sdtPr>
            <w:rPr>
              <w:sz w:val="21"/>
              <w:szCs w:val="21"/>
            </w:rPr>
            <w:tag w:val="_PLD_c730e797b90345869cdb1a0f449d27c4"/>
            <w:id w:val="26725"/>
          </w:sdtPr>
          <w:sdtEndPr>
            <w:rPr>
              <w:sz w:val="21"/>
              <w:szCs w:val="21"/>
            </w:rPr>
          </w:sdtEndPr>
          <w:sdtContent>
            <w:tc>
              <w:tcPr>
                <w:tcW w:w="791" w:type="pct"/>
                <w:vMerge w:val="restart"/>
                <w:shd w:val="clear" w:color="auto" w:fill="FFFFFF"/>
                <w:vAlign w:val="center"/>
              </w:tcPr>
              <w:p>
                <w:pPr>
                  <w:widowControl w:val="0"/>
                  <w:jc w:val="center"/>
                  <w:rPr>
                    <w:sz w:val="21"/>
                    <w:szCs w:val="21"/>
                  </w:rPr>
                </w:pPr>
                <w:r>
                  <w:rPr>
                    <w:sz w:val="21"/>
                    <w:szCs w:val="21"/>
                  </w:rPr>
                  <w:t>期初余额</w:t>
                </w:r>
              </w:p>
            </w:tc>
          </w:sdtContent>
        </w:sdt>
        <w:sdt>
          <w:sdtPr>
            <w:rPr>
              <w:sz w:val="21"/>
              <w:szCs w:val="21"/>
            </w:rPr>
            <w:tag w:val="_PLD_b648ee5a72ff43aabfa5e5467354f612"/>
            <w:id w:val="26726"/>
          </w:sdtPr>
          <w:sdtEndPr>
            <w:rPr>
              <w:sz w:val="21"/>
              <w:szCs w:val="21"/>
            </w:rPr>
          </w:sdtEndPr>
          <w:sdtContent>
            <w:tc>
              <w:tcPr>
                <w:tcW w:w="2645" w:type="pct"/>
                <w:gridSpan w:val="4"/>
                <w:shd w:val="clear" w:color="auto" w:fill="FFFFFF"/>
                <w:vAlign w:val="center"/>
              </w:tcPr>
              <w:p>
                <w:pPr>
                  <w:widowControl w:val="0"/>
                  <w:jc w:val="center"/>
                  <w:rPr>
                    <w:sz w:val="21"/>
                    <w:szCs w:val="21"/>
                  </w:rPr>
                </w:pPr>
                <w:r>
                  <w:rPr>
                    <w:rFonts w:hint="eastAsia"/>
                    <w:sz w:val="21"/>
                    <w:szCs w:val="21"/>
                  </w:rPr>
                  <w:t>本期变动</w:t>
                </w:r>
                <w:r>
                  <w:rPr>
                    <w:sz w:val="21"/>
                    <w:szCs w:val="21"/>
                  </w:rPr>
                  <w:t>金额</w:t>
                </w:r>
              </w:p>
            </w:tc>
          </w:sdtContent>
        </w:sdt>
        <w:sdt>
          <w:sdtPr>
            <w:rPr>
              <w:sz w:val="21"/>
              <w:szCs w:val="21"/>
            </w:rPr>
            <w:tag w:val="_PLD_670842119a0446778c0343318379e7bb"/>
            <w:id w:val="26727"/>
          </w:sdtPr>
          <w:sdtEndPr>
            <w:rPr>
              <w:sz w:val="21"/>
              <w:szCs w:val="21"/>
            </w:rPr>
          </w:sdtEndPr>
          <w:sdtContent>
            <w:tc>
              <w:tcPr>
                <w:tcW w:w="791" w:type="pct"/>
                <w:vMerge w:val="restart"/>
                <w:shd w:val="clear" w:color="auto" w:fill="FFFFFF"/>
                <w:vAlign w:val="center"/>
              </w:tcPr>
              <w:p>
                <w:pPr>
                  <w:widowControl w:val="0"/>
                  <w:jc w:val="center"/>
                  <w:rPr>
                    <w:sz w:val="21"/>
                    <w:szCs w:val="21"/>
                  </w:rPr>
                </w:pPr>
                <w:r>
                  <w:rPr>
                    <w:sz w:val="21"/>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1" w:type="pct"/>
            <w:vMerge w:val="continue"/>
            <w:shd w:val="clear" w:color="auto" w:fill="FFFFFF"/>
          </w:tcPr>
          <w:p>
            <w:pPr>
              <w:widowControl w:val="0"/>
              <w:jc w:val="center"/>
              <w:rPr>
                <w:sz w:val="21"/>
                <w:szCs w:val="21"/>
              </w:rPr>
            </w:pPr>
          </w:p>
        </w:tc>
        <w:tc>
          <w:tcPr>
            <w:tcW w:w="791" w:type="pct"/>
            <w:vMerge w:val="continue"/>
            <w:shd w:val="clear" w:color="auto" w:fill="FFFFFF"/>
          </w:tcPr>
          <w:p>
            <w:pPr>
              <w:widowControl w:val="0"/>
              <w:jc w:val="center"/>
              <w:rPr>
                <w:sz w:val="21"/>
                <w:szCs w:val="21"/>
              </w:rPr>
            </w:pPr>
          </w:p>
        </w:tc>
        <w:sdt>
          <w:sdtPr>
            <w:rPr>
              <w:sz w:val="21"/>
              <w:szCs w:val="21"/>
            </w:rPr>
            <w:tag w:val="_PLD_9f89b7b6eb974ea9b6438eecb96ab8d7"/>
            <w:id w:val="26728"/>
          </w:sdtPr>
          <w:sdtEndPr>
            <w:rPr>
              <w:sz w:val="21"/>
              <w:szCs w:val="21"/>
            </w:rPr>
          </w:sdtEndPr>
          <w:sdtContent>
            <w:tc>
              <w:tcPr>
                <w:tcW w:w="433" w:type="pct"/>
                <w:shd w:val="clear" w:color="auto" w:fill="FFFFFF"/>
                <w:vAlign w:val="center"/>
              </w:tcPr>
              <w:p>
                <w:pPr>
                  <w:widowControl w:val="0"/>
                  <w:jc w:val="center"/>
                  <w:rPr>
                    <w:sz w:val="21"/>
                    <w:szCs w:val="21"/>
                  </w:rPr>
                </w:pPr>
                <w:r>
                  <w:rPr>
                    <w:sz w:val="21"/>
                    <w:szCs w:val="21"/>
                  </w:rPr>
                  <w:t>计提</w:t>
                </w:r>
              </w:p>
            </w:tc>
          </w:sdtContent>
        </w:sdt>
        <w:sdt>
          <w:sdtPr>
            <w:rPr>
              <w:sz w:val="21"/>
              <w:szCs w:val="21"/>
            </w:rPr>
            <w:tag w:val="_PLD_d83025520e1c49cb905bac81a5fe67a9"/>
            <w:id w:val="26729"/>
          </w:sdtPr>
          <w:sdtEndPr>
            <w:rPr>
              <w:sz w:val="21"/>
              <w:szCs w:val="21"/>
            </w:rPr>
          </w:sdtEndPr>
          <w:sdtContent>
            <w:tc>
              <w:tcPr>
                <w:tcW w:w="737" w:type="pct"/>
                <w:shd w:val="clear" w:color="auto" w:fill="FFFFFF"/>
                <w:vAlign w:val="center"/>
              </w:tcPr>
              <w:p>
                <w:pPr>
                  <w:widowControl w:val="0"/>
                  <w:jc w:val="center"/>
                  <w:rPr>
                    <w:sz w:val="21"/>
                    <w:szCs w:val="21"/>
                  </w:rPr>
                </w:pPr>
                <w:r>
                  <w:rPr>
                    <w:rFonts w:hint="eastAsia"/>
                    <w:sz w:val="21"/>
                    <w:szCs w:val="21"/>
                  </w:rPr>
                  <w:t>收回或转回</w:t>
                </w:r>
              </w:p>
            </w:tc>
          </w:sdtContent>
        </w:sdt>
        <w:tc>
          <w:tcPr>
            <w:tcW w:w="859" w:type="pct"/>
            <w:shd w:val="clear" w:color="auto" w:fill="FFFFFF"/>
            <w:vAlign w:val="center"/>
          </w:tcPr>
          <w:sdt>
            <w:sdtPr>
              <w:rPr>
                <w:rFonts w:hint="eastAsia"/>
                <w:sz w:val="21"/>
                <w:szCs w:val="21"/>
              </w:rPr>
              <w:tag w:val="_PLD_43341cdf094c434589f9f5a4eeb8fb4a"/>
              <w:id w:val="26730"/>
            </w:sdtPr>
            <w:sdtEndPr>
              <w:rPr>
                <w:rFonts w:hint="eastAsia"/>
                <w:sz w:val="21"/>
                <w:szCs w:val="21"/>
              </w:rPr>
            </w:sdtEndPr>
            <w:sdtContent>
              <w:p>
                <w:pPr>
                  <w:widowControl w:val="0"/>
                  <w:jc w:val="center"/>
                  <w:rPr>
                    <w:sz w:val="21"/>
                    <w:szCs w:val="21"/>
                  </w:rPr>
                </w:pPr>
                <w:r>
                  <w:rPr>
                    <w:rFonts w:hint="eastAsia"/>
                    <w:sz w:val="21"/>
                    <w:szCs w:val="21"/>
                  </w:rPr>
                  <w:t>转销或核销</w:t>
                </w:r>
              </w:p>
            </w:sdtContent>
          </w:sdt>
        </w:tc>
        <w:tc>
          <w:tcPr>
            <w:tcW w:w="615" w:type="pct"/>
            <w:shd w:val="clear" w:color="auto" w:fill="FFFFFF"/>
            <w:vAlign w:val="center"/>
          </w:tcPr>
          <w:sdt>
            <w:sdtPr>
              <w:rPr>
                <w:rFonts w:hint="eastAsia"/>
                <w:sz w:val="21"/>
                <w:szCs w:val="21"/>
              </w:rPr>
              <w:tag w:val="_PLD_4105509cd7cf412981897dd91879a014"/>
              <w:id w:val="26731"/>
            </w:sdtPr>
            <w:sdtEndPr>
              <w:rPr>
                <w:rFonts w:hint="eastAsia"/>
                <w:sz w:val="21"/>
                <w:szCs w:val="21"/>
              </w:rPr>
            </w:sdtEndPr>
            <w:sdtContent>
              <w:p>
                <w:pPr>
                  <w:widowControl w:val="0"/>
                  <w:jc w:val="center"/>
                  <w:rPr>
                    <w:sz w:val="21"/>
                    <w:szCs w:val="21"/>
                  </w:rPr>
                </w:pPr>
                <w:r>
                  <w:rPr>
                    <w:rFonts w:hint="eastAsia"/>
                    <w:sz w:val="21"/>
                    <w:szCs w:val="21"/>
                  </w:rPr>
                  <w:t>其他变动</w:t>
                </w:r>
              </w:p>
            </w:sdtContent>
          </w:sdt>
        </w:tc>
        <w:tc>
          <w:tcPr>
            <w:tcW w:w="791" w:type="pct"/>
            <w:vMerge w:val="continue"/>
            <w:shd w:val="clear" w:color="auto" w:fill="FFFFFF"/>
          </w:tcPr>
          <w:p>
            <w:pPr>
              <w:widowControl w:val="0"/>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1" w:type="pct"/>
            <w:shd w:val="clear" w:color="auto" w:fill="auto"/>
          </w:tcPr>
          <w:p>
            <w:pPr>
              <w:widowControl w:val="0"/>
              <w:rPr>
                <w:sz w:val="21"/>
                <w:szCs w:val="21"/>
              </w:rPr>
            </w:pPr>
            <w:r>
              <w:rPr>
                <w:rFonts w:ascii="Arial" w:hAnsi="Arial" w:eastAsia="宋体" w:cs="Arial"/>
                <w:sz w:val="21"/>
                <w:szCs w:val="21"/>
              </w:rPr>
              <w:t>应收账款坏账准备</w:t>
            </w:r>
          </w:p>
        </w:tc>
        <w:tc>
          <w:tcPr>
            <w:tcW w:w="791"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54,060,567.17</w:t>
            </w:r>
          </w:p>
        </w:tc>
        <w:tc>
          <w:tcPr>
            <w:tcW w:w="433" w:type="pct"/>
            <w:shd w:val="clear" w:color="auto" w:fill="auto"/>
            <w:vAlign w:val="center"/>
          </w:tcPr>
          <w:p>
            <w:pPr>
              <w:widowControl w:val="0"/>
              <w:jc w:val="right"/>
              <w:rPr>
                <w:rFonts w:hint="default" w:ascii="Times New Roman" w:hAnsi="Times New Roman" w:cs="Times New Roman"/>
                <w:sz w:val="21"/>
                <w:szCs w:val="21"/>
              </w:rPr>
            </w:pPr>
          </w:p>
        </w:tc>
        <w:tc>
          <w:tcPr>
            <w:tcW w:w="737"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378,620.17</w:t>
            </w:r>
          </w:p>
        </w:tc>
        <w:tc>
          <w:tcPr>
            <w:tcW w:w="85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59,904.99</w:t>
            </w:r>
          </w:p>
        </w:tc>
        <w:tc>
          <w:tcPr>
            <w:tcW w:w="615" w:type="pct"/>
            <w:vAlign w:val="center"/>
          </w:tcPr>
          <w:p>
            <w:pPr>
              <w:widowControl w:val="0"/>
              <w:jc w:val="right"/>
              <w:rPr>
                <w:rFonts w:hint="default" w:ascii="Times New Roman" w:hAnsi="Times New Roman" w:cs="Times New Roman"/>
                <w:sz w:val="21"/>
                <w:szCs w:val="21"/>
              </w:rPr>
            </w:pPr>
          </w:p>
        </w:tc>
        <w:tc>
          <w:tcPr>
            <w:tcW w:w="791"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53,622,042.01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1" w:type="pct"/>
            <w:shd w:val="clear" w:color="auto" w:fill="auto"/>
          </w:tcPr>
          <w:p>
            <w:pPr>
              <w:widowControl w:val="0"/>
              <w:jc w:val="center"/>
              <w:rPr>
                <w:sz w:val="21"/>
                <w:szCs w:val="21"/>
              </w:rPr>
            </w:pPr>
            <w:r>
              <w:rPr>
                <w:rFonts w:hint="eastAsia"/>
                <w:sz w:val="21"/>
                <w:szCs w:val="21"/>
              </w:rPr>
              <w:t>合计</w:t>
            </w:r>
          </w:p>
        </w:tc>
        <w:tc>
          <w:tcPr>
            <w:tcW w:w="791"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54,060,567.17</w:t>
            </w:r>
          </w:p>
        </w:tc>
        <w:tc>
          <w:tcPr>
            <w:tcW w:w="433"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737"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378,620.17</w:t>
            </w:r>
          </w:p>
        </w:tc>
        <w:tc>
          <w:tcPr>
            <w:tcW w:w="85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59,904.99</w:t>
            </w:r>
          </w:p>
        </w:tc>
        <w:tc>
          <w:tcPr>
            <w:tcW w:w="615"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791" w:type="pct"/>
            <w:shd w:val="clear" w:color="auto" w:fill="auto"/>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53,622,042.01</w:t>
            </w:r>
          </w:p>
        </w:tc>
      </w:tr>
    </w:tbl>
    <w:p/>
    <w:bookmarkEnd w:id="197"/>
    <w:p>
      <w:r>
        <w:rPr>
          <w:rFonts w:hint="eastAsia"/>
        </w:rPr>
        <w:t>其中本期坏账准备收回或转回金额重要的：</w:t>
      </w:r>
    </w:p>
    <w:sdt>
      <w:sdtPr>
        <w:alias w:val="是否适用：其中本期坏账准备收回或转回金额重要的[双击切换]"/>
        <w:tag w:val="_GBC_6da74212535e450f9d1465f00dddd00b"/>
        <w:id w:val="26732"/>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alias w:val="应收账款坏账准备情况的说明"/>
        <w:tag w:val="_GBC_497841b0d4bf4697928b74836200c0fa"/>
        <w:id w:val="26733"/>
        <w:placeholder>
          <w:docPart w:val="GBC22222222222222222222222222222"/>
        </w:placeholder>
      </w:sdtPr>
      <w:sdtContent>
        <w:p>
          <w:pPr>
            <w:ind w:right="42" w:rightChars="20"/>
          </w:pPr>
          <w:r>
            <w:rPr>
              <w:rFonts w:hint="eastAsia"/>
              <w:lang w:val="en-US" w:eastAsia="zh-CN"/>
            </w:rPr>
            <w:t>无</w:t>
          </w:r>
        </w:p>
      </w:sdtContent>
    </w:sdt>
    <w:p>
      <w:pPr>
        <w:ind w:right="-1594" w:rightChars="-759"/>
      </w:pPr>
    </w:p>
    <w:p>
      <w:pPr>
        <w:pStyle w:val="196"/>
        <w:numPr>
          <w:ilvl w:val="3"/>
          <w:numId w:val="73"/>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2673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267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26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b31b4d2de9bc4878bfaf030b4ac7f864"/>
            <w:id w:val="26737"/>
          </w:sdtPr>
          <w:sdtEndPr>
            <w:rPr>
              <w:rFonts w:ascii="Times New Roman" w:hAnsi="Times New Roman"/>
            </w:rPr>
          </w:sdtEndPr>
          <w:sdtContent>
            <w:tc>
              <w:tcPr>
                <w:tcW w:w="2361" w:type="pct"/>
                <w:vAlign w:val="center"/>
              </w:tcPr>
              <w:p>
                <w:pPr>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8157ba5967c14e4e821de564c4546b40"/>
            <w:id w:val="26738"/>
          </w:sdtPr>
          <w:sdtEndPr>
            <w:rPr>
              <w:rFonts w:ascii="Times New Roman" w:hAnsi="Times New Roman"/>
            </w:rPr>
          </w:sdtEndPr>
          <w:sdtContent>
            <w:tc>
              <w:tcPr>
                <w:tcW w:w="2639" w:type="pct"/>
              </w:tcPr>
              <w:p>
                <w:pPr>
                  <w:jc w:val="center"/>
                  <w:rPr>
                    <w:rFonts w:ascii="Times New Roman" w:hAnsi="Times New Roman"/>
                    <w:szCs w:val="21"/>
                  </w:rPr>
                </w:pPr>
                <w:r>
                  <w:rPr>
                    <w:rFonts w:hint="eastAsia" w:ascii="Times New Roman" w:hAnsi="Times New Roman"/>
                    <w:szCs w:val="21"/>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pct"/>
          </w:tcPr>
          <w:p>
            <w:pPr>
              <w:rPr>
                <w:rFonts w:ascii="Times New Roman" w:hAnsi="Times New Roman"/>
                <w:szCs w:val="21"/>
              </w:rPr>
            </w:pPr>
            <w:r>
              <w:rPr>
                <w:rFonts w:hint="eastAsia" w:ascii="Times New Roman" w:hAnsi="Times New Roman"/>
                <w:szCs w:val="21"/>
              </w:rPr>
              <w:t>实际核销的应收账款</w:t>
            </w:r>
          </w:p>
        </w:tc>
        <w:tc>
          <w:tcPr>
            <w:tcW w:w="2639" w:type="pct"/>
          </w:tcPr>
          <w:p>
            <w:pPr>
              <w:jc w:val="right"/>
              <w:rPr>
                <w:rFonts w:hint="eastAsia" w:ascii="Times New Roman" w:hAnsi="Times New Roman" w:eastAsia="宋体"/>
                <w:szCs w:val="21"/>
                <w:lang w:eastAsia="zh-CN"/>
              </w:rPr>
            </w:pPr>
            <w:r>
              <w:rPr>
                <w:rFonts w:hint="eastAsia" w:ascii="Times New Roman" w:hAnsi="Times New Roman"/>
                <w:szCs w:val="21"/>
                <w:lang w:eastAsia="zh-CN"/>
              </w:rPr>
              <w:t>59,904.99</w:t>
            </w:r>
          </w:p>
        </w:tc>
      </w:tr>
    </w:tbl>
    <w:p>
      <w:pPr>
        <w:rPr>
          <w:szCs w:val="21"/>
        </w:rPr>
      </w:pPr>
    </w:p>
    <w:p>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26739"/>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szCs w:val="21"/>
        </w:rPr>
      </w:pPr>
    </w:p>
    <w:p>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6740"/>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196"/>
        <w:numPr>
          <w:ilvl w:val="3"/>
          <w:numId w:val="73"/>
        </w:numPr>
        <w:ind w:left="426" w:hanging="426"/>
      </w:pPr>
      <w:r>
        <w:rPr>
          <w:rFonts w:hint="eastAsia"/>
        </w:rPr>
        <w:t>按欠款方归集的期末余额前五名的应收账款</w:t>
      </w:r>
      <w:r>
        <w:rPr>
          <w:rFonts w:hint="eastAsia"/>
          <w:highlight w:val="none"/>
        </w:rPr>
        <w:t>和合同资产情况</w:t>
      </w:r>
    </w:p>
    <w:sdt>
      <w:sdtPr>
        <w:rPr>
          <w:rFonts w:hint="eastAsia"/>
          <w:szCs w:val="21"/>
        </w:rPr>
        <w:alias w:val="是否适用：按欠款方归集的期末余额前五名的应收账款情况[双击切换]"/>
        <w:tag w:val="_GBC_384d0a1c7eac41bb9693117cbe9c7e5b"/>
        <w:id w:val="26741"/>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267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267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508"/>
        <w:gridCol w:w="1508"/>
        <w:gridCol w:w="1508"/>
        <w:gridCol w:w="1508"/>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eastAsia"/>
              <w:szCs w:val="21"/>
            </w:rPr>
            <w:tag w:val="_PLD_393da722a1e6440ebfe654baf23b690e"/>
            <w:id w:val="5696"/>
          </w:sdtPr>
          <w:sdtEndPr>
            <w:rPr>
              <w:rFonts w:hint="eastAsia"/>
              <w:szCs w:val="21"/>
            </w:rPr>
          </w:sdtEndPr>
          <w:sdtContent>
            <w:tc>
              <w:tcPr>
                <w:tcW w:w="833" w:type="pct"/>
                <w:vAlign w:val="center"/>
              </w:tcPr>
              <w:p>
                <w:pPr>
                  <w:ind w:right="105"/>
                  <w:jc w:val="center"/>
                  <w:rPr>
                    <w:szCs w:val="21"/>
                  </w:rPr>
                </w:pPr>
                <w:r>
                  <w:rPr>
                    <w:rFonts w:hint="eastAsia"/>
                    <w:szCs w:val="21"/>
                  </w:rPr>
                  <w:t>单位名称</w:t>
                </w:r>
              </w:p>
            </w:tc>
          </w:sdtContent>
        </w:sdt>
        <w:sdt>
          <w:sdtPr>
            <w:rPr>
              <w:rFonts w:hint="eastAsia"/>
              <w:szCs w:val="21"/>
            </w:rPr>
            <w:tag w:val="_PLD_e14b89c8ccbc4e1fbb83ed437d4f7c27"/>
            <w:id w:val="5697"/>
          </w:sdtPr>
          <w:sdtEndPr>
            <w:rPr>
              <w:rFonts w:hint="eastAsia"/>
              <w:szCs w:val="21"/>
            </w:rPr>
          </w:sdtEndPr>
          <w:sdtContent>
            <w:tc>
              <w:tcPr>
                <w:tcW w:w="833" w:type="pct"/>
                <w:vAlign w:val="center"/>
              </w:tcPr>
              <w:p>
                <w:pPr>
                  <w:ind w:right="73"/>
                  <w:jc w:val="center"/>
                  <w:rPr>
                    <w:szCs w:val="21"/>
                  </w:rPr>
                </w:pPr>
                <w:r>
                  <w:rPr>
                    <w:rFonts w:hint="eastAsia"/>
                    <w:szCs w:val="21"/>
                  </w:rPr>
                  <w:t>应收账款期末余额</w:t>
                </w:r>
              </w:p>
            </w:tc>
          </w:sdtContent>
        </w:sdt>
        <w:sdt>
          <w:sdtPr>
            <w:rPr>
              <w:rFonts w:hint="eastAsia"/>
              <w:szCs w:val="21"/>
            </w:rPr>
            <w:tag w:val="_PLD_9e781bfbeaa241238adba8f92d150259"/>
            <w:id w:val="5698"/>
          </w:sdtPr>
          <w:sdtEndPr>
            <w:rPr>
              <w:rFonts w:hint="eastAsia"/>
              <w:szCs w:val="21"/>
            </w:rPr>
          </w:sdtEndPr>
          <w:sdtContent>
            <w:tc>
              <w:tcPr>
                <w:tcW w:w="833" w:type="pct"/>
                <w:vAlign w:val="center"/>
              </w:tcPr>
              <w:p>
                <w:pPr>
                  <w:jc w:val="center"/>
                  <w:rPr>
                    <w:szCs w:val="21"/>
                  </w:rPr>
                </w:pPr>
                <w:r>
                  <w:rPr>
                    <w:rFonts w:hint="eastAsia"/>
                    <w:szCs w:val="21"/>
                  </w:rPr>
                  <w:t>合同资产期末余额</w:t>
                </w:r>
              </w:p>
            </w:tc>
          </w:sdtContent>
        </w:sdt>
        <w:sdt>
          <w:sdtPr>
            <w:rPr>
              <w:rFonts w:hint="eastAsia"/>
              <w:szCs w:val="21"/>
            </w:rPr>
            <w:tag w:val="_PLD_666c0ccb3f21467e9e36a3c674bf8485"/>
            <w:id w:val="5699"/>
          </w:sdtPr>
          <w:sdtEndPr>
            <w:rPr>
              <w:rFonts w:hint="eastAsia"/>
              <w:szCs w:val="21"/>
            </w:rPr>
          </w:sdtEndPr>
          <w:sdtContent>
            <w:tc>
              <w:tcPr>
                <w:tcW w:w="833" w:type="pct"/>
                <w:vAlign w:val="center"/>
              </w:tcPr>
              <w:p>
                <w:pPr>
                  <w:jc w:val="center"/>
                  <w:rPr>
                    <w:szCs w:val="21"/>
                  </w:rPr>
                </w:pPr>
                <w:r>
                  <w:rPr>
                    <w:rFonts w:hint="eastAsia"/>
                    <w:szCs w:val="21"/>
                  </w:rPr>
                  <w:t>应收账款和合同资产期末余额</w:t>
                </w:r>
              </w:p>
            </w:tc>
          </w:sdtContent>
        </w:sdt>
        <w:sdt>
          <w:sdtPr>
            <w:rPr>
              <w:rFonts w:hint="eastAsia"/>
              <w:szCs w:val="21"/>
            </w:rPr>
            <w:tag w:val="_PLD_8b734501e3a344dda6644cb9d228c237"/>
            <w:id w:val="5700"/>
          </w:sdtPr>
          <w:sdtEndPr>
            <w:rPr>
              <w:rFonts w:hint="eastAsia"/>
              <w:szCs w:val="21"/>
            </w:rPr>
          </w:sdtEndPr>
          <w:sdtContent>
            <w:tc>
              <w:tcPr>
                <w:tcW w:w="833" w:type="pct"/>
                <w:vAlign w:val="center"/>
              </w:tcPr>
              <w:p>
                <w:pPr>
                  <w:jc w:val="center"/>
                  <w:rPr>
                    <w:szCs w:val="21"/>
                  </w:rPr>
                </w:pPr>
                <w:r>
                  <w:rPr>
                    <w:rFonts w:hint="eastAsia"/>
                    <w:szCs w:val="21"/>
                  </w:rPr>
                  <w:t>占应收账款和合同资产期末余额合计数的比例（%）</w:t>
                </w:r>
              </w:p>
            </w:tc>
          </w:sdtContent>
        </w:sdt>
        <w:sdt>
          <w:sdtPr>
            <w:rPr>
              <w:rFonts w:hint="eastAsia"/>
              <w:szCs w:val="21"/>
            </w:rPr>
            <w:tag w:val="_PLD_e198f1b6108c4fccacfc45ea46e8ff41"/>
            <w:id w:val="5701"/>
          </w:sdtPr>
          <w:sdtEndPr>
            <w:rPr>
              <w:rFonts w:hint="eastAsia"/>
              <w:szCs w:val="21"/>
            </w:rPr>
          </w:sdtEndPr>
          <w:sdtContent>
            <w:tc>
              <w:tcPr>
                <w:tcW w:w="833" w:type="pct"/>
                <w:vAlign w:val="center"/>
              </w:tcPr>
              <w:p>
                <w:pPr>
                  <w:jc w:val="center"/>
                  <w:rPr>
                    <w:szCs w:val="21"/>
                  </w:rPr>
                </w:pPr>
                <w:r>
                  <w:rPr>
                    <w:rFonts w:hint="eastAsia"/>
                    <w:szCs w:val="21"/>
                  </w:rPr>
                  <w:t>坏账准备期末余额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833" w:type="pct"/>
          </w:tcPr>
          <w:p>
            <w:pPr>
              <w:ind w:right="105"/>
              <w:rPr>
                <w:szCs w:val="21"/>
              </w:rPr>
            </w:pPr>
            <w:r>
              <w:t>第一名</w:t>
            </w:r>
          </w:p>
        </w:tc>
        <w:tc>
          <w:tcPr>
            <w:tcW w:w="833"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15,609,244.47</w:t>
            </w:r>
          </w:p>
        </w:tc>
        <w:tc>
          <w:tcPr>
            <w:tcW w:w="833"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15,609,244.47</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 11.02</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15,609,244.47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trPr>
        <w:tc>
          <w:tcPr>
            <w:tcW w:w="833" w:type="pct"/>
          </w:tcPr>
          <w:p>
            <w:pPr>
              <w:ind w:right="105"/>
              <w:rPr>
                <w:szCs w:val="21"/>
              </w:rPr>
            </w:pPr>
            <w:r>
              <w:t>第二名</w:t>
            </w:r>
          </w:p>
        </w:tc>
        <w:tc>
          <w:tcPr>
            <w:tcW w:w="833"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8,879,471.00</w:t>
            </w:r>
          </w:p>
        </w:tc>
        <w:tc>
          <w:tcPr>
            <w:tcW w:w="833"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8,879,471.00</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 6.27</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第三名</w:t>
            </w:r>
          </w:p>
        </w:tc>
        <w:tc>
          <w:tcPr>
            <w:tcW w:w="833"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5,429,878.63</w:t>
            </w:r>
          </w:p>
        </w:tc>
        <w:tc>
          <w:tcPr>
            <w:tcW w:w="833"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5,429,878.63</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 3.83</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600,068.78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第四名</w:t>
            </w:r>
          </w:p>
        </w:tc>
        <w:tc>
          <w:tcPr>
            <w:tcW w:w="833"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3,347,378.14</w:t>
            </w:r>
          </w:p>
        </w:tc>
        <w:tc>
          <w:tcPr>
            <w:tcW w:w="833"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3,347,378.14</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 2.36</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3,347,378.14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rPr>
                <w:szCs w:val="21"/>
              </w:rPr>
            </w:pPr>
            <w:r>
              <w:t>第五名</w:t>
            </w:r>
          </w:p>
        </w:tc>
        <w:tc>
          <w:tcPr>
            <w:tcW w:w="833"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2,750,293.74</w:t>
            </w:r>
          </w:p>
        </w:tc>
        <w:tc>
          <w:tcPr>
            <w:tcW w:w="833"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2,750,293.74</w:t>
            </w:r>
          </w:p>
        </w:tc>
        <w:tc>
          <w:tcPr>
            <w:tcW w:w="833" w:type="pct"/>
          </w:tcPr>
          <w:p>
            <w:pPr>
              <w:jc w:val="right"/>
              <w:rPr>
                <w:rFonts w:hint="default" w:ascii="Times New Roman" w:hAnsi="Times New Roman" w:cs="Times New Roman"/>
                <w:szCs w:val="21"/>
              </w:rPr>
            </w:pPr>
            <w:r>
              <w:rPr>
                <w:rFonts w:hint="default" w:ascii="Times New Roman" w:hAnsi="Times New Roman" w:cs="Times New Roman"/>
              </w:rPr>
              <w:t> 1.94</w:t>
            </w:r>
          </w:p>
        </w:tc>
        <w:tc>
          <w:tcPr>
            <w:tcW w:w="833" w:type="pct"/>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tcPr>
          <w:p>
            <w:pPr>
              <w:ind w:right="105"/>
              <w:jc w:val="center"/>
              <w:rPr>
                <w:szCs w:val="21"/>
                <w:highlight w:val="yellow"/>
              </w:rPr>
            </w:pPr>
            <w:r>
              <w:rPr>
                <w:rFonts w:hint="eastAsia"/>
                <w:szCs w:val="21"/>
                <w:highlight w:val="none"/>
              </w:rPr>
              <w:t>合计</w:t>
            </w:r>
          </w:p>
        </w:tc>
        <w:tc>
          <w:tcPr>
            <w:tcW w:w="833" w:type="pct"/>
            <w:vAlign w:val="center"/>
          </w:tcPr>
          <w:p>
            <w:pPr>
              <w:ind w:right="73"/>
              <w:jc w:val="right"/>
              <w:rPr>
                <w:rFonts w:hint="default" w:ascii="Times New Roman" w:hAnsi="Times New Roman" w:cs="Times New Roman"/>
              </w:rPr>
            </w:pPr>
            <w:r>
              <w:rPr>
                <w:rFonts w:hint="default" w:ascii="Times New Roman" w:hAnsi="Times New Roman" w:cs="Times New Roman"/>
              </w:rPr>
              <w:t>36,016,265.98</w:t>
            </w:r>
          </w:p>
        </w:tc>
        <w:tc>
          <w:tcPr>
            <w:tcW w:w="833" w:type="pct"/>
            <w:vAlign w:val="center"/>
          </w:tcPr>
          <w:p>
            <w:pPr>
              <w:ind w:right="73"/>
              <w:jc w:val="right"/>
              <w:rPr>
                <w:rFonts w:hint="default" w:ascii="Times New Roman" w:hAnsi="Times New Roman" w:eastAsia="宋体" w:cs="Times New Roman"/>
                <w:lang w:val="en-US" w:eastAsia="zh-CN"/>
              </w:rPr>
            </w:pPr>
            <w:r>
              <w:rPr>
                <w:rFonts w:hint="eastAsia" w:ascii="Times New Roman" w:hAnsi="Times New Roman" w:cs="Times New Roman"/>
                <w:szCs w:val="21"/>
                <w:lang w:val="en-US" w:eastAsia="zh-CN"/>
              </w:rPr>
              <w:t>0.00</w:t>
            </w:r>
          </w:p>
        </w:tc>
        <w:tc>
          <w:tcPr>
            <w:tcW w:w="833" w:type="pct"/>
          </w:tcPr>
          <w:p>
            <w:pPr>
              <w:jc w:val="right"/>
              <w:rPr>
                <w:szCs w:val="21"/>
                <w:highlight w:val="yellow"/>
              </w:rPr>
            </w:pPr>
            <w:r>
              <w:rPr>
                <w:rFonts w:hint="default" w:ascii="Times New Roman" w:hAnsi="Times New Roman" w:cs="Times New Roman"/>
              </w:rPr>
              <w:t>36,016,265.98</w:t>
            </w:r>
          </w:p>
        </w:tc>
        <w:tc>
          <w:tcPr>
            <w:tcW w:w="833" w:type="pct"/>
          </w:tcPr>
          <w:p>
            <w:pPr>
              <w:jc w:val="right"/>
              <w:rPr>
                <w:rFonts w:hint="default" w:ascii="Times New Roman" w:hAnsi="Times New Roman" w:cs="Times New Roman"/>
              </w:rPr>
            </w:pPr>
            <w:r>
              <w:rPr>
                <w:rFonts w:hint="default" w:ascii="Times New Roman" w:hAnsi="Times New Roman" w:cs="Times New Roman"/>
              </w:rPr>
              <w:t> 25.42</w:t>
            </w:r>
          </w:p>
        </w:tc>
        <w:tc>
          <w:tcPr>
            <w:tcW w:w="833" w:type="pct"/>
          </w:tcPr>
          <w:p>
            <w:pPr>
              <w:jc w:val="right"/>
              <w:rPr>
                <w:rFonts w:hint="default" w:ascii="Times New Roman" w:hAnsi="Times New Roman" w:cs="Times New Roman"/>
              </w:rPr>
            </w:pPr>
            <w:r>
              <w:rPr>
                <w:rFonts w:hint="default" w:ascii="Times New Roman" w:hAnsi="Times New Roman" w:cs="Times New Roman"/>
              </w:rPr>
              <w:t>19,556,691.39</w:t>
            </w:r>
          </w:p>
        </w:tc>
      </w:tr>
    </w:tbl>
    <w:p/>
    <w:p/>
    <w:p>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26750"/>
        <w:placeholder>
          <w:docPart w:val="GBC22222222222222222222222222222"/>
        </w:placeholder>
      </w:sdtPr>
      <w:sdtEndPr>
        <w:rPr>
          <w:szCs w:val="21"/>
        </w:rPr>
      </w:sdtEndPr>
      <w:sdtContent>
        <w:p>
          <w:pPr>
            <w:snapToGrid w:val="0"/>
            <w:spacing w:line="240" w:lineRule="atLeast"/>
            <w:rPr>
              <w:szCs w:val="21"/>
            </w:rPr>
          </w:pPr>
          <w:r>
            <w:rPr>
              <w:rFonts w:hint="eastAsia"/>
              <w:szCs w:val="21"/>
              <w:lang w:eastAsia="zh-CN"/>
            </w:rPr>
            <w:t>无</w:t>
          </w:r>
        </w:p>
      </w:sdtContent>
    </w:sdt>
    <w:p>
      <w:pPr>
        <w:snapToGrid w:val="0"/>
        <w:spacing w:line="240" w:lineRule="atLeast"/>
        <w:rPr>
          <w:szCs w:val="21"/>
        </w:rPr>
      </w:pPr>
    </w:p>
    <w:p>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6751"/>
        <w:placeholder>
          <w:docPart w:val="GBC22222222222222222222222222222"/>
        </w:placeholder>
      </w:sdtPr>
      <w:sdtEndPr>
        <w:rPr>
          <w:rFonts w:hint="eastAsia"/>
        </w:rPr>
      </w:sdtEndPr>
      <w:sdtContent>
        <w:p>
          <w:pPr>
            <w:snapToGrid w:val="0"/>
            <w:spacing w:line="240" w:lineRule="atLeast"/>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71"/>
        </w:numPr>
        <w:tabs>
          <w:tab w:val="left" w:pos="504"/>
        </w:tabs>
      </w:pPr>
      <w:bookmarkStart w:id="198" w:name="_Hlk533409560"/>
      <w:r>
        <w:rPr>
          <w:rFonts w:hint="eastAsia"/>
        </w:rPr>
        <w:t>合同资产</w:t>
      </w:r>
    </w:p>
    <w:p>
      <w:pPr>
        <w:pStyle w:val="196"/>
        <w:numPr>
          <w:ilvl w:val="3"/>
          <w:numId w:val="74"/>
        </w:numPr>
        <w:ind w:left="426" w:hanging="426"/>
      </w:pPr>
      <w:bookmarkStart w:id="199" w:name="_Hlk532992678"/>
      <w:r>
        <w:rPr>
          <w:rFonts w:hint="eastAsia"/>
        </w:rPr>
        <w:t>合同资产情况</w:t>
      </w:r>
    </w:p>
    <w:sdt>
      <w:sdtPr>
        <w:alias w:val="是否适用：合同资产情况[双击切换]"/>
        <w:tag w:val="_GBC_71da29cd2c0f4ec4a2849d6760e0ec90"/>
        <w:id w:val="2675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198"/>
    <w:bookmarkEnd w:id="199"/>
    <w:p>
      <w:pPr>
        <w:pStyle w:val="196"/>
        <w:numPr>
          <w:ilvl w:val="3"/>
          <w:numId w:val="74"/>
        </w:numPr>
        <w:ind w:left="426" w:hanging="426"/>
      </w:pPr>
      <w:bookmarkStart w:id="200" w:name="_Hlk532993169"/>
      <w:r>
        <w:rPr>
          <w:rFonts w:hint="eastAsia"/>
        </w:rPr>
        <w:t>报告期内账面价值发生重大变动的金额和原因</w:t>
      </w:r>
    </w:p>
    <w:sdt>
      <w:sdtPr>
        <w:rPr>
          <w:szCs w:val="21"/>
        </w:rPr>
        <w:alias w:val="是否适用：合同资产账面价值发生重大变动[双击切换]"/>
        <w:tag w:val="_GBC_d707053a57f34cbab810279b617bfcc7"/>
        <w:id w:val="26753"/>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pStyle w:val="196"/>
        <w:numPr>
          <w:ilvl w:val="3"/>
          <w:numId w:val="74"/>
        </w:numPr>
        <w:ind w:left="426" w:hanging="426"/>
        <w:rPr>
          <w:rFonts w:ascii="宋体" w:hAnsi="宋体" w:eastAsia="宋体" w:cs="宋体"/>
          <w:kern w:val="0"/>
          <w:szCs w:val="24"/>
        </w:rPr>
      </w:pPr>
      <w:bookmarkStart w:id="201" w:name="_Hlk153378989"/>
      <w:r>
        <w:rPr>
          <w:rFonts w:hint="eastAsia" w:ascii="宋体" w:hAnsi="宋体" w:eastAsia="宋体" w:cs="宋体"/>
          <w:kern w:val="0"/>
          <w:szCs w:val="24"/>
        </w:rPr>
        <w:t>按</w:t>
      </w:r>
      <w:r>
        <w:rPr>
          <w:rFonts w:ascii="宋体" w:hAnsi="宋体" w:eastAsia="宋体" w:cs="宋体"/>
          <w:kern w:val="0"/>
          <w:szCs w:val="24"/>
        </w:rPr>
        <w:t>坏账计提方法分类披露</w:t>
      </w:r>
    </w:p>
    <w:sdt>
      <w:sdtPr>
        <w:alias w:val="是否适用：按坏账计提方法分类披露[双击切换]"/>
        <w:tag w:val="_GBC_6dd4a97ab67f497ba65822d927d1d29e"/>
        <w:id w:val="2675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按单项计提坏账准备：</w:t>
      </w:r>
    </w:p>
    <w:sdt>
      <w:sdtPr>
        <w:alias w:val="是否适用：按单项计提坏账准备的详细情况[双击切换]"/>
        <w:tag w:val="_GBC_0ab170ec63fb435387c8b835e9d77a54"/>
        <w:id w:val="2675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2675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26757"/>
        <w:placeholder>
          <w:docPart w:val="GBC22222222222222222222222222222"/>
        </w:placeholder>
      </w:sdtPr>
      <w:sdtEndPr>
        <w:rPr>
          <w:rFonts w:ascii="Calibri" w:hAnsi="Calibri" w:cs="Times New Roman"/>
          <w:bCs/>
          <w:szCs w:val="22"/>
        </w:rPr>
      </w:sdtEndPr>
      <w:sdtContent>
        <w:p>
          <w:pPr>
            <w:outlineLvl w:val="9"/>
            <w:rPr>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01"/>
    <w:p>
      <w:pPr>
        <w:rPr>
          <w:rFonts w:cstheme="minorBidi"/>
          <w:bCs/>
          <w:szCs w:val="22"/>
        </w:rPr>
      </w:pPr>
      <w:bookmarkStart w:id="202" w:name="_Hlk153379126"/>
      <w:bookmarkStart w:id="203" w:name="_Hlk154135145"/>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26758"/>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cstheme="minorBidi"/>
          <w:bCs/>
          <w:szCs w:val="22"/>
        </w:rPr>
      </w:pPr>
    </w:p>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26759"/>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eastAsia="zh-CN"/>
            </w:rPr>
            <w:t>无</w:t>
          </w:r>
        </w:p>
      </w:sdtContent>
    </w:sdt>
    <w:p>
      <w:pPr>
        <w:pStyle w:val="288"/>
        <w:rPr>
          <w:rFonts w:ascii="宋体" w:hAnsi="宋体" w:cs="宋体"/>
          <w:kern w:val="0"/>
          <w:szCs w:val="24"/>
        </w:rPr>
      </w:pPr>
    </w:p>
    <w:p>
      <w:pPr>
        <w:pStyle w:val="288"/>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26760"/>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200"/>
    <w:bookmarkEnd w:id="202"/>
    <w:bookmarkEnd w:id="203"/>
    <w:p>
      <w:pPr>
        <w:pStyle w:val="196"/>
        <w:numPr>
          <w:ilvl w:val="3"/>
          <w:numId w:val="74"/>
        </w:numPr>
        <w:ind w:left="426" w:hanging="426"/>
        <w:rPr>
          <w:szCs w:val="21"/>
        </w:rPr>
      </w:pPr>
      <w:bookmarkStart w:id="204" w:name="_Hlk533847869"/>
      <w:r>
        <w:rPr>
          <w:rFonts w:hint="eastAsia"/>
          <w:szCs w:val="21"/>
        </w:rPr>
        <w:t>本期合同资产计提坏账准备情况</w:t>
      </w:r>
    </w:p>
    <w:sdt>
      <w:sdtPr>
        <w:rPr>
          <w:szCs w:val="21"/>
        </w:rPr>
        <w:alias w:val="是否适用：合同资产减值准备[双击切换]"/>
        <w:tag w:val="_GBC_7a32a2cf2788460d8c760b8ac21cef48"/>
        <w:id w:val="26761"/>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outlineLvl w:val="9"/>
        <w:rPr>
          <w:szCs w:val="21"/>
        </w:rPr>
      </w:pPr>
    </w:p>
    <w:p>
      <w:bookmarkStart w:id="205" w:name="_Hlk153379287"/>
      <w:r>
        <w:rPr>
          <w:rFonts w:hint="eastAsia"/>
        </w:rPr>
        <w:t>其中本期坏账准备收回或转回金额重要的：</w:t>
      </w:r>
    </w:p>
    <w:sdt>
      <w:sdtPr>
        <w:alias w:val="是否适用：本期坏账准备收回或转回金额重要的[双击切换]"/>
        <w:tag w:val="_GBC_40c6e5cd3d9b48fa9d8ddf51159f73e3"/>
        <w:id w:val="2676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alias w:val="坏账准备情况的说明"/>
        <w:tag w:val="_GBC_eaa032ce9f4b4651bc1d170afdd0f594"/>
        <w:id w:val="26763"/>
        <w:placeholder>
          <w:docPart w:val="GBC22222222222222222222222222222"/>
        </w:placeholder>
      </w:sdtPr>
      <w:sdtContent>
        <w:p>
          <w:pPr>
            <w:ind w:right="42" w:rightChars="20"/>
          </w:pPr>
          <w:r>
            <w:rPr>
              <w:rFonts w:hint="eastAsia"/>
              <w:lang w:eastAsia="zh-CN"/>
            </w:rPr>
            <w:t>无</w:t>
          </w:r>
        </w:p>
      </w:sdtContent>
    </w:sdt>
    <w:p>
      <w:pPr>
        <w:ind w:right="-1594" w:rightChars="-759"/>
      </w:pPr>
    </w:p>
    <w:bookmarkEnd w:id="205"/>
    <w:p>
      <w:pPr>
        <w:pStyle w:val="196"/>
        <w:numPr>
          <w:ilvl w:val="3"/>
          <w:numId w:val="74"/>
        </w:numPr>
        <w:ind w:left="426" w:hanging="426"/>
        <w:rPr>
          <w:szCs w:val="21"/>
        </w:rPr>
      </w:pPr>
      <w:bookmarkStart w:id="206" w:name="_Hlk153379426"/>
      <w:r>
        <w:rPr>
          <w:szCs w:val="21"/>
        </w:rPr>
        <w:t>本期实际核销的</w:t>
      </w:r>
      <w:r>
        <w:rPr>
          <w:rFonts w:hint="eastAsia"/>
          <w:szCs w:val="21"/>
        </w:rPr>
        <w:t>合同资产</w:t>
      </w:r>
      <w:r>
        <w:rPr>
          <w:szCs w:val="21"/>
        </w:rPr>
        <w:t>情况</w:t>
      </w:r>
    </w:p>
    <w:sdt>
      <w:sdtPr>
        <w:alias w:val="是否适用：实际核销的情况[双击切换]"/>
        <w:tag w:val="_GBC_d2036f8632c6441bbae156d4fcc0a1bb"/>
        <w:id w:val="2676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26765"/>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26766"/>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04"/>
    <w:bookmarkEnd w:id="206"/>
    <w:p>
      <w:pPr>
        <w:rPr>
          <w:szCs w:val="21"/>
        </w:rPr>
      </w:pPr>
      <w:r>
        <w:rPr>
          <w:rFonts w:hint="eastAsia"/>
          <w:szCs w:val="21"/>
        </w:rPr>
        <w:t>其他说明：</w:t>
      </w:r>
    </w:p>
    <w:sdt>
      <w:sdtPr>
        <w:rPr>
          <w:szCs w:val="21"/>
        </w:rPr>
        <w:alias w:val="是否适用：合同资产其他说明[双击切换]"/>
        <w:tag w:val="_GBC_92ce0006559b479d93e7dbde6e8efca4"/>
        <w:id w:val="26767"/>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229"/>
        <w:numPr>
          <w:ilvl w:val="0"/>
          <w:numId w:val="71"/>
        </w:numPr>
        <w:rPr>
          <w:szCs w:val="21"/>
        </w:rPr>
      </w:pPr>
      <w:bookmarkStart w:id="207" w:name="_Hlk24102175"/>
      <w:r>
        <w:rPr>
          <w:rFonts w:hint="eastAsia"/>
          <w:szCs w:val="21"/>
        </w:rPr>
        <w:t>应收款项融资</w:t>
      </w:r>
    </w:p>
    <w:p>
      <w:pPr>
        <w:pStyle w:val="196"/>
        <w:numPr>
          <w:ilvl w:val="0"/>
          <w:numId w:val="75"/>
        </w:numPr>
      </w:pPr>
      <w:r>
        <w:rPr>
          <w:rFonts w:hint="eastAsia"/>
        </w:rPr>
        <w:t>应收款项融资分类列示</w:t>
      </w:r>
    </w:p>
    <w:sdt>
      <w:sdtPr>
        <w:rPr>
          <w:szCs w:val="21"/>
        </w:rPr>
        <w:alias w:val="是否适用：应收款项融资[双击切换]"/>
        <w:tag w:val="_GBC_e38b7d767cdd4e9f8dd5f7f6ea2330da"/>
        <w:id w:val="26768"/>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left="420" w:right="-98"/>
        <w:jc w:val="right"/>
      </w:pPr>
      <w:r>
        <w:rPr>
          <w:rFonts w:hint="eastAsia"/>
        </w:rPr>
        <w:t xml:space="preserve">  单位：</w:t>
      </w:r>
      <w:sdt>
        <w:sdtPr>
          <w:rPr>
            <w:rFonts w:hint="eastAsia"/>
          </w:rPr>
          <w:alias w:val="单位：应收款项融资"/>
          <w:tag w:val="_GBC_718fb908b95f48ec84742dfac4338fd4"/>
          <w:id w:val="2676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267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2897"/>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e528ffb61e4b53acdd40b3208f06a9"/>
            <w:id w:val="26771"/>
          </w:sdtPr>
          <w:sdtContent>
            <w:tc>
              <w:tcPr>
                <w:tcW w:w="1793" w:type="pct"/>
                <w:shd w:val="clear" w:color="auto" w:fill="auto"/>
                <w:vAlign w:val="center"/>
              </w:tcPr>
              <w:p>
                <w:pPr>
                  <w:jc w:val="center"/>
                  <w:rPr>
                    <w:szCs w:val="21"/>
                  </w:rPr>
                </w:pPr>
                <w:bookmarkStart w:id="208" w:name="_Hlk12969247"/>
                <w:bookmarkStart w:id="209" w:name="_Hlk13057555"/>
                <w:r>
                  <w:rPr>
                    <w:rFonts w:hint="eastAsia"/>
                    <w:szCs w:val="21"/>
                  </w:rPr>
                  <w:t>项目</w:t>
                </w:r>
              </w:p>
            </w:tc>
          </w:sdtContent>
        </w:sdt>
        <w:sdt>
          <w:sdtPr>
            <w:tag w:val="_PLD_8d81c1822e774f6081deb29ea5466dc8"/>
            <w:id w:val="26772"/>
          </w:sdtPr>
          <w:sdtContent>
            <w:tc>
              <w:tcPr>
                <w:tcW w:w="1600"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26773"/>
          </w:sdtPr>
          <w:sdtContent>
            <w:tc>
              <w:tcPr>
                <w:tcW w:w="1605"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3" w:type="pct"/>
            <w:shd w:val="clear" w:color="auto" w:fill="auto"/>
          </w:tcPr>
          <w:p>
            <w:pPr>
              <w:autoSpaceDE w:val="0"/>
              <w:autoSpaceDN w:val="0"/>
              <w:adjustRightInd w:val="0"/>
              <w:rPr>
                <w:szCs w:val="21"/>
              </w:rPr>
            </w:pPr>
            <w:r>
              <w:t>以公允价值计量且其变动计入其他综合收益的应收票据</w:t>
            </w:r>
          </w:p>
        </w:tc>
        <w:tc>
          <w:tcPr>
            <w:tcW w:w="160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15,690,771.21</w:t>
            </w:r>
          </w:p>
        </w:tc>
        <w:tc>
          <w:tcPr>
            <w:tcW w:w="160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12,393,253.29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vAlign w:val="center"/>
          </w:tcPr>
          <w:p>
            <w:pPr>
              <w:jc w:val="center"/>
              <w:rPr>
                <w:szCs w:val="21"/>
              </w:rPr>
            </w:pPr>
            <w:r>
              <w:rPr>
                <w:rFonts w:hint="eastAsia"/>
                <w:szCs w:val="21"/>
              </w:rPr>
              <w:t>合计</w:t>
            </w:r>
          </w:p>
        </w:tc>
        <w:tc>
          <w:tcPr>
            <w:tcW w:w="160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15,690,771.21</w:t>
            </w:r>
          </w:p>
        </w:tc>
        <w:tc>
          <w:tcPr>
            <w:tcW w:w="160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12,393,253.29</w:t>
            </w:r>
          </w:p>
        </w:tc>
      </w:tr>
    </w:tbl>
    <w:p/>
    <w:p>
      <w:pPr>
        <w:pStyle w:val="196"/>
        <w:numPr>
          <w:ilvl w:val="0"/>
          <w:numId w:val="75"/>
        </w:numPr>
      </w:pPr>
      <w:r>
        <w:t>期末公司已</w:t>
      </w:r>
      <w:r>
        <w:rPr>
          <w:rFonts w:hint="eastAsia"/>
        </w:rPr>
        <w:t>质押</w:t>
      </w:r>
      <w:r>
        <w:t>的应收款项融资</w:t>
      </w:r>
    </w:p>
    <w:sdt>
      <w:sdtPr>
        <w:alias w:val="是否适用：期末公司已质押的应收款项融资[双击切换]"/>
        <w:tag w:val="_GBC_31b898cd43844d68932063bb1e6347a8"/>
        <w:id w:val="2677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0"/>
          <w:numId w:val="75"/>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2677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0"/>
          <w:numId w:val="75"/>
        </w:numPr>
      </w:pPr>
      <w:r>
        <w:rPr>
          <w:rFonts w:hint="eastAsia"/>
        </w:rPr>
        <w:t>按</w:t>
      </w:r>
      <w:r>
        <w:t>坏账计提方法分类披露</w:t>
      </w:r>
    </w:p>
    <w:sdt>
      <w:sdtPr>
        <w:alias w:val="是否适用：按坏账计提方法分类披露[双击切换]"/>
        <w:tag w:val="_GBC_bb62f97adc6849f2b3d956a701e7fa7d"/>
        <w:id w:val="2677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按单项计提坏账准备：</w:t>
      </w:r>
    </w:p>
    <w:sdt>
      <w:sdtPr>
        <w:alias w:val="是否适用：按单项计提坏账准备的详细情况[双击切换]"/>
        <w:tag w:val="_GBC_65f67a26c8854813ab351f644b5cb549"/>
        <w:id w:val="2677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2677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26779"/>
        <w:placeholder>
          <w:docPart w:val="GBC22222222222222222222222222222"/>
        </w:placeholder>
      </w:sdtPr>
      <w:sdtEndPr>
        <w:rPr>
          <w:rFonts w:ascii="Calibri" w:hAnsi="Calibri" w:cs="Times New Roman"/>
          <w:bCs/>
          <w:szCs w:val="22"/>
        </w:rPr>
      </w:sdtEndPr>
      <w:sdtContent>
        <w:p>
          <w:pPr>
            <w:outlineLvl w:val="9"/>
            <w:rPr>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p>
      <w:pPr>
        <w:rPr>
          <w:rFonts w:cstheme="minorBidi"/>
          <w:bCs/>
          <w:szCs w:val="22"/>
        </w:rPr>
      </w:pPr>
      <w:bookmarkStart w:id="210" w:name="_Hlk154134692"/>
      <w:bookmarkStart w:id="211" w:name="_Hlk153372713"/>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26780"/>
        <w:placeholder>
          <w:docPart w:val="GBC22222222222222222222222222222"/>
        </w:placeholder>
      </w:sdtPr>
      <w:sdtEndPr>
        <w:rPr>
          <w:rFonts w:cstheme="minorBidi"/>
          <w:bCs/>
          <w:szCs w:val="22"/>
        </w:rPr>
      </w:sdtEndPr>
      <w:sdtContent>
        <w:p>
          <w:pPr>
            <w:autoSpaceDE w:val="0"/>
            <w:autoSpaceDN w:val="0"/>
            <w:adjustRightInd w:val="0"/>
            <w:ind w:right="105" w:rightChars="50"/>
            <w:rPr>
              <w:rFonts w:cstheme="minorBidi"/>
              <w:bCs/>
              <w:szCs w:val="22"/>
            </w:rPr>
          </w:pPr>
          <w:r>
            <w:rPr>
              <w:rFonts w:cstheme="minorBidi"/>
              <w:bCs/>
              <w:szCs w:val="22"/>
            </w:rPr>
            <w:fldChar w:fldCharType="begin"/>
          </w:r>
          <w:r>
            <w:rPr>
              <w:rFonts w:hint="eastAsia" w:cstheme="minorBidi"/>
              <w:bCs/>
              <w:szCs w:val="22"/>
              <w:lang w:eastAsia="zh-CN"/>
            </w:rPr>
            <w:instrText xml:space="preserve"> MACROBUTTON  SnrToggleCheckbox □适用 </w:instrText>
          </w:r>
          <w:r>
            <w:rPr>
              <w:rFonts w:cstheme="minorBidi"/>
              <w:bCs/>
              <w:szCs w:val="22"/>
            </w:rPr>
            <w:fldChar w:fldCharType="end"/>
          </w:r>
          <w:r>
            <w:rPr>
              <w:rFonts w:cstheme="minorBidi"/>
              <w:bCs/>
              <w:szCs w:val="22"/>
            </w:rPr>
            <w:fldChar w:fldCharType="begin"/>
          </w:r>
          <w:r>
            <w:rPr>
              <w:rFonts w:hint="eastAsia" w:cstheme="minorBidi"/>
              <w:bCs/>
              <w:szCs w:val="22"/>
              <w:lang w:eastAsia="zh-CN"/>
            </w:rPr>
            <w:instrText xml:space="preserve"> MACROBUTTON  SnrToggleCheckbox √不适用 </w:instrText>
          </w:r>
          <w:r>
            <w:rPr>
              <w:rFonts w:cstheme="minorBidi"/>
              <w:bCs/>
              <w:szCs w:val="22"/>
            </w:rPr>
            <w:fldChar w:fldCharType="end"/>
          </w:r>
        </w:p>
      </w:sdtContent>
    </w:sdt>
    <w:p>
      <w:pPr>
        <w:autoSpaceDE w:val="0"/>
        <w:autoSpaceDN w:val="0"/>
        <w:adjustRightInd w:val="0"/>
        <w:ind w:right="105" w:rightChars="50"/>
        <w:outlineLvl w:val="9"/>
        <w:rPr>
          <w:rFonts w:cstheme="minorBidi"/>
          <w:bCs/>
          <w:szCs w:val="22"/>
        </w:rPr>
      </w:pPr>
    </w:p>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26781"/>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eastAsia="zh-CN"/>
            </w:rPr>
            <w:t>无</w:t>
          </w:r>
        </w:p>
      </w:sdtContent>
    </w:sdt>
    <w:p>
      <w:pPr>
        <w:rPr>
          <w:rFonts w:asciiTheme="minorHAnsi" w:hAnsiTheme="minorHAnsi" w:cstheme="minorBidi"/>
          <w:b/>
          <w:bCs/>
          <w:szCs w:val="22"/>
        </w:rPr>
      </w:pPr>
    </w:p>
    <w:p>
      <w:pPr>
        <w:pStyle w:val="288"/>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26782"/>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210"/>
    <w:bookmarkEnd w:id="211"/>
    <w:p>
      <w:pPr>
        <w:pStyle w:val="196"/>
        <w:numPr>
          <w:ilvl w:val="0"/>
          <w:numId w:val="75"/>
        </w:numPr>
      </w:pPr>
      <w:r>
        <w:rPr>
          <w:rFonts w:hint="eastAsia"/>
        </w:rPr>
        <w:t>坏账准备的情况</w:t>
      </w:r>
    </w:p>
    <w:sdt>
      <w:sdtPr>
        <w:alias w:val="是否适用：坏账准备情况[双击切换]"/>
        <w:tag w:val="_GBC_9eb14f08b86f4a7096cd60413baf3092"/>
        <w:id w:val="26783"/>
        <w:placeholder>
          <w:docPart w:val="GBC22222222222222222222222222222"/>
        </w:placeholder>
      </w:sdtPr>
      <w:sdtContent>
        <w:p>
          <w:pPr>
            <w:pStyle w:val="288"/>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88"/>
        <w:outlineLvl w:val="9"/>
      </w:pPr>
    </w:p>
    <w:p>
      <w:r>
        <w:rPr>
          <w:rFonts w:hint="eastAsia"/>
        </w:rPr>
        <w:t>其中本期坏账准备收回或转回金额重要的：</w:t>
      </w:r>
    </w:p>
    <w:sdt>
      <w:sdtPr>
        <w:alias w:val="是否适用：本期坏账准备收回或转回金额重要的[双击切换]"/>
        <w:tag w:val="_GBC_2b51db20288a43b39962432da30280fe"/>
        <w:id w:val="2678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alias w:val="坏账准备情况的说明"/>
        <w:tag w:val="_GBC_e8b4225586244ec9b8d5ae0de000f4e4"/>
        <w:id w:val="26785"/>
        <w:placeholder>
          <w:docPart w:val="GBC22222222222222222222222222222"/>
        </w:placeholder>
      </w:sdtPr>
      <w:sdtContent>
        <w:p>
          <w:pPr>
            <w:ind w:right="42" w:rightChars="20"/>
          </w:pPr>
          <w:r>
            <w:rPr>
              <w:rFonts w:hint="eastAsia"/>
              <w:lang w:eastAsia="zh-CN"/>
            </w:rPr>
            <w:t>无</w:t>
          </w:r>
        </w:p>
      </w:sdtContent>
    </w:sdt>
    <w:p>
      <w:pPr>
        <w:ind w:right="-1594" w:rightChars="-759"/>
      </w:pPr>
    </w:p>
    <w:p>
      <w:pPr>
        <w:pStyle w:val="196"/>
        <w:numPr>
          <w:ilvl w:val="0"/>
          <w:numId w:val="75"/>
        </w:numPr>
      </w:pPr>
      <w:r>
        <w:t>本期实际核销的应收款项融资情况</w:t>
      </w:r>
    </w:p>
    <w:sdt>
      <w:sdtPr>
        <w:alias w:val="是否适用：实际核销的情况[双击切换]"/>
        <w:tag w:val="_GBC_4075b47847034ec5b4b4aeeb85217687"/>
        <w:id w:val="2678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26787"/>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26788"/>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196"/>
        <w:numPr>
          <w:ilvl w:val="0"/>
          <w:numId w:val="75"/>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26789"/>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alias w:val="应收款项融资本期增减变动及公允价值变动情况"/>
        <w:tag w:val="_GBC_700eec67c70943f6b1187ef40ea2b404"/>
        <w:id w:val="26790"/>
        <w:placeholder>
          <w:docPart w:val="{7da23644-9544-4651-adfd-c5c0453a9e13}"/>
        </w:placeholder>
      </w:sdtPr>
      <w:sdtContent>
        <w:p/>
        <w:tbl>
          <w:tblPr>
            <w:tblStyle w:val="125"/>
            <w:tblW w:w="5053"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18"/>
            <w:gridCol w:w="1656"/>
            <w:gridCol w:w="1654"/>
            <w:gridCol w:w="755"/>
            <w:gridCol w:w="750"/>
            <w:gridCol w:w="905"/>
            <w:gridCol w:w="1654"/>
            <w:gridCol w:w="75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557" w:type="pct"/>
                <w:vMerge w:val="restart"/>
                <w:noWrap/>
                <w:vAlign w:val="center"/>
              </w:tcPr>
              <w:p>
                <w:pPr>
                  <w:widowControl/>
                  <w:spacing w:line="48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类别</w:t>
                </w:r>
              </w:p>
            </w:tc>
            <w:tc>
              <w:tcPr>
                <w:tcW w:w="905" w:type="pct"/>
                <w:vMerge w:val="restart"/>
                <w:noWrap/>
                <w:vAlign w:val="center"/>
              </w:tcPr>
              <w:p>
                <w:pPr>
                  <w:widowControl/>
                  <w:spacing w:line="480" w:lineRule="exact"/>
                  <w:ind w:firstLine="0" w:firstLineChars="0"/>
                  <w:jc w:val="center"/>
                  <w:rPr>
                    <w:rFonts w:ascii="宋体" w:hAnsi="宋体" w:cs="宋体"/>
                    <w:color w:val="000000"/>
                    <w:kern w:val="0"/>
                    <w:sz w:val="18"/>
                    <w:szCs w:val="18"/>
                  </w:rPr>
                </w:pPr>
                <w:r>
                  <w:rPr>
                    <w:rFonts w:hint="eastAsia" w:ascii="Arial" w:hAnsi="宋体" w:cs="Arial"/>
                    <w:kern w:val="0"/>
                    <w:sz w:val="18"/>
                    <w:szCs w:val="18"/>
                  </w:rPr>
                  <w:t>期</w:t>
                </w:r>
                <w:r>
                  <w:rPr>
                    <w:rFonts w:hint="eastAsia" w:ascii="宋体" w:hAnsi="宋体" w:cs="宋体"/>
                    <w:color w:val="000000"/>
                    <w:kern w:val="0"/>
                    <w:sz w:val="18"/>
                    <w:szCs w:val="18"/>
                  </w:rPr>
                  <w:t>初余额</w:t>
                </w:r>
              </w:p>
            </w:tc>
            <w:tc>
              <w:tcPr>
                <w:tcW w:w="3538" w:type="pct"/>
                <w:gridSpan w:val="6"/>
                <w:noWrap/>
                <w:vAlign w:val="center"/>
              </w:tcPr>
              <w:p>
                <w:pPr>
                  <w:widowControl/>
                  <w:spacing w:line="480" w:lineRule="exact"/>
                  <w:ind w:firstLine="0" w:firstLineChars="0"/>
                  <w:jc w:val="center"/>
                  <w:rPr>
                    <w:rFonts w:ascii="宋体" w:hAnsi="宋体" w:cs="宋体"/>
                    <w:color w:val="000000"/>
                    <w:kern w:val="0"/>
                    <w:sz w:val="18"/>
                    <w:szCs w:val="18"/>
                  </w:rPr>
                </w:pPr>
                <w:r>
                  <w:rPr>
                    <w:rFonts w:hint="eastAsia" w:ascii="Arial" w:hAnsi="宋体" w:cs="Arial"/>
                    <w:kern w:val="0"/>
                    <w:sz w:val="18"/>
                    <w:szCs w:val="18"/>
                  </w:rPr>
                  <w:t>期</w:t>
                </w:r>
                <w:r>
                  <w:rPr>
                    <w:rFonts w:hint="eastAsia" w:ascii="宋体" w:hAnsi="宋体" w:cs="宋体"/>
                    <w:color w:val="000000"/>
                    <w:kern w:val="0"/>
                    <w:sz w:val="18"/>
                    <w:szCs w:val="18"/>
                  </w:rPr>
                  <w:t>末余额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557" w:type="pct"/>
                <w:vMerge w:val="continue"/>
                <w:vAlign w:val="center"/>
              </w:tcPr>
              <w:p>
                <w:pPr>
                  <w:widowControl/>
                  <w:spacing w:line="480" w:lineRule="exact"/>
                  <w:ind w:firstLine="0" w:firstLineChars="0"/>
                  <w:jc w:val="left"/>
                  <w:rPr>
                    <w:rFonts w:ascii="宋体" w:hAnsi="宋体" w:cs="宋体"/>
                    <w:color w:val="000000"/>
                    <w:kern w:val="0"/>
                    <w:sz w:val="18"/>
                    <w:szCs w:val="18"/>
                  </w:rPr>
                </w:pPr>
              </w:p>
            </w:tc>
            <w:tc>
              <w:tcPr>
                <w:tcW w:w="905" w:type="pct"/>
                <w:vMerge w:val="continue"/>
                <w:vAlign w:val="center"/>
              </w:tcPr>
              <w:p>
                <w:pPr>
                  <w:widowControl/>
                  <w:spacing w:line="480" w:lineRule="exact"/>
                  <w:ind w:firstLine="0" w:firstLineChars="0"/>
                  <w:jc w:val="left"/>
                  <w:rPr>
                    <w:rFonts w:ascii="宋体" w:hAnsi="宋体" w:cs="宋体"/>
                    <w:color w:val="000000"/>
                    <w:kern w:val="0"/>
                    <w:sz w:val="18"/>
                    <w:szCs w:val="18"/>
                  </w:rPr>
                </w:pPr>
              </w:p>
            </w:tc>
            <w:tc>
              <w:tcPr>
                <w:tcW w:w="904" w:type="pct"/>
                <w:noWrap/>
                <w:vAlign w:val="center"/>
              </w:tcPr>
              <w:p>
                <w:pPr>
                  <w:widowControl/>
                  <w:spacing w:line="40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初始成本</w:t>
                </w:r>
              </w:p>
            </w:tc>
            <w:tc>
              <w:tcPr>
                <w:tcW w:w="413" w:type="pct"/>
                <w:noWrap/>
                <w:vAlign w:val="center"/>
              </w:tcPr>
              <w:p>
                <w:pPr>
                  <w:widowControl/>
                  <w:spacing w:line="40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利息调整</w:t>
                </w:r>
              </w:p>
            </w:tc>
            <w:tc>
              <w:tcPr>
                <w:tcW w:w="410" w:type="pct"/>
                <w:noWrap/>
                <w:vAlign w:val="center"/>
              </w:tcPr>
              <w:p>
                <w:pPr>
                  <w:widowControl/>
                  <w:spacing w:line="40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应计利息</w:t>
                </w:r>
              </w:p>
            </w:tc>
            <w:tc>
              <w:tcPr>
                <w:tcW w:w="495" w:type="pct"/>
                <w:noWrap/>
                <w:vAlign w:val="center"/>
              </w:tcPr>
              <w:p>
                <w:pPr>
                  <w:widowControl/>
                  <w:spacing w:line="40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公允价值变动</w:t>
                </w:r>
              </w:p>
            </w:tc>
            <w:tc>
              <w:tcPr>
                <w:tcW w:w="904" w:type="pct"/>
                <w:noWrap/>
                <w:vAlign w:val="center"/>
              </w:tcPr>
              <w:p>
                <w:pPr>
                  <w:widowControl/>
                  <w:spacing w:line="40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账面价值</w:t>
                </w:r>
              </w:p>
            </w:tc>
            <w:tc>
              <w:tcPr>
                <w:tcW w:w="412" w:type="pct"/>
                <w:noWrap/>
                <w:vAlign w:val="center"/>
              </w:tcPr>
              <w:p>
                <w:pPr>
                  <w:widowControl/>
                  <w:spacing w:line="30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减值准备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57" w:type="pct"/>
                <w:noWrap/>
                <w:vAlign w:val="center"/>
              </w:tcPr>
              <w:p>
                <w:pPr>
                  <w:widowControl/>
                  <w:spacing w:line="480" w:lineRule="exact"/>
                  <w:ind w:firstLine="0" w:firstLineChars="0"/>
                  <w:jc w:val="both"/>
                  <w:rPr>
                    <w:rFonts w:ascii="宋体" w:hAnsi="宋体" w:cs="宋体"/>
                    <w:color w:val="000000"/>
                    <w:kern w:val="0"/>
                    <w:sz w:val="18"/>
                    <w:szCs w:val="18"/>
                  </w:rPr>
                </w:pPr>
                <w:r>
                  <w:rPr>
                    <w:rFonts w:hint="eastAsia" w:ascii="宋体" w:hAnsi="宋体" w:cs="宋体"/>
                    <w:color w:val="000000"/>
                    <w:kern w:val="0"/>
                    <w:sz w:val="18"/>
                    <w:szCs w:val="18"/>
                  </w:rPr>
                  <w:t>应收票据</w:t>
                </w:r>
              </w:p>
            </w:tc>
            <w:tc>
              <w:tcPr>
                <w:tcW w:w="905"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r>
                  <w:rPr>
                    <w:rFonts w:hint="default" w:ascii="Times New Roman" w:hAnsi="Times New Roman" w:cs="Times New Roman"/>
                    <w:kern w:val="2"/>
                    <w:sz w:val="18"/>
                    <w:szCs w:val="18"/>
                  </w:rPr>
                  <w:t>12,393,253.29</w:t>
                </w:r>
              </w:p>
            </w:tc>
            <w:tc>
              <w:tcPr>
                <w:tcW w:w="904"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r>
                  <w:rPr>
                    <w:rFonts w:hint="default" w:ascii="Times New Roman" w:hAnsi="Times New Roman" w:cs="Times New Roman"/>
                    <w:kern w:val="2"/>
                    <w:sz w:val="18"/>
                    <w:szCs w:val="18"/>
                  </w:rPr>
                  <w:t>15,690,771.21</w:t>
                </w:r>
              </w:p>
            </w:tc>
            <w:tc>
              <w:tcPr>
                <w:tcW w:w="413"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p>
            </w:tc>
            <w:tc>
              <w:tcPr>
                <w:tcW w:w="410"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p>
            </w:tc>
            <w:tc>
              <w:tcPr>
                <w:tcW w:w="495"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p>
            </w:tc>
            <w:tc>
              <w:tcPr>
                <w:tcW w:w="904"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r>
                  <w:rPr>
                    <w:rFonts w:hint="default" w:ascii="Times New Roman" w:hAnsi="Times New Roman" w:cs="Times New Roman"/>
                    <w:kern w:val="2"/>
                    <w:sz w:val="18"/>
                    <w:szCs w:val="18"/>
                  </w:rPr>
                  <w:t>15,690,771.21</w:t>
                </w:r>
              </w:p>
            </w:tc>
            <w:tc>
              <w:tcPr>
                <w:tcW w:w="412" w:type="pct"/>
                <w:noWrap/>
                <w:vAlign w:val="center"/>
              </w:tcPr>
              <w:p>
                <w:pPr>
                  <w:widowControl/>
                  <w:spacing w:line="480" w:lineRule="exact"/>
                  <w:ind w:firstLine="0" w:firstLineChars="0"/>
                  <w:jc w:val="center"/>
                  <w:rPr>
                    <w:rFonts w:ascii="宋体" w:hAnsi="宋体" w:cs="Times New Roman"/>
                    <w:kern w:val="2"/>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557" w:type="pct"/>
                <w:noWrap/>
                <w:vAlign w:val="center"/>
              </w:tcPr>
              <w:p>
                <w:pPr>
                  <w:widowControl/>
                  <w:spacing w:line="480" w:lineRule="exact"/>
                  <w:ind w:firstLine="0" w:firstLineChars="0"/>
                  <w:jc w:val="both"/>
                  <w:rPr>
                    <w:rFonts w:ascii="宋体" w:hAnsi="宋体" w:cs="宋体"/>
                    <w:color w:val="000000"/>
                    <w:kern w:val="0"/>
                    <w:sz w:val="18"/>
                    <w:szCs w:val="18"/>
                  </w:rPr>
                </w:pPr>
                <w:r>
                  <w:rPr>
                    <w:rFonts w:hint="eastAsia" w:ascii="宋体" w:hAnsi="宋体" w:cs="宋体"/>
                    <w:color w:val="000000"/>
                    <w:kern w:val="0"/>
                    <w:sz w:val="18"/>
                    <w:szCs w:val="18"/>
                  </w:rPr>
                  <w:t>合计</w:t>
                </w:r>
              </w:p>
            </w:tc>
            <w:tc>
              <w:tcPr>
                <w:tcW w:w="905"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r>
                  <w:rPr>
                    <w:rFonts w:hint="default" w:ascii="Times New Roman" w:hAnsi="Times New Roman" w:cs="Times New Roman"/>
                    <w:kern w:val="2"/>
                    <w:sz w:val="18"/>
                    <w:szCs w:val="18"/>
                  </w:rPr>
                  <w:t>12,393,253.29</w:t>
                </w:r>
              </w:p>
            </w:tc>
            <w:tc>
              <w:tcPr>
                <w:tcW w:w="904"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r>
                  <w:rPr>
                    <w:rFonts w:hint="default" w:ascii="Times New Roman" w:hAnsi="Times New Roman" w:cs="Times New Roman"/>
                    <w:kern w:val="2"/>
                    <w:sz w:val="18"/>
                    <w:szCs w:val="18"/>
                  </w:rPr>
                  <w:t>15,690,771.21</w:t>
                </w:r>
              </w:p>
            </w:tc>
            <w:tc>
              <w:tcPr>
                <w:tcW w:w="413"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p>
            </w:tc>
            <w:tc>
              <w:tcPr>
                <w:tcW w:w="410"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p>
            </w:tc>
            <w:tc>
              <w:tcPr>
                <w:tcW w:w="495"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p>
            </w:tc>
            <w:tc>
              <w:tcPr>
                <w:tcW w:w="904" w:type="pct"/>
                <w:noWrap/>
                <w:vAlign w:val="center"/>
              </w:tcPr>
              <w:p>
                <w:pPr>
                  <w:widowControl/>
                  <w:spacing w:line="240" w:lineRule="auto"/>
                  <w:ind w:firstLine="0" w:firstLineChars="0"/>
                  <w:jc w:val="right"/>
                  <w:rPr>
                    <w:rFonts w:hint="default" w:ascii="Times New Roman" w:hAnsi="Times New Roman" w:cs="Times New Roman"/>
                    <w:kern w:val="2"/>
                    <w:sz w:val="18"/>
                    <w:szCs w:val="18"/>
                  </w:rPr>
                </w:pPr>
                <w:r>
                  <w:rPr>
                    <w:rFonts w:hint="default" w:ascii="Times New Roman" w:hAnsi="Times New Roman" w:cs="Times New Roman"/>
                    <w:kern w:val="2"/>
                    <w:sz w:val="18"/>
                    <w:szCs w:val="18"/>
                  </w:rPr>
                  <w:t>15,690,771.21</w:t>
                </w:r>
              </w:p>
            </w:tc>
            <w:tc>
              <w:tcPr>
                <w:tcW w:w="412" w:type="pct"/>
                <w:noWrap/>
                <w:vAlign w:val="center"/>
              </w:tcPr>
              <w:p>
                <w:pPr>
                  <w:widowControl/>
                  <w:spacing w:line="480" w:lineRule="exact"/>
                  <w:ind w:firstLine="0" w:firstLineChars="0"/>
                  <w:jc w:val="center"/>
                  <w:rPr>
                    <w:rFonts w:ascii="宋体" w:hAnsi="宋体" w:cs="Times New Roman"/>
                    <w:kern w:val="2"/>
                    <w:sz w:val="18"/>
                    <w:szCs w:val="18"/>
                  </w:rPr>
                </w:pPr>
              </w:p>
            </w:tc>
          </w:tr>
        </w:tbl>
        <w:p/>
      </w:sdtContent>
    </w:sdt>
    <w:p>
      <w:pPr>
        <w:outlineLvl w:val="9"/>
        <w:rPr>
          <w:rFonts w:hint="eastAsia"/>
        </w:rPr>
      </w:pPr>
    </w:p>
    <w:p/>
    <w:bookmarkEnd w:id="207"/>
    <w:bookmarkEnd w:id="208"/>
    <w:bookmarkEnd w:id="209"/>
    <w:p>
      <w:pPr>
        <w:pStyle w:val="196"/>
        <w:numPr>
          <w:ilvl w:val="0"/>
          <w:numId w:val="75"/>
        </w:numPr>
      </w:pPr>
      <w:r>
        <w:rPr>
          <w:rFonts w:hint="eastAsia"/>
        </w:rPr>
        <w:t>其他</w:t>
      </w:r>
      <w:r>
        <w:t>说明</w:t>
      </w:r>
      <w:r>
        <w:rPr>
          <w:rFonts w:hint="eastAsia"/>
        </w:rPr>
        <w:t>：</w:t>
      </w:r>
    </w:p>
    <w:sdt>
      <w:sdtPr>
        <w:rPr>
          <w:rFonts w:hint="eastAsia"/>
        </w:rPr>
        <w:alias w:val="是否适用：应收款项融资其他说明[双击切换]"/>
        <w:tag w:val="_GBC_19d5ef5dfbe64f2d98d9ab83a2e48c14"/>
        <w:id w:val="26791"/>
        <w:placeholder>
          <w:docPart w:val="GBC22222222222222222222222222222"/>
        </w:placeholder>
      </w:sdtPr>
      <w:sdtEndPr>
        <w:rPr>
          <w:rFonts w:hint="eastAsia"/>
        </w:rPr>
      </w:sdtEndPr>
      <w:sdtContent>
        <w:p>
          <w:pPr>
            <w:outlineLvl w:val="9"/>
            <w:rPr>
              <w:szCs w:val="21"/>
            </w:rPr>
          </w:pPr>
          <w:bookmarkStart w:id="212" w:name="_Hlk13057390"/>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End w:id="212"/>
        </w:p>
      </w:sdtContent>
    </w:sdt>
    <w:p>
      <w:pPr>
        <w:rPr>
          <w:szCs w:val="21"/>
        </w:rPr>
      </w:pPr>
    </w:p>
    <w:p>
      <w:pPr>
        <w:pStyle w:val="229"/>
        <w:numPr>
          <w:ilvl w:val="0"/>
          <w:numId w:val="71"/>
        </w:numPr>
      </w:pPr>
      <w:r>
        <w:rPr>
          <w:rFonts w:hint="eastAsia"/>
        </w:rPr>
        <w:t>预付款项</w:t>
      </w:r>
    </w:p>
    <w:p>
      <w:pPr>
        <w:pStyle w:val="196"/>
        <w:numPr>
          <w:ilvl w:val="3"/>
          <w:numId w:val="76"/>
        </w:numPr>
        <w:ind w:left="426" w:hanging="426"/>
      </w:pPr>
      <w:r>
        <w:rPr>
          <w:rFonts w:hint="eastAsia"/>
        </w:rPr>
        <w:t>预付款项按账龄列示</w:t>
      </w:r>
    </w:p>
    <w:sdt>
      <w:sdtPr>
        <w:rPr>
          <w:rFonts w:hint="eastAsia"/>
        </w:rPr>
        <w:alias w:val="是否适用：预付款项按账龄列示[双击切换]"/>
        <w:tag w:val="_GBC_9c50af2eedb44a33921bab4a9f5ef35c"/>
        <w:id w:val="26792"/>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预付账款账龄"/>
          <w:tag w:val="_GBC_25e874c523c14d528beabbdb96c27981"/>
          <w:id w:val="267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267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5"/>
        <w:gridCol w:w="1927"/>
        <w:gridCol w:w="1910"/>
        <w:gridCol w:w="1910"/>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rPr>
              <w:rFonts w:ascii="Times New Roman" w:hAnsi="Times New Roman"/>
            </w:rPr>
            <w:tag w:val="_PLD_497c76328aa14442bd9ed8d02efaffdc"/>
            <w:id w:val="26795"/>
          </w:sdtPr>
          <w:sdtEndPr>
            <w:rPr>
              <w:rFonts w:ascii="Times New Roman" w:hAnsi="Times New Roman"/>
            </w:rPr>
          </w:sdtEndPr>
          <w:sdtContent>
            <w:tc>
              <w:tcPr>
                <w:tcW w:w="764" w:type="pct"/>
                <w:vMerge w:val="restart"/>
                <w:vAlign w:val="center"/>
              </w:tcPr>
              <w:p>
                <w:pPr>
                  <w:ind w:right="5"/>
                  <w:jc w:val="center"/>
                  <w:rPr>
                    <w:rFonts w:ascii="Times New Roman" w:hAnsi="Times New Roman"/>
                    <w:szCs w:val="21"/>
                  </w:rPr>
                </w:pPr>
                <w:r>
                  <w:rPr>
                    <w:rFonts w:hint="eastAsia" w:ascii="Times New Roman" w:hAnsi="Times New Roman"/>
                    <w:szCs w:val="21"/>
                  </w:rPr>
                  <w:t>账龄</w:t>
                </w:r>
              </w:p>
            </w:tc>
          </w:sdtContent>
        </w:sdt>
        <w:sdt>
          <w:sdtPr>
            <w:rPr>
              <w:rFonts w:ascii="Times New Roman" w:hAnsi="Times New Roman"/>
            </w:rPr>
            <w:tag w:val="_PLD_3c7cef9fd55549768916decb59114918"/>
            <w:id w:val="26796"/>
          </w:sdtPr>
          <w:sdtEndPr>
            <w:rPr>
              <w:rFonts w:ascii="Times New Roman" w:hAnsi="Times New Roman"/>
            </w:rPr>
          </w:sdtEndPr>
          <w:sdtContent>
            <w:tc>
              <w:tcPr>
                <w:tcW w:w="2117" w:type="pct"/>
                <w:gridSpan w:val="2"/>
                <w:vAlign w:val="center"/>
              </w:tcPr>
              <w:p>
                <w:pPr>
                  <w:ind w:right="5"/>
                  <w:jc w:val="center"/>
                  <w:rPr>
                    <w:rFonts w:ascii="Times New Roman" w:hAnsi="Times New Roman"/>
                    <w:szCs w:val="21"/>
                  </w:rPr>
                </w:pPr>
                <w:r>
                  <w:rPr>
                    <w:rFonts w:hint="eastAsia" w:ascii="Times New Roman" w:hAnsi="Times New Roman"/>
                    <w:szCs w:val="21"/>
                  </w:rPr>
                  <w:t>期末余额</w:t>
                </w:r>
              </w:p>
            </w:tc>
          </w:sdtContent>
        </w:sdt>
        <w:sdt>
          <w:sdtPr>
            <w:rPr>
              <w:rFonts w:ascii="Times New Roman" w:hAnsi="Times New Roman"/>
            </w:rPr>
            <w:tag w:val="_PLD_3338d9aea932468fa8faa1bef2db4526"/>
            <w:id w:val="26797"/>
          </w:sdtPr>
          <w:sdtEndPr>
            <w:rPr>
              <w:rFonts w:ascii="Times New Roman" w:hAnsi="Times New Roman"/>
            </w:rPr>
          </w:sdtEndPr>
          <w:sdtContent>
            <w:tc>
              <w:tcPr>
                <w:tcW w:w="2117" w:type="pct"/>
                <w:gridSpan w:val="2"/>
                <w:vAlign w:val="center"/>
              </w:tcPr>
              <w:p>
                <w:pPr>
                  <w:ind w:right="5"/>
                  <w:jc w:val="center"/>
                  <w:rPr>
                    <w:rFonts w:ascii="Times New Roman" w:hAnsi="Times New Roman"/>
                    <w:szCs w:val="21"/>
                  </w:rPr>
                </w:pPr>
                <w:r>
                  <w:rPr>
                    <w:rFonts w:hint="eastAsia" w:ascii="Times New Roman" w:hAnsi="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vMerge w:val="continue"/>
          </w:tcPr>
          <w:p>
            <w:pPr>
              <w:rPr>
                <w:rFonts w:ascii="Times New Roman" w:hAnsi="Times New Roman"/>
                <w:szCs w:val="21"/>
              </w:rPr>
            </w:pPr>
          </w:p>
        </w:tc>
        <w:sdt>
          <w:sdtPr>
            <w:rPr>
              <w:rFonts w:ascii="Times New Roman" w:hAnsi="Times New Roman"/>
            </w:rPr>
            <w:tag w:val="_PLD_2b1b05d61c574fe485d979f04a81c8c9"/>
            <w:id w:val="26798"/>
          </w:sdtPr>
          <w:sdtEndPr>
            <w:rPr>
              <w:rFonts w:ascii="Times New Roman" w:hAnsi="Times New Roman"/>
            </w:rPr>
          </w:sdtEndPr>
          <w:sdtContent>
            <w:tc>
              <w:tcPr>
                <w:tcW w:w="1063" w:type="pct"/>
                <w:vAlign w:val="center"/>
              </w:tcPr>
              <w:p>
                <w:pPr>
                  <w:ind w:right="5"/>
                  <w:jc w:val="center"/>
                  <w:rPr>
                    <w:rFonts w:ascii="Times New Roman" w:hAnsi="Times New Roman"/>
                    <w:szCs w:val="21"/>
                  </w:rPr>
                </w:pPr>
                <w:r>
                  <w:rPr>
                    <w:rFonts w:hint="eastAsia" w:ascii="Times New Roman" w:hAnsi="Times New Roman"/>
                    <w:szCs w:val="21"/>
                  </w:rPr>
                  <w:t>金额</w:t>
                </w:r>
              </w:p>
            </w:tc>
          </w:sdtContent>
        </w:sdt>
        <w:sdt>
          <w:sdtPr>
            <w:rPr>
              <w:rFonts w:ascii="Times New Roman" w:hAnsi="Times New Roman"/>
            </w:rPr>
            <w:tag w:val="_PLD_7faf25028eff45ce8c6bf33a9060f296"/>
            <w:id w:val="26799"/>
          </w:sdtPr>
          <w:sdtEndPr>
            <w:rPr>
              <w:rFonts w:ascii="Times New Roman" w:hAnsi="Times New Roman"/>
            </w:rPr>
          </w:sdtEndPr>
          <w:sdtContent>
            <w:tc>
              <w:tcPr>
                <w:tcW w:w="1054" w:type="pct"/>
                <w:vAlign w:val="center"/>
              </w:tcPr>
              <w:p>
                <w:pPr>
                  <w:ind w:right="5"/>
                  <w:jc w:val="center"/>
                  <w:rPr>
                    <w:rFonts w:ascii="Times New Roman" w:hAnsi="Times New Roman"/>
                    <w:szCs w:val="21"/>
                  </w:rPr>
                </w:pPr>
                <w:r>
                  <w:rPr>
                    <w:rFonts w:hint="eastAsia" w:ascii="Times New Roman" w:hAnsi="Times New Roman"/>
                    <w:szCs w:val="21"/>
                  </w:rPr>
                  <w:t>比例</w:t>
                </w:r>
                <w:r>
                  <w:rPr>
                    <w:rFonts w:ascii="Times New Roman" w:hAnsi="Times New Roman"/>
                    <w:szCs w:val="21"/>
                  </w:rPr>
                  <w:t>(%)</w:t>
                </w:r>
              </w:p>
            </w:tc>
          </w:sdtContent>
        </w:sdt>
        <w:sdt>
          <w:sdtPr>
            <w:rPr>
              <w:rFonts w:ascii="Times New Roman" w:hAnsi="Times New Roman"/>
            </w:rPr>
            <w:tag w:val="_PLD_56219e7f20ba4e60b1a3edd32c1c534e"/>
            <w:id w:val="26800"/>
          </w:sdtPr>
          <w:sdtEndPr>
            <w:rPr>
              <w:rFonts w:ascii="Times New Roman" w:hAnsi="Times New Roman"/>
            </w:rPr>
          </w:sdtEndPr>
          <w:sdtContent>
            <w:tc>
              <w:tcPr>
                <w:tcW w:w="1054" w:type="pct"/>
                <w:vAlign w:val="center"/>
              </w:tcPr>
              <w:p>
                <w:pPr>
                  <w:ind w:right="5"/>
                  <w:jc w:val="center"/>
                  <w:rPr>
                    <w:rFonts w:ascii="Times New Roman" w:hAnsi="Times New Roman"/>
                    <w:szCs w:val="21"/>
                  </w:rPr>
                </w:pPr>
                <w:r>
                  <w:rPr>
                    <w:rFonts w:hint="eastAsia" w:ascii="Times New Roman" w:hAnsi="Times New Roman"/>
                    <w:szCs w:val="21"/>
                  </w:rPr>
                  <w:t>金额</w:t>
                </w:r>
              </w:p>
            </w:tc>
          </w:sdtContent>
        </w:sdt>
        <w:sdt>
          <w:sdtPr>
            <w:rPr>
              <w:rFonts w:ascii="Times New Roman" w:hAnsi="Times New Roman"/>
            </w:rPr>
            <w:tag w:val="_PLD_430fca228ced43ada83018b2091f7abf"/>
            <w:id w:val="26801"/>
          </w:sdtPr>
          <w:sdtEndPr>
            <w:rPr>
              <w:rFonts w:ascii="Times New Roman" w:hAnsi="Times New Roman"/>
            </w:rPr>
          </w:sdtEndPr>
          <w:sdtContent>
            <w:tc>
              <w:tcPr>
                <w:tcW w:w="1063" w:type="pct"/>
                <w:vAlign w:val="center"/>
              </w:tcPr>
              <w:p>
                <w:pPr>
                  <w:ind w:right="5"/>
                  <w:jc w:val="center"/>
                  <w:rPr>
                    <w:rFonts w:ascii="Times New Roman" w:hAnsi="Times New Roman"/>
                    <w:szCs w:val="21"/>
                  </w:rPr>
                </w:pPr>
                <w:r>
                  <w:rPr>
                    <w:rFonts w:hint="eastAsia" w:ascii="Times New Roman" w:hAnsi="Times New Roman"/>
                    <w:szCs w:val="21"/>
                  </w:rPr>
                  <w:t>比例</w:t>
                </w:r>
                <w:r>
                  <w:rPr>
                    <w:rFonts w:ascii="Times New Roman" w:hAnsi="Times New Roman"/>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tc>
          <w:tcPr>
            <w:tcW w:w="764" w:type="pct"/>
          </w:tcPr>
          <w:p>
            <w:pPr>
              <w:ind w:right="5"/>
              <w:rPr>
                <w:rFonts w:ascii="Times New Roman" w:hAnsi="Times New Roman"/>
                <w:szCs w:val="21"/>
              </w:rPr>
            </w:pPr>
            <w:r>
              <w:rPr>
                <w:rFonts w:hint="eastAsia" w:ascii="Times New Roman" w:hAnsi="Times New Roman"/>
                <w:szCs w:val="21"/>
              </w:rPr>
              <w:t>1年以内</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 16,097,970.04</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 92.52</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19,359,140.32</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94.69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rPr>
                <w:rFonts w:ascii="Times New Roman" w:hAnsi="Times New Roman"/>
                <w:szCs w:val="21"/>
              </w:rPr>
            </w:pPr>
            <w:r>
              <w:rPr>
                <w:rFonts w:hint="eastAsia" w:ascii="Times New Roman" w:hAnsi="Times New Roman"/>
                <w:szCs w:val="21"/>
              </w:rPr>
              <w:t>1至2年</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 484,956.59</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 2.79</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314,511.68</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rPr>
                <w:rFonts w:ascii="Times New Roman" w:hAnsi="Times New Roman"/>
                <w:szCs w:val="21"/>
              </w:rPr>
            </w:pPr>
            <w:r>
              <w:rPr>
                <w:rFonts w:hint="eastAsia" w:ascii="Times New Roman" w:hAnsi="Times New Roman"/>
                <w:szCs w:val="21"/>
              </w:rPr>
              <w:t>2至3年</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 160,707.92</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 0.92</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608,671.63</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rPr>
                <w:rFonts w:ascii="Times New Roman" w:hAnsi="Times New Roman"/>
                <w:szCs w:val="21"/>
              </w:rPr>
            </w:pPr>
            <w:r>
              <w:rPr>
                <w:rFonts w:hint="eastAsia" w:ascii="Times New Roman" w:hAnsi="Times New Roman"/>
                <w:szCs w:val="21"/>
              </w:rPr>
              <w:t>3年以上</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 656,495.21</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 3.77</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163,112.71</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jc w:val="center"/>
              <w:rPr>
                <w:rFonts w:ascii="Times New Roman" w:hAnsi="Times New Roman"/>
                <w:szCs w:val="21"/>
              </w:rPr>
            </w:pPr>
            <w:r>
              <w:rPr>
                <w:rFonts w:hint="eastAsia" w:ascii="Times New Roman" w:hAnsi="Times New Roman"/>
                <w:szCs w:val="21"/>
              </w:rPr>
              <w:t>合计</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 17,400,129.76</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 100.00</w:t>
            </w:r>
          </w:p>
        </w:tc>
        <w:tc>
          <w:tcPr>
            <w:tcW w:w="1054" w:type="pct"/>
          </w:tcPr>
          <w:p>
            <w:pPr>
              <w:ind w:right="5"/>
              <w:jc w:val="right"/>
              <w:rPr>
                <w:rFonts w:hint="default" w:ascii="Times New Roman" w:hAnsi="Times New Roman" w:cs="Times New Roman"/>
                <w:szCs w:val="21"/>
              </w:rPr>
            </w:pPr>
            <w:r>
              <w:rPr>
                <w:rFonts w:hint="default" w:ascii="Times New Roman" w:hAnsi="Times New Roman" w:cs="Times New Roman"/>
              </w:rPr>
              <w:t>20,445,436.34</w:t>
            </w:r>
          </w:p>
        </w:tc>
        <w:tc>
          <w:tcPr>
            <w:tcW w:w="1063" w:type="pct"/>
          </w:tcPr>
          <w:p>
            <w:pPr>
              <w:ind w:right="5"/>
              <w:jc w:val="right"/>
              <w:rPr>
                <w:rFonts w:hint="default" w:ascii="Times New Roman" w:hAnsi="Times New Roman" w:cs="Times New Roman"/>
                <w:szCs w:val="21"/>
              </w:rPr>
            </w:pPr>
            <w:r>
              <w:rPr>
                <w:rFonts w:hint="default" w:ascii="Times New Roman" w:hAnsi="Times New Roman" w:cs="Times New Roman"/>
              </w:rPr>
              <w:t>100.00</w:t>
            </w:r>
          </w:p>
        </w:tc>
      </w:tr>
    </w:tbl>
    <w:p/>
    <w:p/>
    <w:p>
      <w:pPr>
        <w:rPr>
          <w:szCs w:val="21"/>
        </w:rPr>
      </w:pPr>
      <w:r>
        <w:t>账</w:t>
      </w:r>
      <w:r>
        <w:rPr>
          <w:rFonts w:hint="eastAsia"/>
          <w:szCs w:val="21"/>
        </w:rPr>
        <w:t>龄超过1年且金额重要的预付款项未及时结算原因</w:t>
      </w:r>
      <w:r>
        <w:rPr>
          <w:szCs w:val="21"/>
        </w:rPr>
        <w:t>的说明：</w:t>
      </w:r>
    </w:p>
    <w:sdt>
      <w:sdtPr>
        <w:rPr>
          <w:rFonts w:hint="eastAsia"/>
          <w:szCs w:val="21"/>
        </w:rPr>
        <w:alias w:val="账龄超过1年且金额重要的预付款项未及时结算原因的说明"/>
        <w:tag w:val="_GBC_21bfefabbdb8489685d0bb3ee64c2ca5"/>
        <w:id w:val="26802"/>
        <w:placeholder>
          <w:docPart w:val="GBC22222222222222222222222222222"/>
        </w:placeholder>
      </w:sdtPr>
      <w:sdtEndPr>
        <w:rPr>
          <w:rFonts w:hint="eastAsia"/>
          <w:szCs w:val="21"/>
        </w:rPr>
      </w:sdtEndPr>
      <w:sdtContent>
        <w:p>
          <w:r>
            <w:rPr>
              <w:rFonts w:hint="eastAsia"/>
              <w:szCs w:val="21"/>
            </w:rPr>
            <w:t>期末公司无账龄超过1年的重要预付账款</w:t>
          </w:r>
        </w:p>
      </w:sdtContent>
    </w:sdt>
    <w:p/>
    <w:p>
      <w:pPr>
        <w:pStyle w:val="196"/>
        <w:numPr>
          <w:ilvl w:val="3"/>
          <w:numId w:val="76"/>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26803"/>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1"/>
        <w:gridCol w:w="3013"/>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sdt>
          <w:sdtPr>
            <w:rPr>
              <w:rFonts w:hint="eastAsia" w:ascii="Times New Roman" w:hAnsi="Times New Roman"/>
              <w:szCs w:val="21"/>
            </w:rPr>
            <w:tag w:val="_PLD_0ab17d7ae0014b6192c9dd0e6d3d3a25"/>
            <w:id w:val="13931"/>
          </w:sdtPr>
          <w:sdtEndPr>
            <w:rPr>
              <w:rFonts w:hint="eastAsia" w:ascii="Times New Roman" w:hAnsi="Times New Roman"/>
              <w:szCs w:val="21"/>
            </w:rPr>
          </w:sdtEndPr>
          <w:sdtContent>
            <w:tc>
              <w:tcPr>
                <w:tcW w:w="1666" w:type="pct"/>
                <w:vAlign w:val="center"/>
              </w:tcPr>
              <w:p>
                <w:pPr>
                  <w:ind w:right="105"/>
                  <w:jc w:val="center"/>
                  <w:rPr>
                    <w:rFonts w:ascii="Times New Roman" w:hAnsi="Times New Roman"/>
                    <w:szCs w:val="21"/>
                  </w:rPr>
                </w:pPr>
                <w:r>
                  <w:rPr>
                    <w:rFonts w:hint="eastAsia" w:ascii="Times New Roman" w:hAnsi="Times New Roman"/>
                    <w:szCs w:val="21"/>
                  </w:rPr>
                  <w:t>单位名称</w:t>
                </w:r>
              </w:p>
            </w:tc>
          </w:sdtContent>
        </w:sdt>
        <w:sdt>
          <w:sdtPr>
            <w:rPr>
              <w:rFonts w:hint="eastAsia" w:ascii="Times New Roman" w:hAnsi="Times New Roman"/>
              <w:szCs w:val="21"/>
            </w:rPr>
            <w:tag w:val="_PLD_cdd4a1e632c94d14908eb36a620946a9"/>
            <w:id w:val="13932"/>
          </w:sdtPr>
          <w:sdtEndPr>
            <w:rPr>
              <w:rFonts w:hint="eastAsia" w:ascii="Times New Roman" w:hAnsi="Times New Roman"/>
              <w:szCs w:val="21"/>
            </w:rPr>
          </w:sdtEndPr>
          <w:sdtContent>
            <w:tc>
              <w:tcPr>
                <w:tcW w:w="1667" w:type="pct"/>
                <w:vAlign w:val="center"/>
              </w:tcPr>
              <w:p>
                <w:pPr>
                  <w:ind w:right="73"/>
                  <w:jc w:val="center"/>
                  <w:rPr>
                    <w:rFonts w:ascii="Times New Roman" w:hAnsi="Times New Roman"/>
                    <w:szCs w:val="21"/>
                  </w:rPr>
                </w:pPr>
                <w:r>
                  <w:rPr>
                    <w:rFonts w:hint="eastAsia" w:ascii="Times New Roman" w:hAnsi="Times New Roman"/>
                    <w:szCs w:val="21"/>
                  </w:rPr>
                  <w:t>期末余额</w:t>
                </w:r>
              </w:p>
            </w:tc>
          </w:sdtContent>
        </w:sdt>
        <w:sdt>
          <w:sdtPr>
            <w:rPr>
              <w:rFonts w:hint="eastAsia" w:ascii="Times New Roman" w:hAnsi="Times New Roman"/>
              <w:szCs w:val="21"/>
            </w:rPr>
            <w:tag w:val="_PLD_c9db34035f63426095900b82cc8a8131"/>
            <w:id w:val="13933"/>
          </w:sdtPr>
          <w:sdtEndPr>
            <w:rPr>
              <w:rFonts w:hint="default" w:ascii="Times New Roman" w:hAnsi="Times New Roman"/>
              <w:szCs w:val="21"/>
            </w:rPr>
          </w:sdtEndPr>
          <w:sdtContent>
            <w:tc>
              <w:tcPr>
                <w:tcW w:w="1667" w:type="pct"/>
                <w:vAlign w:val="center"/>
              </w:tcPr>
              <w:p>
                <w:pPr>
                  <w:jc w:val="center"/>
                  <w:rPr>
                    <w:rFonts w:ascii="Times New Roman" w:hAnsi="Times New Roman"/>
                    <w:szCs w:val="21"/>
                  </w:rPr>
                </w:pPr>
                <w:r>
                  <w:rPr>
                    <w:rFonts w:hint="eastAsia" w:ascii="Times New Roman" w:hAnsi="Times New Roman"/>
                    <w:szCs w:val="21"/>
                  </w:rPr>
                  <w:t>占预付款项期末余额合计数的比例(</w:t>
                </w:r>
                <w:r>
                  <w:rPr>
                    <w:rFonts w:ascii="Times New Roman" w:hAnsi="Times New Roman"/>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szCs w:val="21"/>
              </w:rPr>
            </w:pPr>
            <w:r>
              <w:rPr>
                <w:rFonts w:ascii="Times New Roman" w:hAnsi="Times New Roman"/>
              </w:rPr>
              <w:t>第一名</w:t>
            </w:r>
          </w:p>
        </w:tc>
        <w:tc>
          <w:tcPr>
            <w:tcW w:w="1667" w:type="pct"/>
          </w:tcPr>
          <w:p>
            <w:pPr>
              <w:ind w:right="73"/>
              <w:jc w:val="right"/>
              <w:rPr>
                <w:rFonts w:ascii="Times New Roman" w:hAnsi="Times New Roman"/>
                <w:szCs w:val="21"/>
              </w:rPr>
            </w:pPr>
            <w:r>
              <w:rPr>
                <w:rFonts w:ascii="Times New Roman" w:hAnsi="Times New Roman"/>
                <w:color w:val="auto"/>
              </w:rPr>
              <w:t> 4,692,804.00</w:t>
            </w:r>
          </w:p>
        </w:tc>
        <w:tc>
          <w:tcPr>
            <w:tcW w:w="1667" w:type="pct"/>
          </w:tcPr>
          <w:p>
            <w:pPr>
              <w:ind w:right="73"/>
              <w:jc w:val="right"/>
              <w:rPr>
                <w:rFonts w:ascii="Times New Roman" w:hAnsi="Times New Roman"/>
                <w:color w:val="auto"/>
              </w:rPr>
            </w:pPr>
            <w:r>
              <w:rPr>
                <w:rFonts w:ascii="Times New Roman" w:hAnsi="Times New Roman"/>
                <w:color w:val="auto"/>
              </w:rPr>
              <w:t>26.97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szCs w:val="21"/>
              </w:rPr>
            </w:pPr>
            <w:r>
              <w:rPr>
                <w:rFonts w:ascii="Times New Roman" w:hAnsi="Times New Roman"/>
              </w:rPr>
              <w:t>第二名</w:t>
            </w:r>
          </w:p>
        </w:tc>
        <w:tc>
          <w:tcPr>
            <w:tcW w:w="1667" w:type="pct"/>
          </w:tcPr>
          <w:p>
            <w:pPr>
              <w:ind w:right="73"/>
              <w:jc w:val="right"/>
              <w:rPr>
                <w:rFonts w:ascii="Times New Roman" w:hAnsi="Times New Roman"/>
                <w:szCs w:val="21"/>
              </w:rPr>
            </w:pPr>
            <w:r>
              <w:rPr>
                <w:rFonts w:ascii="Times New Roman" w:hAnsi="Times New Roman"/>
                <w:color w:val="auto"/>
              </w:rPr>
              <w:t> 1,660,413.03</w:t>
            </w:r>
          </w:p>
        </w:tc>
        <w:tc>
          <w:tcPr>
            <w:tcW w:w="1667" w:type="pct"/>
          </w:tcPr>
          <w:p>
            <w:pPr>
              <w:ind w:right="73"/>
              <w:jc w:val="right"/>
              <w:rPr>
                <w:rFonts w:ascii="Times New Roman" w:hAnsi="Times New Roman"/>
                <w:color w:val="auto"/>
              </w:rPr>
            </w:pPr>
            <w:r>
              <w:rPr>
                <w:rFonts w:ascii="Times New Roman" w:hAnsi="Times New Roman"/>
                <w:color w:val="auto"/>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szCs w:val="21"/>
              </w:rPr>
            </w:pPr>
            <w:r>
              <w:rPr>
                <w:rFonts w:ascii="Times New Roman" w:hAnsi="Times New Roman"/>
              </w:rPr>
              <w:t>第三名</w:t>
            </w:r>
          </w:p>
        </w:tc>
        <w:tc>
          <w:tcPr>
            <w:tcW w:w="1667" w:type="pct"/>
          </w:tcPr>
          <w:p>
            <w:pPr>
              <w:ind w:right="73"/>
              <w:jc w:val="right"/>
              <w:rPr>
                <w:rFonts w:ascii="Times New Roman" w:hAnsi="Times New Roman"/>
                <w:szCs w:val="21"/>
              </w:rPr>
            </w:pPr>
            <w:r>
              <w:rPr>
                <w:rFonts w:ascii="Times New Roman" w:hAnsi="Times New Roman"/>
                <w:color w:val="auto"/>
              </w:rPr>
              <w:t> 817,544.93</w:t>
            </w:r>
          </w:p>
        </w:tc>
        <w:tc>
          <w:tcPr>
            <w:tcW w:w="1667" w:type="pct"/>
          </w:tcPr>
          <w:p>
            <w:pPr>
              <w:ind w:right="73"/>
              <w:jc w:val="right"/>
              <w:rPr>
                <w:rFonts w:ascii="Times New Roman" w:hAnsi="Times New Roman"/>
                <w:color w:val="auto"/>
              </w:rPr>
            </w:pPr>
            <w:r>
              <w:rPr>
                <w:rFonts w:ascii="Times New Roman" w:hAnsi="Times New Roman"/>
                <w:color w:val="auto"/>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szCs w:val="21"/>
              </w:rPr>
            </w:pPr>
            <w:r>
              <w:rPr>
                <w:rFonts w:ascii="Times New Roman" w:hAnsi="Times New Roman"/>
              </w:rPr>
              <w:t>第四名</w:t>
            </w:r>
          </w:p>
        </w:tc>
        <w:tc>
          <w:tcPr>
            <w:tcW w:w="1667" w:type="pct"/>
          </w:tcPr>
          <w:p>
            <w:pPr>
              <w:ind w:right="73"/>
              <w:jc w:val="right"/>
              <w:rPr>
                <w:rFonts w:ascii="Times New Roman" w:hAnsi="Times New Roman"/>
                <w:szCs w:val="21"/>
              </w:rPr>
            </w:pPr>
            <w:r>
              <w:rPr>
                <w:rFonts w:ascii="Times New Roman" w:hAnsi="Times New Roman"/>
                <w:color w:val="auto"/>
              </w:rPr>
              <w:t>684,141.56</w:t>
            </w:r>
          </w:p>
        </w:tc>
        <w:tc>
          <w:tcPr>
            <w:tcW w:w="1667" w:type="pct"/>
          </w:tcPr>
          <w:p>
            <w:pPr>
              <w:ind w:right="73"/>
              <w:jc w:val="right"/>
              <w:rPr>
                <w:rFonts w:ascii="Times New Roman" w:hAnsi="Times New Roman"/>
                <w:color w:val="auto"/>
              </w:rPr>
            </w:pPr>
            <w:r>
              <w:rPr>
                <w:rFonts w:ascii="Times New Roman" w:hAnsi="Times New Roman"/>
                <w:color w:val="auto"/>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szCs w:val="21"/>
              </w:rPr>
            </w:pPr>
            <w:r>
              <w:rPr>
                <w:rFonts w:ascii="Times New Roman" w:hAnsi="Times New Roman"/>
              </w:rPr>
              <w:t>第五名</w:t>
            </w:r>
          </w:p>
        </w:tc>
        <w:tc>
          <w:tcPr>
            <w:tcW w:w="1667" w:type="pct"/>
          </w:tcPr>
          <w:p>
            <w:pPr>
              <w:ind w:right="73"/>
              <w:jc w:val="right"/>
              <w:rPr>
                <w:rFonts w:ascii="Times New Roman" w:hAnsi="Times New Roman"/>
                <w:szCs w:val="21"/>
              </w:rPr>
            </w:pPr>
            <w:r>
              <w:rPr>
                <w:rFonts w:ascii="Times New Roman" w:hAnsi="Times New Roman"/>
                <w:color w:val="auto"/>
              </w:rPr>
              <w:t>656,708.53</w:t>
            </w:r>
          </w:p>
        </w:tc>
        <w:tc>
          <w:tcPr>
            <w:tcW w:w="1667" w:type="pct"/>
          </w:tcPr>
          <w:p>
            <w:pPr>
              <w:ind w:right="73"/>
              <w:jc w:val="right"/>
              <w:rPr>
                <w:rFonts w:ascii="Times New Roman" w:hAnsi="Times New Roman"/>
                <w:color w:val="auto"/>
              </w:rPr>
            </w:pPr>
            <w:r>
              <w:rPr>
                <w:rFonts w:ascii="Times New Roman" w:hAnsi="Times New Roman"/>
                <w:color w:val="auto"/>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jc w:val="center"/>
              <w:rPr>
                <w:rFonts w:ascii="Times New Roman" w:hAnsi="Times New Roman"/>
                <w:szCs w:val="21"/>
              </w:rPr>
            </w:pPr>
            <w:r>
              <w:rPr>
                <w:rFonts w:hint="eastAsia" w:ascii="Times New Roman" w:hAnsi="Times New Roman"/>
                <w:szCs w:val="21"/>
              </w:rPr>
              <w:t>合计</w:t>
            </w:r>
          </w:p>
        </w:tc>
        <w:tc>
          <w:tcPr>
            <w:tcW w:w="1667" w:type="pct"/>
          </w:tcPr>
          <w:p>
            <w:pPr>
              <w:ind w:right="73"/>
              <w:jc w:val="right"/>
              <w:rPr>
                <w:rFonts w:ascii="Times New Roman" w:hAnsi="Times New Roman"/>
                <w:szCs w:val="21"/>
              </w:rPr>
            </w:pPr>
            <w:r>
              <w:rPr>
                <w:rFonts w:ascii="Times New Roman" w:hAnsi="Times New Roman"/>
                <w:color w:val="auto"/>
              </w:rPr>
              <w:t xml:space="preserve"> 8,511,612.05</w:t>
            </w:r>
          </w:p>
        </w:tc>
        <w:tc>
          <w:tcPr>
            <w:tcW w:w="1667" w:type="pct"/>
          </w:tcPr>
          <w:p>
            <w:pPr>
              <w:ind w:right="73"/>
              <w:jc w:val="right"/>
              <w:rPr>
                <w:rFonts w:ascii="Times New Roman" w:hAnsi="Times New Roman"/>
                <w:color w:val="auto"/>
              </w:rPr>
            </w:pPr>
            <w:r>
              <w:rPr>
                <w:rFonts w:ascii="Times New Roman" w:hAnsi="Times New Roman"/>
                <w:color w:val="auto"/>
              </w:rPr>
              <w:t>48.91</w:t>
            </w:r>
          </w:p>
        </w:tc>
      </w:tr>
    </w:tbl>
    <w:p/>
    <w:p>
      <w:pPr>
        <w:snapToGrid w:val="0"/>
        <w:spacing w:line="240" w:lineRule="atLeast"/>
        <w:rPr>
          <w:szCs w:val="21"/>
        </w:rPr>
      </w:pPr>
    </w:p>
    <w:p>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26807"/>
        <w:placeholder>
          <w:docPart w:val="GBC22222222222222222222222222222"/>
        </w:placeholder>
      </w:sdtPr>
      <w:sdtEndPr>
        <w:rPr>
          <w:szCs w:val="21"/>
        </w:rPr>
      </w:sdtEndPr>
      <w:sdtContent>
        <w:p>
          <w:pPr>
            <w:snapToGrid w:val="0"/>
            <w:spacing w:line="240" w:lineRule="atLeast"/>
            <w:rPr>
              <w:szCs w:val="21"/>
            </w:rPr>
          </w:pPr>
          <w:r>
            <w:rPr>
              <w:rFonts w:hint="eastAsia"/>
              <w:szCs w:val="21"/>
              <w:lang w:eastAsia="zh-CN"/>
            </w:rPr>
            <w:t>无</w:t>
          </w:r>
        </w:p>
      </w:sdtContent>
    </w:sdt>
    <w:p>
      <w:pPr>
        <w:snapToGrid w:val="0"/>
        <w:spacing w:line="240" w:lineRule="atLeast"/>
        <w:rPr>
          <w:szCs w:val="21"/>
        </w:rPr>
      </w:pPr>
    </w:p>
    <w:p>
      <w:r>
        <w:rPr>
          <w:rFonts w:hint="eastAsia"/>
        </w:rPr>
        <w:t>其他说明</w:t>
      </w:r>
    </w:p>
    <w:sdt>
      <w:sdtPr>
        <w:rPr>
          <w:rFonts w:hint="eastAsia"/>
          <w:szCs w:val="21"/>
        </w:rPr>
        <w:alias w:val="是否适用：预付帐款的说明[双击切换]"/>
        <w:tag w:val="_GBC_292d88b78b6d439981e508e0126d8061"/>
        <w:id w:val="26808"/>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pPr>
      <w:r>
        <w:rPr>
          <w:rFonts w:hint="eastAsia"/>
        </w:rPr>
        <w:t>其他应收款</w:t>
      </w:r>
    </w:p>
    <w:p>
      <w:pPr>
        <w:pStyle w:val="196"/>
      </w:pPr>
      <w:bookmarkStart w:id="213" w:name="_Hlk532906090"/>
      <w:r>
        <w:rPr>
          <w:rFonts w:hint="eastAsia" w:ascii="宋体" w:hAnsi="宋体" w:eastAsia="宋体" w:cs="宋体"/>
          <w:kern w:val="0"/>
          <w:szCs w:val="24"/>
        </w:rPr>
        <w:t>项目列示</w:t>
      </w:r>
    </w:p>
    <w:sdt>
      <w:sdtPr>
        <w:alias w:val="是否适用：其他应收款分类列示[双击切换]"/>
        <w:tag w:val="_GBC_5cf24a2049f64010a4df1f0db5a97234"/>
        <w:id w:val="26810"/>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收款分类列示"/>
          <w:tag w:val="_GBC_7f9aa6546943491ca0ac8585be1822b5"/>
          <w:id w:val="26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268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377dcbf8fc04365884311b6628ee70c"/>
            <w:id w:val="26813"/>
          </w:sdtPr>
          <w:sdtContent>
            <w:tc>
              <w:tcPr>
                <w:tcW w:w="1764" w:type="pct"/>
                <w:vAlign w:val="center"/>
              </w:tcPr>
              <w:p>
                <w:pPr>
                  <w:jc w:val="center"/>
                  <w:rPr>
                    <w:szCs w:val="21"/>
                  </w:rPr>
                </w:pPr>
                <w:r>
                  <w:rPr>
                    <w:rFonts w:hint="eastAsia"/>
                    <w:szCs w:val="21"/>
                  </w:rPr>
                  <w:t>项目</w:t>
                </w:r>
              </w:p>
            </w:tc>
          </w:sdtContent>
        </w:sdt>
        <w:sdt>
          <w:sdtPr>
            <w:tag w:val="_PLD_9eed799cfa4b445abd6bf2c21c8e53d1"/>
            <w:id w:val="26814"/>
          </w:sdtPr>
          <w:sdtContent>
            <w:tc>
              <w:tcPr>
                <w:tcW w:w="1622" w:type="pct"/>
                <w:vAlign w:val="center"/>
              </w:tcPr>
              <w:p>
                <w:pPr>
                  <w:jc w:val="center"/>
                  <w:rPr>
                    <w:szCs w:val="21"/>
                  </w:rPr>
                </w:pPr>
                <w:r>
                  <w:rPr>
                    <w:rFonts w:hint="eastAsia"/>
                    <w:szCs w:val="21"/>
                  </w:rPr>
                  <w:t>期末余额</w:t>
                </w:r>
              </w:p>
            </w:tc>
          </w:sdtContent>
        </w:sdt>
        <w:sdt>
          <w:sdtPr>
            <w:tag w:val="_PLD_200365ee1196470e91075b949a7f5552"/>
            <w:id w:val="26815"/>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szCs w:val="21"/>
              </w:rPr>
            </w:pPr>
            <w:r>
              <w:rPr>
                <w:rFonts w:hint="eastAsia"/>
                <w:szCs w:val="21"/>
              </w:rPr>
              <w:t>应收利息</w:t>
            </w:r>
          </w:p>
        </w:tc>
        <w:tc>
          <w:tcPr>
            <w:tcW w:w="1622" w:type="pct"/>
          </w:tcPr>
          <w:p>
            <w:pPr>
              <w:ind w:right="5"/>
              <w:jc w:val="right"/>
              <w:rPr>
                <w:szCs w:val="21"/>
              </w:rPr>
            </w:pPr>
          </w:p>
        </w:tc>
        <w:tc>
          <w:tcPr>
            <w:tcW w:w="1614" w:type="pct"/>
          </w:tcPr>
          <w:p>
            <w:pPr>
              <w:ind w:right="5"/>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szCs w:val="21"/>
              </w:rPr>
            </w:pPr>
            <w:r>
              <w:rPr>
                <w:rFonts w:hint="eastAsia"/>
                <w:szCs w:val="21"/>
              </w:rPr>
              <w:t>应收股利</w:t>
            </w:r>
          </w:p>
        </w:tc>
        <w:tc>
          <w:tcPr>
            <w:tcW w:w="1622" w:type="pct"/>
          </w:tcPr>
          <w:p>
            <w:pPr>
              <w:ind w:right="5"/>
              <w:jc w:val="right"/>
              <w:rPr>
                <w:szCs w:val="21"/>
              </w:rPr>
            </w:pPr>
          </w:p>
        </w:tc>
        <w:tc>
          <w:tcPr>
            <w:tcW w:w="1614" w:type="pct"/>
          </w:tcPr>
          <w:p>
            <w:pPr>
              <w:ind w:right="5"/>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szCs w:val="21"/>
              </w:rPr>
            </w:pPr>
            <w:r>
              <w:rPr>
                <w:rFonts w:hint="eastAsia"/>
                <w:szCs w:val="21"/>
              </w:rPr>
              <w:t>其他应收款</w:t>
            </w:r>
          </w:p>
        </w:tc>
        <w:tc>
          <w:tcPr>
            <w:tcW w:w="1622" w:type="pct"/>
          </w:tcPr>
          <w:p>
            <w:pPr>
              <w:ind w:right="5"/>
              <w:jc w:val="right"/>
              <w:rPr>
                <w:rFonts w:hint="default" w:ascii="Times New Roman" w:hAnsi="Times New Roman" w:cs="Times New Roman"/>
                <w:szCs w:val="21"/>
              </w:rPr>
            </w:pPr>
            <w:r>
              <w:rPr>
                <w:rFonts w:hint="default" w:ascii="Times New Roman" w:hAnsi="Times New Roman" w:cs="Times New Roman"/>
              </w:rPr>
              <w:t>14,099,403.66</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11,276,613.98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autoSpaceDE w:val="0"/>
              <w:autoSpaceDN w:val="0"/>
              <w:adjustRightInd w:val="0"/>
              <w:rPr>
                <w:szCs w:val="21"/>
              </w:rPr>
            </w:pPr>
            <w:r>
              <w:rPr>
                <w:rFonts w:hint="eastAsia"/>
                <w:szCs w:val="21"/>
              </w:rPr>
              <w:t>合计</w:t>
            </w:r>
          </w:p>
        </w:tc>
        <w:tc>
          <w:tcPr>
            <w:tcW w:w="1622" w:type="pct"/>
          </w:tcPr>
          <w:p>
            <w:pPr>
              <w:jc w:val="right"/>
              <w:rPr>
                <w:rFonts w:hint="default" w:ascii="Times New Roman" w:hAnsi="Times New Roman" w:cs="Times New Roman"/>
                <w:szCs w:val="21"/>
              </w:rPr>
            </w:pPr>
            <w:r>
              <w:rPr>
                <w:rFonts w:hint="default" w:ascii="Times New Roman" w:hAnsi="Times New Roman" w:cs="Times New Roman"/>
              </w:rPr>
              <w:t>14,099,403.66</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11,276,613.98</w:t>
            </w:r>
          </w:p>
        </w:tc>
      </w:tr>
    </w:tbl>
    <w:p/>
    <w:p/>
    <w:bookmarkEnd w:id="213"/>
    <w:p>
      <w:pPr>
        <w:rPr>
          <w:szCs w:val="21"/>
        </w:rPr>
      </w:pPr>
      <w:bookmarkStart w:id="214" w:name="_Hlk532906097"/>
      <w:r>
        <w:rPr>
          <w:rFonts w:hint="eastAsia"/>
          <w:szCs w:val="21"/>
        </w:rPr>
        <w:t>其他说明：</w:t>
      </w:r>
      <w:bookmarkEnd w:id="214"/>
    </w:p>
    <w:sdt>
      <w:sdtPr>
        <w:rPr>
          <w:szCs w:val="21"/>
        </w:rPr>
        <w:alias w:val="是否适用：其他应收款分类列示其他说明[双击切换]"/>
        <w:tag w:val="_GBC_87a25d8043fc4fcfac6a8c802b58dfc7"/>
        <w:id w:val="2681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ind w:left="360" w:hanging="360"/>
      </w:pPr>
      <w:r>
        <w:rPr>
          <w:rFonts w:hint="eastAsia"/>
        </w:rPr>
        <w:t>应收利息</w:t>
      </w:r>
    </w:p>
    <w:p>
      <w:pPr>
        <w:pStyle w:val="203"/>
        <w:numPr>
          <w:ilvl w:val="0"/>
          <w:numId w:val="77"/>
        </w:numPr>
        <w:ind w:leftChars="0"/>
      </w:pPr>
      <w:r>
        <w:rPr>
          <w:rFonts w:hint="eastAsia"/>
        </w:rPr>
        <w:t>应收利息分类</w:t>
      </w:r>
    </w:p>
    <w:sdt>
      <w:sdtPr>
        <w:alias w:val="是否适用：应收利息分类[双击切换]"/>
        <w:tag w:val="_GBC_83217ec91e3240eeb9ff337eca1b11bb"/>
        <w:id w:val="2681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03"/>
        <w:numPr>
          <w:ilvl w:val="0"/>
          <w:numId w:val="77"/>
        </w:numPr>
        <w:ind w:leftChars="0"/>
      </w:pPr>
      <w:r>
        <w:rPr>
          <w:rFonts w:hint="eastAsia"/>
        </w:rPr>
        <w:t>重要逾期利息</w:t>
      </w:r>
    </w:p>
    <w:sdt>
      <w:sdtPr>
        <w:alias w:val="是否适用：重要逾期利息[双击切换]"/>
        <w:tag w:val="_GBC_4720cbb6fd9144c2b14ef7120e6159be"/>
        <w:id w:val="2681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03"/>
        <w:numPr>
          <w:ilvl w:val="0"/>
          <w:numId w:val="77"/>
        </w:numPr>
        <w:ind w:leftChars="0"/>
        <w:rPr>
          <w:rFonts w:ascii="宋体" w:hAnsi="宋体" w:cs="宋体"/>
          <w:kern w:val="0"/>
          <w:szCs w:val="24"/>
        </w:rPr>
      </w:pPr>
      <w:bookmarkStart w:id="215" w:name="_Hlk153374831"/>
      <w:r>
        <w:rPr>
          <w:rFonts w:hint="eastAsia" w:ascii="宋体" w:hAnsi="宋体" w:cs="宋体"/>
          <w:kern w:val="0"/>
          <w:szCs w:val="24"/>
        </w:rPr>
        <w:t>按</w:t>
      </w:r>
      <w:r>
        <w:rPr>
          <w:rFonts w:ascii="宋体" w:hAnsi="宋体" w:cs="宋体"/>
          <w:kern w:val="0"/>
          <w:szCs w:val="24"/>
        </w:rPr>
        <w:t>坏账计提方法分类披露</w:t>
      </w:r>
    </w:p>
    <w:sdt>
      <w:sdtPr>
        <w:alias w:val="是否适用：按坏账计提方法分类披露[双击切换]"/>
        <w:tag w:val="_GBC_4dfa1c3f378a461fb32dcc384b94c01c"/>
        <w:id w:val="2681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按单项计提坏账准备：</w:t>
      </w:r>
    </w:p>
    <w:sdt>
      <w:sdtPr>
        <w:alias w:val="是否适用：按单项计提坏账准备的详细情况[双击切换]"/>
        <w:tag w:val="_GBC_f555101264ef4acba1df68e54d30175a"/>
        <w:id w:val="2682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2682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26822"/>
        <w:placeholder>
          <w:docPart w:val="GBC22222222222222222222222222222"/>
        </w:placeholder>
      </w:sdtPr>
      <w:sdtEndPr>
        <w:rPr>
          <w:rFonts w:ascii="Calibri" w:hAnsi="Calibri" w:cs="Times New Roman"/>
          <w:bCs/>
          <w:szCs w:val="22"/>
        </w:rPr>
      </w:sdtEndPr>
      <w:sdtContent>
        <w:p>
          <w:pPr>
            <w:outlineLvl w:val="9"/>
            <w:rPr>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15"/>
    <w:p>
      <w:pPr>
        <w:pStyle w:val="203"/>
        <w:numPr>
          <w:ilvl w:val="0"/>
          <w:numId w:val="77"/>
        </w:numPr>
        <w:ind w:leftChars="0"/>
      </w:pPr>
      <w:bookmarkStart w:id="216" w:name="_Hlk533867290"/>
      <w:r>
        <w:rPr>
          <w:rFonts w:hint="eastAsia" w:ascii="宋体" w:hAnsi="宋体" w:cs="宋体"/>
          <w:kern w:val="0"/>
          <w:szCs w:val="24"/>
        </w:rPr>
        <w:t>按预期信用损失一般模型计提坏账准备</w:t>
      </w:r>
    </w:p>
    <w:sdt>
      <w:sdtPr>
        <w:rPr>
          <w:szCs w:val="21"/>
        </w:rPr>
        <w:alias w:val="是否适用：应收利息坏账准备调节表[双击切换]"/>
        <w:tag w:val="_GBC_2926f106217b4c11a5fe606b79f60d83"/>
        <w:id w:val="26823"/>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outlineLvl w:val="9"/>
        <w:rPr>
          <w:szCs w:val="21"/>
        </w:rPr>
      </w:pPr>
    </w:p>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26824"/>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eastAsia="zh-CN"/>
            </w:rPr>
            <w:t>无</w:t>
          </w:r>
        </w:p>
      </w:sdtContent>
    </w:sdt>
    <w:p>
      <w:pPr>
        <w:autoSpaceDE w:val="0"/>
        <w:autoSpaceDN w:val="0"/>
        <w:adjustRightInd w:val="0"/>
        <w:ind w:right="105" w:rightChars="50"/>
        <w:rPr>
          <w:szCs w:val="21"/>
        </w:rPr>
      </w:pPr>
    </w:p>
    <w:p>
      <w:pPr>
        <w:pStyle w:val="288"/>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26825"/>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p>
    <w:bookmarkEnd w:id="216"/>
    <w:p>
      <w:pPr>
        <w:pStyle w:val="203"/>
        <w:numPr>
          <w:ilvl w:val="0"/>
          <w:numId w:val="77"/>
        </w:numPr>
        <w:ind w:leftChars="0"/>
        <w:rPr>
          <w:rFonts w:ascii="宋体" w:hAnsi="宋体" w:cs="宋体"/>
          <w:kern w:val="0"/>
          <w:szCs w:val="24"/>
        </w:rPr>
      </w:pPr>
      <w:bookmarkStart w:id="217" w:name="_Hlk153375041"/>
      <w:r>
        <w:rPr>
          <w:rFonts w:hint="eastAsia" w:ascii="宋体" w:hAnsi="宋体" w:cs="宋体"/>
          <w:kern w:val="0"/>
          <w:szCs w:val="24"/>
        </w:rPr>
        <w:t>坏账准备的情况</w:t>
      </w:r>
    </w:p>
    <w:sdt>
      <w:sdtPr>
        <w:alias w:val="是否适用：坏账准备情况[双击切换]"/>
        <w:tag w:val="_GBC_faf892fca7fd4a8ebcdef2231ff828bc"/>
        <w:id w:val="26826"/>
        <w:placeholder>
          <w:docPart w:val="GBC22222222222222222222222222222"/>
        </w:placeholder>
      </w:sdtPr>
      <w:sdtContent>
        <w:p>
          <w:pPr>
            <w:pStyle w:val="288"/>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88"/>
        <w:outlineLvl w:val="9"/>
      </w:pPr>
    </w:p>
    <w:p>
      <w:r>
        <w:rPr>
          <w:rFonts w:hint="eastAsia"/>
        </w:rPr>
        <w:t>其中本期坏账准备收回或转回金额重要的：</w:t>
      </w:r>
    </w:p>
    <w:sdt>
      <w:sdtPr>
        <w:alias w:val="是否适用：本期坏账准备收回或转回金额重要的[双击切换]"/>
        <w:tag w:val="_GBC_5a2d052a52b74bb7a867cb7ad62574c9"/>
        <w:id w:val="2682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alias w:val="坏账准备情况的说明"/>
        <w:tag w:val="_GBC_79d8ee00a1ce479db5cb5285f72aaea4"/>
        <w:id w:val="26828"/>
        <w:placeholder>
          <w:docPart w:val="GBC22222222222222222222222222222"/>
        </w:placeholder>
      </w:sdtPr>
      <w:sdtContent>
        <w:p>
          <w:pPr>
            <w:ind w:right="42" w:rightChars="20"/>
          </w:pPr>
          <w:r>
            <w:rPr>
              <w:rFonts w:hint="eastAsia"/>
              <w:lang w:val="en-US" w:eastAsia="zh-CN"/>
            </w:rPr>
            <w:t>无</w:t>
          </w:r>
        </w:p>
      </w:sdtContent>
    </w:sdt>
    <w:p>
      <w:pPr>
        <w:ind w:right="-1594" w:rightChars="-759"/>
      </w:pPr>
    </w:p>
    <w:p>
      <w:pPr>
        <w:pStyle w:val="203"/>
        <w:numPr>
          <w:ilvl w:val="0"/>
          <w:numId w:val="77"/>
        </w:numPr>
        <w:ind w:leftChars="0"/>
        <w:rPr>
          <w:rFonts w:ascii="宋体" w:hAnsi="宋体" w:cs="宋体"/>
          <w:kern w:val="0"/>
          <w:szCs w:val="24"/>
        </w:rPr>
      </w:pPr>
      <w:r>
        <w:rPr>
          <w:rFonts w:ascii="宋体" w:hAnsi="宋体" w:cs="宋体"/>
          <w:kern w:val="0"/>
          <w:szCs w:val="24"/>
        </w:rPr>
        <w:t>本期实际核销的应收</w:t>
      </w:r>
      <w:r>
        <w:rPr>
          <w:rFonts w:hint="eastAsia" w:ascii="宋体" w:hAnsi="宋体" w:cs="宋体"/>
          <w:kern w:val="0"/>
          <w:szCs w:val="24"/>
        </w:rPr>
        <w:t>利息</w:t>
      </w:r>
      <w:r>
        <w:rPr>
          <w:rFonts w:ascii="宋体" w:hAnsi="宋体" w:cs="宋体"/>
          <w:kern w:val="0"/>
          <w:szCs w:val="24"/>
        </w:rPr>
        <w:t>情况</w:t>
      </w:r>
    </w:p>
    <w:sdt>
      <w:sdtPr>
        <w:alias w:val="是否适用：实际核销的情况[双击切换]"/>
        <w:tag w:val="_GBC_d4fcf512bafe4a40a1f75d78eee0f333"/>
        <w:id w:val="2682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26830"/>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szCs w:val="21"/>
        </w:rPr>
        <w:t>核销说明：</w:t>
      </w:r>
    </w:p>
    <w:sdt>
      <w:sdtPr>
        <w:rPr>
          <w:szCs w:val="21"/>
        </w:rPr>
        <w:alias w:val="是否适用：核销说明[双击切换]"/>
        <w:tag w:val="_GBC_d8b86767c1604cb69ee84c043aa1b8dc"/>
        <w:id w:val="26831"/>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217"/>
    <w:p>
      <w:r>
        <w:rPr>
          <w:rFonts w:hint="eastAsia"/>
        </w:rPr>
        <w:t>其他说明：</w:t>
      </w:r>
    </w:p>
    <w:sdt>
      <w:sdtPr>
        <w:rPr>
          <w:rFonts w:hint="eastAsia"/>
          <w:szCs w:val="21"/>
        </w:rPr>
        <w:alias w:val="是否适用：应收利息的说明[双击切换]"/>
        <w:tag w:val="_GBC_353af20a1db84c639b0e03e660c37a48"/>
        <w:id w:val="26832"/>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ind w:left="360" w:hanging="360"/>
      </w:pPr>
      <w:r>
        <w:rPr>
          <w:rFonts w:hint="eastAsia"/>
        </w:rPr>
        <w:t>应收股利</w:t>
      </w:r>
    </w:p>
    <w:p>
      <w:pPr>
        <w:pStyle w:val="203"/>
        <w:numPr>
          <w:ilvl w:val="0"/>
          <w:numId w:val="77"/>
        </w:numPr>
        <w:ind w:leftChars="0"/>
      </w:pPr>
      <w:r>
        <w:rPr>
          <w:rFonts w:hint="eastAsia"/>
        </w:rPr>
        <w:t>应收股利</w:t>
      </w:r>
    </w:p>
    <w:sdt>
      <w:sdtPr>
        <w:alias w:val="是否适用：应收股利[双击切换]"/>
        <w:tag w:val="_GBC_c0f7b0360a644690b0472107042df17a"/>
        <w:id w:val="2683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03"/>
        <w:numPr>
          <w:ilvl w:val="0"/>
          <w:numId w:val="77"/>
        </w:numPr>
        <w:ind w:leftChars="0"/>
      </w:pPr>
      <w:r>
        <w:rPr>
          <w:rFonts w:hint="eastAsia"/>
        </w:rPr>
        <w:t>重要的账龄超过1年的应收股利</w:t>
      </w:r>
    </w:p>
    <w:p>
      <w:pPr>
        <w:rPr>
          <w:rFonts w:hint="eastAsia"/>
          <w:szCs w:val="21"/>
        </w:rPr>
      </w:pPr>
      <w:sdt>
        <w:sdtPr>
          <w:rPr>
            <w:rFonts w:hint="eastAsia"/>
            <w:szCs w:val="21"/>
          </w:rPr>
          <w:alias w:val="是否适用：重要的账龄超过1年的应收股利[双击切换]"/>
          <w:tag w:val="_GBC_d46c4e6d2f2e4e20b430a619bde9abe8"/>
          <w:id w:val="26834"/>
          <w:placeholder>
            <w:docPart w:val="GBC22222222222222222222222222222"/>
          </w:placeholder>
        </w:sdtPr>
        <w:sdtEndPr>
          <w:rPr>
            <w:rFonts w:hint="eastAsia"/>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outlineLvl w:val="9"/>
        <w:rPr>
          <w:rFonts w:hint="eastAsia"/>
          <w:szCs w:val="21"/>
        </w:rPr>
      </w:pPr>
    </w:p>
    <w:p>
      <w:pPr>
        <w:pStyle w:val="203"/>
        <w:numPr>
          <w:ilvl w:val="0"/>
          <w:numId w:val="77"/>
        </w:numPr>
        <w:ind w:leftChars="0"/>
        <w:rPr>
          <w:rFonts w:ascii="宋体" w:hAnsi="宋体" w:cs="宋体"/>
          <w:kern w:val="0"/>
          <w:szCs w:val="24"/>
        </w:rPr>
      </w:pPr>
      <w:bookmarkStart w:id="218" w:name="_Hlk153377225"/>
      <w:r>
        <w:rPr>
          <w:rFonts w:hint="eastAsia" w:ascii="宋体" w:hAnsi="宋体" w:cs="宋体"/>
          <w:kern w:val="0"/>
          <w:szCs w:val="24"/>
        </w:rPr>
        <w:t>按</w:t>
      </w:r>
      <w:r>
        <w:rPr>
          <w:rFonts w:ascii="宋体" w:hAnsi="宋体" w:cs="宋体"/>
          <w:kern w:val="0"/>
          <w:szCs w:val="24"/>
        </w:rPr>
        <w:t>坏账计提方法分类披露</w:t>
      </w:r>
    </w:p>
    <w:sdt>
      <w:sdtPr>
        <w:alias w:val="是否适用：按坏账计提方法分类披露[双击切换]"/>
        <w:tag w:val="_GBC_ad0add93fbe54bc5984d3fdcd19c4070"/>
        <w:id w:val="2683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按单项计提坏账准备：</w:t>
      </w:r>
    </w:p>
    <w:sdt>
      <w:sdtPr>
        <w:alias w:val="是否适用：按单项计提坏账准备的详细情况[双击切换]"/>
        <w:tag w:val="_GBC_0715807534664009b6e06e12b5244cb0"/>
        <w:id w:val="2683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2683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26838"/>
        <w:placeholder>
          <w:docPart w:val="GBC22222222222222222222222222222"/>
        </w:placeholder>
      </w:sdtPr>
      <w:sdtEndPr>
        <w:rPr>
          <w:rFonts w:ascii="Calibri" w:hAnsi="Calibri" w:cs="Times New Roman"/>
          <w:bCs/>
          <w:szCs w:val="22"/>
        </w:rPr>
      </w:sdtEndPr>
      <w:sdtContent>
        <w:p>
          <w:pPr>
            <w:outlineLvl w:val="9"/>
            <w:rPr>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18"/>
    <w:p>
      <w:pPr>
        <w:pStyle w:val="203"/>
        <w:numPr>
          <w:ilvl w:val="0"/>
          <w:numId w:val="77"/>
        </w:numPr>
        <w:ind w:leftChars="0"/>
      </w:pPr>
      <w:bookmarkStart w:id="219" w:name="_Hlk533421146"/>
      <w:r>
        <w:rPr>
          <w:rFonts w:hint="eastAsia"/>
        </w:rPr>
        <w:t>按预期信用损失一般模型计提坏账准备</w:t>
      </w:r>
      <w:r>
        <w:t xml:space="preserve"> </w:t>
      </w:r>
    </w:p>
    <w:sdt>
      <w:sdtPr>
        <w:alias w:val="是否适用：应收股利坏账准备调节表[双击切换]"/>
        <w:tag w:val="_GBC_847cf15503744e02b8ac7395c17d2da6"/>
        <w:id w:val="26839"/>
        <w:placeholder>
          <w:docPart w:val="GBC22222222222222222222222222222"/>
        </w:placeholder>
      </w:sdtPr>
      <w:sdtContent>
        <w:p>
          <w:pPr>
            <w:autoSpaceDE w:val="0"/>
            <w:autoSpaceDN w:val="0"/>
            <w:adjustRightInd w:val="0"/>
            <w:ind w:right="105" w:rightChars="5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ind w:right="105" w:rightChars="50"/>
        <w:outlineLvl w:val="9"/>
      </w:pPr>
    </w:p>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0e68af3552e84111bee1ae1542bcf907"/>
        <w:id w:val="26840"/>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val="en-US" w:eastAsia="zh-CN"/>
            </w:rPr>
            <w:t>无</w:t>
          </w:r>
        </w:p>
      </w:sdtContent>
    </w:sdt>
    <w:p>
      <w:pPr>
        <w:autoSpaceDE w:val="0"/>
        <w:autoSpaceDN w:val="0"/>
        <w:adjustRightInd w:val="0"/>
        <w:ind w:right="105" w:rightChars="50"/>
        <w:rPr>
          <w:szCs w:val="21"/>
        </w:rPr>
      </w:pPr>
    </w:p>
    <w:p>
      <w:pPr>
        <w:pStyle w:val="288"/>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26841"/>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p>
    <w:bookmarkEnd w:id="219"/>
    <w:p>
      <w:pPr>
        <w:pStyle w:val="203"/>
        <w:numPr>
          <w:ilvl w:val="0"/>
          <w:numId w:val="77"/>
        </w:numPr>
        <w:ind w:leftChars="0"/>
        <w:rPr>
          <w:rFonts w:ascii="宋体" w:hAnsi="宋体" w:cs="宋体"/>
          <w:kern w:val="0"/>
          <w:szCs w:val="24"/>
        </w:rPr>
      </w:pPr>
      <w:bookmarkStart w:id="220" w:name="_Hlk153377452"/>
      <w:r>
        <w:rPr>
          <w:rFonts w:hint="eastAsia" w:ascii="宋体" w:hAnsi="宋体" w:cs="宋体"/>
          <w:kern w:val="0"/>
          <w:szCs w:val="24"/>
        </w:rPr>
        <w:t>坏账准备的情况</w:t>
      </w:r>
    </w:p>
    <w:sdt>
      <w:sdtPr>
        <w:alias w:val="是否适用：坏账准备情况[双击切换]"/>
        <w:tag w:val="_GBC_3425c1c233b1473ca1aaf53c81088091"/>
        <w:id w:val="26842"/>
        <w:placeholder>
          <w:docPart w:val="GBC22222222222222222222222222222"/>
        </w:placeholder>
      </w:sdtPr>
      <w:sdtContent>
        <w:p>
          <w:pPr>
            <w:pStyle w:val="288"/>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88"/>
        <w:outlineLvl w:val="9"/>
      </w:pPr>
    </w:p>
    <w:p>
      <w:r>
        <w:rPr>
          <w:rFonts w:hint="eastAsia"/>
        </w:rPr>
        <w:t>其中本期坏账准备收回或转回金额重要的：</w:t>
      </w:r>
    </w:p>
    <w:sdt>
      <w:sdtPr>
        <w:alias w:val="是否适用：本期坏账准备收回或转回金额重要的[双击切换]"/>
        <w:tag w:val="_GBC_d8ca1b67740e4a2e8d7777b8dee9c902"/>
        <w:id w:val="2684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alias w:val="坏账准备情况的说明"/>
        <w:tag w:val="_GBC_104cb6ff4d2044ffaa8bbdd64dd76905"/>
        <w:id w:val="26844"/>
        <w:placeholder>
          <w:docPart w:val="GBC22222222222222222222222222222"/>
        </w:placeholder>
      </w:sdtPr>
      <w:sdtContent>
        <w:p>
          <w:pPr>
            <w:ind w:right="42" w:rightChars="20"/>
          </w:pPr>
          <w:r>
            <w:rPr>
              <w:rFonts w:hint="eastAsia"/>
              <w:lang w:val="en-US" w:eastAsia="zh-CN"/>
            </w:rPr>
            <w:t>无</w:t>
          </w:r>
        </w:p>
      </w:sdtContent>
    </w:sdt>
    <w:p>
      <w:pPr>
        <w:ind w:right="-1594" w:rightChars="-759"/>
      </w:pPr>
    </w:p>
    <w:p>
      <w:pPr>
        <w:pStyle w:val="203"/>
        <w:numPr>
          <w:ilvl w:val="0"/>
          <w:numId w:val="77"/>
        </w:numPr>
        <w:ind w:leftChars="0"/>
        <w:rPr>
          <w:rFonts w:ascii="宋体" w:hAnsi="宋体" w:cs="宋体"/>
          <w:kern w:val="0"/>
          <w:szCs w:val="24"/>
        </w:rPr>
      </w:pPr>
      <w:r>
        <w:rPr>
          <w:rFonts w:ascii="宋体" w:hAnsi="宋体" w:cs="宋体"/>
          <w:kern w:val="0"/>
          <w:szCs w:val="24"/>
        </w:rPr>
        <w:t>本期实际核销的应收</w:t>
      </w:r>
      <w:r>
        <w:rPr>
          <w:rFonts w:hint="eastAsia" w:ascii="宋体" w:hAnsi="宋体" w:cs="宋体"/>
          <w:kern w:val="0"/>
          <w:szCs w:val="24"/>
        </w:rPr>
        <w:t>股利</w:t>
      </w:r>
      <w:r>
        <w:rPr>
          <w:rFonts w:ascii="宋体" w:hAnsi="宋体" w:cs="宋体"/>
          <w:kern w:val="0"/>
          <w:szCs w:val="24"/>
        </w:rPr>
        <w:t>情况</w:t>
      </w:r>
    </w:p>
    <w:sdt>
      <w:sdtPr>
        <w:alias w:val="是否适用：实际核销的情况[双击切换]"/>
        <w:tag w:val="_GBC_affd5e7be1cd4edaac5e7416308656eb"/>
        <w:id w:val="2684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26846"/>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26847"/>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220"/>
    <w:p>
      <w:pPr>
        <w:rPr>
          <w:szCs w:val="21"/>
        </w:rPr>
      </w:pPr>
      <w:r>
        <w:rPr>
          <w:rFonts w:hint="eastAsia"/>
          <w:szCs w:val="21"/>
        </w:rPr>
        <w:t>其他说明：</w:t>
      </w:r>
    </w:p>
    <w:p>
      <w:pPr>
        <w:outlineLvl w:val="9"/>
        <w:rPr>
          <w:szCs w:val="21"/>
        </w:rPr>
      </w:pPr>
      <w:sdt>
        <w:sdtPr>
          <w:rPr>
            <w:szCs w:val="21"/>
          </w:rPr>
          <w:alias w:val="是否适用：应收股利的说明[双击切换]"/>
          <w:tag w:val="_GBC_22314d2cdf794d5f90af92f13665da22"/>
          <w:id w:val="26848"/>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snapToGrid w:val="0"/>
        <w:spacing w:line="240" w:lineRule="atLeast"/>
        <w:ind w:right="25" w:rightChars="12"/>
        <w:rPr>
          <w:color w:val="FF0000"/>
          <w:szCs w:val="21"/>
        </w:rPr>
      </w:pPr>
    </w:p>
    <w:p>
      <w:pPr>
        <w:pStyle w:val="196"/>
        <w:ind w:left="360" w:hanging="360"/>
      </w:pPr>
      <w:r>
        <w:rPr>
          <w:rFonts w:hint="eastAsia"/>
        </w:rPr>
        <w:t>其他应收款</w:t>
      </w:r>
    </w:p>
    <w:p>
      <w:pPr>
        <w:pStyle w:val="203"/>
        <w:numPr>
          <w:ilvl w:val="0"/>
          <w:numId w:val="77"/>
        </w:numPr>
        <w:ind w:leftChars="0"/>
      </w:pPr>
      <w:bookmarkStart w:id="221" w:name="_Hlk533421204"/>
      <w:r>
        <w:rPr>
          <w:rFonts w:hint="eastAsia"/>
        </w:rPr>
        <w:t>按账龄披露</w:t>
      </w:r>
      <w:bookmarkEnd w:id="221"/>
    </w:p>
    <w:sdt>
      <w:sdtPr>
        <w:rPr>
          <w:rFonts w:hint="eastAsia"/>
          <w:szCs w:val="21"/>
        </w:rPr>
        <w:alias w:val="是否适用：组合中，按账龄分析法计提坏账准备的其他应收账款[双击切换]"/>
        <w:tag w:val="_GBC_b46a4e720a884c40b402c5b30a4f4432"/>
        <w:id w:val="26849"/>
        <w:placeholder>
          <w:docPart w:val="GBC22222222222222222222222222222"/>
        </w:placeholder>
      </w:sdtPr>
      <w:sdtEndPr>
        <w:rPr>
          <w:rFonts w:hint="eastAsia"/>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26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26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91"/>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rPr>
            <w:tag w:val="_PLD_3693c274d2774e098d4e6f0b6ce787c4"/>
            <w:id w:val="26852"/>
          </w:sdtPr>
          <w:sdtEndPr>
            <w:rPr>
              <w:rFonts w:ascii="Times New Roman" w:hAnsi="Times New Roman"/>
            </w:rPr>
          </w:sdtEnd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账龄</w:t>
                </w:r>
              </w:p>
            </w:tc>
          </w:sdtContent>
        </w:sdt>
        <w:sdt>
          <w:sdtPr>
            <w:rPr>
              <w:rFonts w:ascii="Times New Roman" w:hAnsi="Times New Roman"/>
            </w:rPr>
            <w:tag w:val="_PLD_592d3cc76c64401da21e664b374ad045"/>
            <w:id w:val="26853"/>
          </w:sdtPr>
          <w:sdtEndPr>
            <w:rPr>
              <w:rFonts w:ascii="Times New Roman" w:hAnsi="Times New Roman"/>
            </w:rPr>
          </w:sdtEndPr>
          <w:sdtContent>
            <w:tc>
              <w:tcPr>
                <w:tcW w:w="165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期末账面余额</w:t>
                </w:r>
              </w:p>
            </w:tc>
          </w:sdtContent>
        </w:sdt>
        <w:tc>
          <w:tcPr>
            <w:tcW w:w="1651" w:type="pct"/>
            <w:tcBorders>
              <w:top w:val="single" w:color="auto" w:sz="4" w:space="0"/>
              <w:left w:val="single" w:color="auto" w:sz="4" w:space="0"/>
              <w:bottom w:val="single" w:color="auto" w:sz="4" w:space="0"/>
              <w:right w:val="single" w:color="auto" w:sz="4" w:space="0"/>
            </w:tcBorders>
          </w:tcPr>
          <w:sdt>
            <w:sdtPr>
              <w:rPr>
                <w:rFonts w:hint="eastAsia" w:ascii="Times New Roman" w:hAnsi="Times New Roman"/>
              </w:rPr>
              <w:tag w:val="_PLD_9bcf94b318874d63924c35d852b5b3c8"/>
              <w:id w:val="26854"/>
            </w:sdtPr>
            <w:sdtEndPr>
              <w:rPr>
                <w:rFonts w:hint="eastAsia" w:ascii="Times New Roman" w:hAnsi="Times New Roman"/>
              </w:rPr>
            </w:sdtEndPr>
            <w:sdtContent>
              <w:p>
                <w:pPr>
                  <w:jc w:val="center"/>
                  <w:rPr>
                    <w:rFonts w:ascii="Times New Roman" w:hAnsi="Times New Roman"/>
                  </w:rPr>
                </w:pPr>
                <w:r>
                  <w:rPr>
                    <w:rFonts w:hint="eastAsia" w:ascii="Times New Roman" w:hAnsi="Times New Roman"/>
                  </w:rPr>
                  <w:t>期初账面余额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rPr>
            <w:tag w:val="_PLD_6947d7a3e56e4c59be970f76736c65e3"/>
            <w:id w:val="26855"/>
          </w:sdtPr>
          <w:sdtEndPr>
            <w:rPr>
              <w:rFonts w:ascii="Times New Roman" w:hAnsi="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ascii="Times New Roman" w:hAnsi="Times New Roman"/>
                    <w:color w:val="FF0000"/>
                    <w:szCs w:val="21"/>
                  </w:rPr>
                </w:pPr>
                <w:r>
                  <w:rPr>
                    <w:rFonts w:hint="eastAsia" w:ascii="Times New Roman" w:hAnsi="Times New Roman"/>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rPr>
            <w:tag w:val="_PLD_b7cf536363dd4da2bae7017806fba883"/>
            <w:id w:val="26856"/>
          </w:sdtPr>
          <w:sdtEndPr>
            <w:rPr>
              <w:rFonts w:ascii="Times New Roman" w:hAnsi="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hint="eastAsia" w:ascii="Times New Roman" w:hAnsi="Times New Roman"/>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0.5年以内</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3,423,264.65</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4,298,935.96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0.5年至1年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1,477,191.46</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621,533.92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hint="eastAsia" w:ascii="Times New Roman" w:hAnsi="Times New Roman"/>
                <w:szCs w:val="21"/>
              </w:rPr>
              <w:t>1年以内小计</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4,900,456.11</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4,920,469.88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hint="eastAsia" w:ascii="Times New Roman" w:hAnsi="Times New Roman"/>
                <w:szCs w:val="21"/>
              </w:rPr>
              <w:t>1至2年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4,771,780.37</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1,147,623.11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hint="eastAsia" w:ascii="Times New Roman" w:hAnsi="Times New Roman"/>
                <w:szCs w:val="21"/>
              </w:rPr>
              <w:t>2至3年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818,117.25</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5,287,790.47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szCs w:val="21"/>
                <w:lang w:val="en-US" w:eastAsia="zh-CN"/>
              </w:rPr>
            </w:pPr>
            <w:r>
              <w:rPr>
                <w:rFonts w:hint="eastAsia" w:ascii="Times New Roman" w:hAnsi="Times New Roman"/>
                <w:szCs w:val="21"/>
              </w:rPr>
              <w:t>3</w:t>
            </w:r>
            <w:r>
              <w:rPr>
                <w:rFonts w:hint="eastAsia" w:ascii="Times New Roman" w:hAnsi="Times New Roman"/>
                <w:szCs w:val="21"/>
                <w:lang w:val="en-US" w:eastAsia="zh-CN"/>
              </w:rPr>
              <w:t>至5年</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6,454,917.56</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4,348,538.49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hint="eastAsia" w:ascii="Times New Roman" w:hAnsi="Times New Roman"/>
                <w:szCs w:val="21"/>
              </w:rPr>
              <w:t>5年以上</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15,057,344.90</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13,282,518.39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小计</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32,002,616.19</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28,986,940.34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减：坏账准备</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17,903,212.53</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17,710,326.36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合计</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14,099,403.66</w:t>
            </w:r>
          </w:p>
        </w:tc>
        <w:tc>
          <w:tcPr>
            <w:tcW w:w="16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11,276,613.98</w:t>
            </w:r>
          </w:p>
        </w:tc>
      </w:tr>
    </w:tbl>
    <w:p/>
    <w:p>
      <w:pPr>
        <w:pStyle w:val="203"/>
        <w:numPr>
          <w:ilvl w:val="0"/>
          <w:numId w:val="77"/>
        </w:numPr>
        <w:ind w:leftChars="0"/>
      </w:pPr>
      <w:r>
        <w:rPr>
          <w:rFonts w:hint="eastAsia"/>
        </w:rPr>
        <w:t>按款项性质分类情况</w:t>
      </w:r>
    </w:p>
    <w:p>
      <w:sdt>
        <w:sdtPr>
          <w:alias w:val="是否适用：其他应收款按款项性质分类情况[双击切换]"/>
          <w:tag w:val="_GBC_f8f8208812d5412eb0a2fdddf1a9d330"/>
          <w:id w:val="26857"/>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ind w:firstLine="6510" w:firstLineChars="3100"/>
      </w:pPr>
      <w:r>
        <w:rPr>
          <w:rFonts w:hint="eastAsia"/>
        </w:rPr>
        <w:t>单位：</w:t>
      </w:r>
      <w:sdt>
        <w:sdtPr>
          <w:rPr>
            <w:rFonts w:hint="eastAsia"/>
          </w:rPr>
          <w:alias w:val="单位：财务附注：其他应收款按款项性质分类情况"/>
          <w:tag w:val="_GBC_6e3e3b79e1a6467e8f5cdcabc0a95e4a"/>
          <w:id w:val="268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268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ae09c73a4371a49803278d537455"/>
            <w:id w:val="26860"/>
          </w:sdtPr>
          <w:sdtContent>
            <w:tc>
              <w:tcPr>
                <w:tcW w:w="1700" w:type="pct"/>
                <w:shd w:val="clear" w:color="auto" w:fill="auto"/>
                <w:vAlign w:val="center"/>
              </w:tcPr>
              <w:p>
                <w:pPr>
                  <w:jc w:val="center"/>
                </w:pPr>
                <w:r>
                  <w:rPr>
                    <w:rFonts w:hint="eastAsia"/>
                  </w:rPr>
                  <w:t>款项性质</w:t>
                </w:r>
              </w:p>
            </w:tc>
          </w:sdtContent>
        </w:sdt>
        <w:sdt>
          <w:sdtPr>
            <w:tag w:val="_PLD_166416173edb4a39b34c47c78d0dc766"/>
            <w:id w:val="26861"/>
          </w:sdtPr>
          <w:sdtContent>
            <w:tc>
              <w:tcPr>
                <w:tcW w:w="1647" w:type="pct"/>
                <w:shd w:val="clear" w:color="auto" w:fill="auto"/>
                <w:vAlign w:val="center"/>
              </w:tcPr>
              <w:p>
                <w:pPr>
                  <w:jc w:val="center"/>
                </w:pPr>
                <w:r>
                  <w:rPr>
                    <w:rFonts w:hint="eastAsia"/>
                  </w:rPr>
                  <w:t>期末账面余额</w:t>
                </w:r>
              </w:p>
            </w:tc>
          </w:sdtContent>
        </w:sdt>
        <w:sdt>
          <w:sdtPr>
            <w:tag w:val="_PLD_a78baace40634aeaaff4786c955e1f60"/>
            <w:id w:val="26862"/>
          </w:sdtPr>
          <w:sdtContent>
            <w:tc>
              <w:tcPr>
                <w:tcW w:w="1653" w:type="pct"/>
                <w:shd w:val="clear" w:color="auto" w:fill="auto"/>
                <w:vAlign w:val="center"/>
              </w:tcPr>
              <w:p>
                <w:pPr>
                  <w:jc w:val="center"/>
                </w:pPr>
                <w:r>
                  <w:rPr>
                    <w:rFonts w:hint="eastAsia"/>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往来款</w:t>
            </w:r>
          </w:p>
        </w:tc>
        <w:tc>
          <w:tcPr>
            <w:tcW w:w="1647" w:type="pct"/>
            <w:shd w:val="clear" w:color="auto" w:fill="auto"/>
          </w:tcPr>
          <w:p>
            <w:pPr>
              <w:jc w:val="right"/>
              <w:rPr>
                <w:rFonts w:hint="default" w:ascii="Times New Roman" w:hAnsi="Times New Roman" w:cs="Times New Roman"/>
              </w:rPr>
            </w:pPr>
            <w:r>
              <w:rPr>
                <w:rFonts w:hint="default" w:ascii="Times New Roman" w:hAnsi="Times New Roman" w:cs="Times New Roman"/>
              </w:rPr>
              <w:t>17,120,584.34</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12,578,136.16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备用金</w:t>
            </w:r>
          </w:p>
        </w:tc>
        <w:tc>
          <w:tcPr>
            <w:tcW w:w="1647" w:type="pct"/>
            <w:shd w:val="clear" w:color="auto" w:fill="auto"/>
          </w:tcPr>
          <w:p>
            <w:pPr>
              <w:jc w:val="right"/>
              <w:rPr>
                <w:rFonts w:hint="default" w:ascii="Times New Roman" w:hAnsi="Times New Roman" w:cs="Times New Roman"/>
              </w:rPr>
            </w:pPr>
            <w:r>
              <w:rPr>
                <w:rFonts w:hint="default" w:ascii="Times New Roman" w:hAnsi="Times New Roman" w:cs="Times New Roman"/>
              </w:rPr>
              <w:t>5,736,512.05</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6,760,176.13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押金及保证金</w:t>
            </w:r>
          </w:p>
        </w:tc>
        <w:tc>
          <w:tcPr>
            <w:tcW w:w="1647" w:type="pct"/>
            <w:shd w:val="clear" w:color="auto" w:fill="auto"/>
          </w:tcPr>
          <w:p>
            <w:pPr>
              <w:jc w:val="right"/>
              <w:rPr>
                <w:rFonts w:hint="default" w:ascii="Times New Roman" w:hAnsi="Times New Roman" w:cs="Times New Roman"/>
              </w:rPr>
            </w:pPr>
            <w:r>
              <w:rPr>
                <w:rFonts w:hint="default" w:ascii="Times New Roman" w:hAnsi="Times New Roman" w:cs="Times New Roman"/>
              </w:rPr>
              <w:t>5,400,480.00</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4,701,500.00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其他</w:t>
            </w:r>
          </w:p>
        </w:tc>
        <w:tc>
          <w:tcPr>
            <w:tcW w:w="1647" w:type="pct"/>
            <w:shd w:val="clear" w:color="auto" w:fill="auto"/>
          </w:tcPr>
          <w:p>
            <w:pPr>
              <w:jc w:val="right"/>
              <w:rPr>
                <w:rFonts w:hint="default" w:ascii="Times New Roman" w:hAnsi="Times New Roman" w:cs="Times New Roman"/>
              </w:rPr>
            </w:pPr>
            <w:r>
              <w:rPr>
                <w:rFonts w:hint="default" w:ascii="Times New Roman" w:hAnsi="Times New Roman" w:cs="Times New Roman"/>
              </w:rPr>
              <w:t>3,745,039.80</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4,947,128.05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合计</w:t>
            </w:r>
          </w:p>
        </w:tc>
        <w:tc>
          <w:tcPr>
            <w:tcW w:w="1647" w:type="pct"/>
            <w:shd w:val="clear" w:color="auto" w:fill="auto"/>
          </w:tcPr>
          <w:p>
            <w:pPr>
              <w:jc w:val="right"/>
              <w:rPr>
                <w:rFonts w:hint="default" w:ascii="Times New Roman" w:hAnsi="Times New Roman" w:cs="Times New Roman"/>
              </w:rPr>
            </w:pPr>
            <w:r>
              <w:rPr>
                <w:rFonts w:hint="default" w:ascii="Times New Roman" w:hAnsi="Times New Roman" w:cs="Times New Roman"/>
              </w:rPr>
              <w:t>32,002,616.19</w:t>
            </w:r>
          </w:p>
        </w:tc>
        <w:tc>
          <w:tcPr>
            <w:tcW w:w="1653" w:type="pct"/>
            <w:shd w:val="clear" w:color="auto" w:fill="auto"/>
          </w:tcPr>
          <w:p>
            <w:pPr>
              <w:jc w:val="right"/>
              <w:rPr>
                <w:rFonts w:hint="default" w:ascii="Times New Roman" w:hAnsi="Times New Roman" w:cs="Times New Roman"/>
              </w:rPr>
            </w:pPr>
            <w:r>
              <w:rPr>
                <w:rFonts w:hint="default" w:ascii="Times New Roman" w:hAnsi="Times New Roman" w:cs="Times New Roman"/>
              </w:rPr>
              <w:t>28,986,940.34</w:t>
            </w:r>
          </w:p>
        </w:tc>
      </w:tr>
    </w:tbl>
    <w:p/>
    <w:p/>
    <w:p/>
    <w:p>
      <w:pPr>
        <w:pStyle w:val="203"/>
        <w:numPr>
          <w:ilvl w:val="0"/>
          <w:numId w:val="77"/>
        </w:numPr>
        <w:ind w:leftChars="0"/>
      </w:pPr>
      <w:bookmarkStart w:id="222" w:name="_Hlk533867880"/>
      <w:r>
        <w:rPr>
          <w:rFonts w:hint="eastAsia"/>
        </w:rPr>
        <w:t>坏账准备计提情况</w:t>
      </w:r>
    </w:p>
    <w:sdt>
      <w:sdtPr>
        <w:rPr>
          <w:szCs w:val="21"/>
        </w:rPr>
        <w:alias w:val="是否适用：其他应收款坏账准备调节表[双击切换]"/>
        <w:tag w:val="_GBC_89d7c1af9f504137a919fea1a314fa80"/>
        <w:id w:val="26863"/>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其他应收款坏账准备调节表"/>
          <w:tag w:val="_GBC_1e902dc07fc44240af1ff69475733c28"/>
          <w:id w:val="268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268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512"/>
        <w:gridCol w:w="1888"/>
        <w:gridCol w:w="2012"/>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f734c3456a843bda898d16924c52045"/>
            <w:id w:val="16700"/>
          </w:sdtPr>
          <w:sdtEndPr>
            <w:rPr>
              <w:rFonts w:hint="default" w:ascii="Times New Roman" w:hAnsi="Times New Roman" w:cs="Times New Roman"/>
            </w:rPr>
          </w:sdtEndPr>
          <w:sdtContent>
            <w:tc>
              <w:tcPr>
                <w:tcW w:w="1186" w:type="pct"/>
                <w:vMerge w:val="restar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坏账准备</w:t>
                </w:r>
              </w:p>
            </w:tc>
          </w:sdtContent>
        </w:sdt>
        <w:sdt>
          <w:sdtPr>
            <w:rPr>
              <w:rFonts w:hint="default" w:ascii="Times New Roman" w:hAnsi="Times New Roman" w:cs="Times New Roman"/>
            </w:rPr>
            <w:tag w:val="_PLD_cc2d5e47d032466f8f32fd4edec15e33"/>
            <w:id w:val="16701"/>
          </w:sdtPr>
          <w:sdtEndPr>
            <w:rPr>
              <w:rFonts w:hint="default" w:ascii="Times New Roman" w:hAnsi="Times New Roman" w:cs="Times New Roman"/>
            </w:rPr>
          </w:sdtEndPr>
          <w:sdtContent>
            <w:tc>
              <w:tcPr>
                <w:tcW w:w="835" w:type="pc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第一阶段</w:t>
                </w:r>
              </w:p>
            </w:tc>
          </w:sdtContent>
        </w:sdt>
        <w:sdt>
          <w:sdtPr>
            <w:rPr>
              <w:rFonts w:hint="default" w:ascii="Times New Roman" w:hAnsi="Times New Roman" w:cs="Times New Roman"/>
            </w:rPr>
            <w:tag w:val="_PLD_f7ffd31ab3534493bb75ab7d04c0c751"/>
            <w:id w:val="16702"/>
          </w:sdtPr>
          <w:sdtEndPr>
            <w:rPr>
              <w:rFonts w:hint="default" w:ascii="Times New Roman" w:hAnsi="Times New Roman" w:cs="Times New Roman"/>
            </w:rPr>
          </w:sdtEndPr>
          <w:sdtContent>
            <w:tc>
              <w:tcPr>
                <w:tcW w:w="1043" w:type="pc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第二阶段</w:t>
                </w:r>
              </w:p>
            </w:tc>
          </w:sdtContent>
        </w:sdt>
        <w:sdt>
          <w:sdtPr>
            <w:rPr>
              <w:rFonts w:hint="default" w:ascii="Times New Roman" w:hAnsi="Times New Roman" w:cs="Times New Roman"/>
            </w:rPr>
            <w:tag w:val="_PLD_b787de87168848159cb3a46726196c34"/>
            <w:id w:val="16703"/>
          </w:sdtPr>
          <w:sdtEndPr>
            <w:rPr>
              <w:rFonts w:hint="default" w:ascii="Times New Roman" w:hAnsi="Times New Roman" w:cs="Times New Roman"/>
            </w:rPr>
          </w:sdtEndPr>
          <w:sdtContent>
            <w:tc>
              <w:tcPr>
                <w:tcW w:w="1111" w:type="pc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第三阶段</w:t>
                </w:r>
              </w:p>
            </w:tc>
          </w:sdtContent>
        </w:sdt>
        <w:sdt>
          <w:sdtPr>
            <w:rPr>
              <w:rFonts w:hint="default" w:ascii="Times New Roman" w:hAnsi="Times New Roman" w:cs="Times New Roman"/>
            </w:rPr>
            <w:tag w:val="_PLD_3b31af1f922741a8874346a86f3e2d25"/>
            <w:id w:val="16704"/>
          </w:sdtPr>
          <w:sdtEndPr>
            <w:rPr>
              <w:rFonts w:hint="default" w:ascii="Times New Roman" w:hAnsi="Times New Roman" w:cs="Times New Roman"/>
            </w:rPr>
          </w:sdtEndPr>
          <w:sdtContent>
            <w:tc>
              <w:tcPr>
                <w:tcW w:w="822" w:type="pct"/>
                <w:vMerge w:val="restar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pct"/>
            <w:vMerge w:val="continue"/>
            <w:vAlign w:val="center"/>
          </w:tcPr>
          <w:p>
            <w:pPr>
              <w:jc w:val="center"/>
              <w:rPr>
                <w:rFonts w:hint="default" w:ascii="Times New Roman" w:hAnsi="Times New Roman" w:cs="Times New Roman"/>
                <w:color w:val="008000"/>
                <w:szCs w:val="21"/>
              </w:rPr>
            </w:pPr>
          </w:p>
        </w:tc>
        <w:sdt>
          <w:sdtPr>
            <w:rPr>
              <w:rFonts w:hint="default" w:ascii="Times New Roman" w:hAnsi="Times New Roman" w:cs="Times New Roman"/>
            </w:rPr>
            <w:tag w:val="_PLD_7158bbb0fd6b45478d53b382f0c1a5e9"/>
            <w:id w:val="16705"/>
          </w:sdtPr>
          <w:sdtEndPr>
            <w:rPr>
              <w:rFonts w:hint="default" w:ascii="Times New Roman" w:hAnsi="Times New Roman" w:cs="Times New Roman"/>
            </w:rPr>
          </w:sdtEndPr>
          <w:sdtContent>
            <w:tc>
              <w:tcPr>
                <w:tcW w:w="835" w:type="pc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未来12个月预期信用损失</w:t>
                </w:r>
              </w:p>
            </w:tc>
          </w:sdtContent>
        </w:sdt>
        <w:sdt>
          <w:sdtPr>
            <w:rPr>
              <w:rFonts w:hint="default" w:ascii="Times New Roman" w:hAnsi="Times New Roman" w:cs="Times New Roman"/>
            </w:rPr>
            <w:tag w:val="_PLD_a456fd5785a44d89b944d155197986fc"/>
            <w:id w:val="16706"/>
          </w:sdtPr>
          <w:sdtEndPr>
            <w:rPr>
              <w:rFonts w:hint="default" w:ascii="Times New Roman" w:hAnsi="Times New Roman" w:cs="Times New Roman"/>
            </w:rPr>
          </w:sdtEndPr>
          <w:sdtContent>
            <w:tc>
              <w:tcPr>
                <w:tcW w:w="1043" w:type="pc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整个存续期预期信用损失(未发生信用减值)</w:t>
                </w:r>
              </w:p>
            </w:tc>
          </w:sdtContent>
        </w:sdt>
        <w:sdt>
          <w:sdtPr>
            <w:rPr>
              <w:rFonts w:hint="default" w:ascii="Times New Roman" w:hAnsi="Times New Roman" w:cs="Times New Roman"/>
            </w:rPr>
            <w:tag w:val="_PLD_fb9265a3aa334f7ab93242b9630540b0"/>
            <w:id w:val="16707"/>
          </w:sdtPr>
          <w:sdtEndPr>
            <w:rPr>
              <w:rFonts w:hint="default" w:ascii="Times New Roman" w:hAnsi="Times New Roman" w:cs="Times New Roman"/>
            </w:rPr>
          </w:sdtEndPr>
          <w:sdtContent>
            <w:tc>
              <w:tcPr>
                <w:tcW w:w="1111" w:type="pct"/>
                <w:vAlign w:val="center"/>
              </w:tcPr>
              <w:p>
                <w:pPr>
                  <w:pStyle w:val="303"/>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整个存续期预期信用损失(已发生信用减值)</w:t>
                </w:r>
              </w:p>
            </w:tc>
          </w:sdtContent>
        </w:sdt>
        <w:tc>
          <w:tcPr>
            <w:tcW w:w="822" w:type="pct"/>
            <w:vMerge w:val="continue"/>
          </w:tcPr>
          <w:p>
            <w:pPr>
              <w:jc w:val="center"/>
              <w:rPr>
                <w:rFonts w:hint="default" w:ascii="Times New Roman" w:hAnsi="Times New Roman" w:cs="Times New Roman"/>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2023年1月1日余额</w:t>
            </w:r>
          </w:p>
        </w:tc>
        <w:tc>
          <w:tcPr>
            <w:tcW w:w="835" w:type="pct"/>
            <w:vAlign w:val="center"/>
          </w:tcPr>
          <w:p>
            <w:pPr>
              <w:jc w:val="right"/>
              <w:rPr>
                <w:rFonts w:hint="default" w:ascii="Times New Roman" w:hAnsi="Times New Roman" w:cs="Times New Roman"/>
                <w:szCs w:val="21"/>
              </w:rPr>
            </w:pPr>
            <w:r>
              <w:rPr>
                <w:rFonts w:hint="default" w:ascii="Times New Roman" w:hAnsi="Times New Roman" w:cs="Times New Roman"/>
              </w:rPr>
              <w:t>13,529,118.63</w:t>
            </w:r>
          </w:p>
        </w:tc>
        <w:tc>
          <w:tcPr>
            <w:tcW w:w="1043" w:type="pct"/>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1111" w:type="pct"/>
            <w:vAlign w:val="center"/>
          </w:tcPr>
          <w:p>
            <w:pPr>
              <w:jc w:val="right"/>
              <w:rPr>
                <w:rFonts w:hint="default" w:ascii="Times New Roman" w:hAnsi="Times New Roman" w:cs="Times New Roman"/>
                <w:szCs w:val="21"/>
              </w:rPr>
            </w:pPr>
            <w:r>
              <w:rPr>
                <w:rFonts w:hint="default" w:ascii="Times New Roman" w:hAnsi="Times New Roman" w:cs="Times New Roman"/>
              </w:rPr>
              <w:t>4,181,207.73</w:t>
            </w:r>
          </w:p>
        </w:tc>
        <w:tc>
          <w:tcPr>
            <w:tcW w:w="822" w:type="pct"/>
            <w:vAlign w:val="center"/>
          </w:tcPr>
          <w:p>
            <w:pPr>
              <w:jc w:val="right"/>
              <w:rPr>
                <w:rFonts w:hint="default" w:ascii="Times New Roman" w:hAnsi="Times New Roman" w:cs="Times New Roman"/>
                <w:szCs w:val="21"/>
              </w:rPr>
            </w:pPr>
            <w:r>
              <w:rPr>
                <w:rFonts w:hint="default" w:ascii="Times New Roman" w:hAnsi="Times New Roman" w:cs="Times New Roman"/>
              </w:rPr>
              <w:t>17,710,326.36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2023年1月1日余额在本期</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--转入第二阶段</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--转入第三阶段</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--转回第二阶段</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--转回第一阶段</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本期计提</w:t>
            </w:r>
          </w:p>
        </w:tc>
        <w:tc>
          <w:tcPr>
            <w:tcW w:w="835"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 192,886.17</w:t>
            </w:r>
          </w:p>
        </w:tc>
        <w:tc>
          <w:tcPr>
            <w:tcW w:w="1043"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111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82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192,886.17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pct"/>
            <w:vAlign w:val="center"/>
          </w:tcPr>
          <w:p>
            <w:pPr>
              <w:pStyle w:val="303"/>
              <w:spacing w:after="0" w:line="240" w:lineRule="auto"/>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本期转回</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本期转销</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本期核销</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其他变动</w:t>
            </w:r>
          </w:p>
        </w:tc>
        <w:tc>
          <w:tcPr>
            <w:tcW w:w="835" w:type="pct"/>
            <w:vAlign w:val="center"/>
          </w:tcPr>
          <w:p>
            <w:pPr>
              <w:jc w:val="right"/>
              <w:rPr>
                <w:rFonts w:hint="default" w:ascii="Times New Roman" w:hAnsi="Times New Roman" w:cs="Times New Roman"/>
                <w:szCs w:val="21"/>
              </w:rPr>
            </w:pPr>
          </w:p>
        </w:tc>
        <w:tc>
          <w:tcPr>
            <w:tcW w:w="1043" w:type="pct"/>
            <w:vAlign w:val="center"/>
          </w:tcPr>
          <w:p>
            <w:pPr>
              <w:jc w:val="right"/>
              <w:rPr>
                <w:rFonts w:hint="default" w:ascii="Times New Roman" w:hAnsi="Times New Roman" w:cs="Times New Roman"/>
                <w:szCs w:val="21"/>
              </w:rPr>
            </w:pPr>
          </w:p>
        </w:tc>
        <w:tc>
          <w:tcPr>
            <w:tcW w:w="1111" w:type="pct"/>
            <w:vAlign w:val="center"/>
          </w:tcPr>
          <w:p>
            <w:pPr>
              <w:jc w:val="right"/>
              <w:rPr>
                <w:rFonts w:hint="default" w:ascii="Times New Roman" w:hAnsi="Times New Roman" w:cs="Times New Roman"/>
                <w:szCs w:val="21"/>
              </w:rPr>
            </w:pPr>
          </w:p>
        </w:tc>
        <w:tc>
          <w:tcPr>
            <w:tcW w:w="822"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pPr>
              <w:pStyle w:val="303"/>
              <w:spacing w:after="0"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2023年12月31日余额</w:t>
            </w:r>
          </w:p>
        </w:tc>
        <w:tc>
          <w:tcPr>
            <w:tcW w:w="835" w:type="pct"/>
            <w:vAlign w:val="center"/>
          </w:tcPr>
          <w:p>
            <w:pPr>
              <w:jc w:val="right"/>
              <w:rPr>
                <w:rFonts w:hint="default" w:ascii="Times New Roman" w:hAnsi="Times New Roman" w:cs="Times New Roman"/>
                <w:color w:val="auto"/>
              </w:rPr>
            </w:pPr>
            <w:r>
              <w:rPr>
                <w:rFonts w:hint="default" w:ascii="Times New Roman" w:hAnsi="Times New Roman" w:cs="Times New Roman"/>
                <w:color w:val="auto"/>
              </w:rPr>
              <w:t>13,722,004.8</w:t>
            </w:r>
            <w:r>
              <w:rPr>
                <w:rFonts w:hint="eastAsia" w:ascii="Times New Roman" w:hAnsi="Times New Roman" w:cs="Times New Roman"/>
                <w:color w:val="auto"/>
                <w:lang w:val="en-US" w:eastAsia="zh-CN"/>
              </w:rPr>
              <w:t>4</w:t>
            </w:r>
          </w:p>
        </w:tc>
        <w:tc>
          <w:tcPr>
            <w:tcW w:w="1043" w:type="pct"/>
            <w:vAlign w:val="center"/>
          </w:tcPr>
          <w:p>
            <w:pPr>
              <w:jc w:val="right"/>
              <w:rPr>
                <w:rFonts w:hint="default" w:ascii="Times New Roman" w:hAnsi="Times New Roman" w:cs="Times New Roman"/>
                <w:color w:val="auto"/>
              </w:rPr>
            </w:pPr>
          </w:p>
        </w:tc>
        <w:tc>
          <w:tcPr>
            <w:tcW w:w="1111" w:type="pct"/>
            <w:vAlign w:val="center"/>
          </w:tcPr>
          <w:p>
            <w:pPr>
              <w:jc w:val="right"/>
              <w:rPr>
                <w:rFonts w:hint="default" w:ascii="Times New Roman" w:hAnsi="Times New Roman" w:cs="Times New Roman"/>
                <w:color w:val="auto"/>
              </w:rPr>
            </w:pPr>
            <w:r>
              <w:rPr>
                <w:rFonts w:hint="default" w:ascii="Times New Roman" w:hAnsi="Times New Roman" w:cs="Times New Roman"/>
                <w:color w:val="auto"/>
              </w:rPr>
              <w:t>4,181,207.73</w:t>
            </w:r>
          </w:p>
        </w:tc>
        <w:tc>
          <w:tcPr>
            <w:tcW w:w="822" w:type="pct"/>
            <w:vAlign w:val="center"/>
          </w:tcPr>
          <w:p>
            <w:pPr>
              <w:jc w:val="right"/>
              <w:rPr>
                <w:rFonts w:hint="default" w:ascii="Times New Roman" w:hAnsi="Times New Roman" w:cs="Times New Roman"/>
                <w:color w:val="auto"/>
              </w:rPr>
            </w:pPr>
            <w:r>
              <w:rPr>
                <w:rFonts w:hint="default" w:ascii="Times New Roman" w:hAnsi="Times New Roman" w:cs="Times New Roman"/>
                <w:color w:val="auto"/>
              </w:rPr>
              <w:t>17,903,212.53</w:t>
            </w:r>
          </w:p>
        </w:tc>
      </w:tr>
    </w:tbl>
    <w:p/>
    <w:p/>
    <w:p/>
    <w:p>
      <w:pPr>
        <w:rPr>
          <w:highlight w:val="none"/>
        </w:rPr>
      </w:pPr>
    </w:p>
    <w:p>
      <w:pPr>
        <w:autoSpaceDE w:val="0"/>
        <w:autoSpaceDN w:val="0"/>
        <w:adjustRightInd w:val="0"/>
        <w:ind w:right="105" w:rightChars="50"/>
        <w:rPr>
          <w:szCs w:val="21"/>
          <w:highlight w:val="none"/>
        </w:rPr>
      </w:pPr>
      <w:r>
        <w:rPr>
          <w:rFonts w:hint="eastAsia"/>
          <w:szCs w:val="21"/>
          <w:highlight w:val="none"/>
        </w:rPr>
        <w:t>各阶段划分依据和坏账准备计提比例</w:t>
      </w:r>
    </w:p>
    <w:sdt>
      <w:sdtPr>
        <w:rPr>
          <w:rFonts w:cs="Times New Roman"/>
          <w:bCs/>
          <w:szCs w:val="22"/>
          <w:highlight w:val="cyan"/>
        </w:rPr>
        <w:alias w:val="其他应收款各阶段划分依据和坏账准备计提比例"/>
        <w:tag w:val="_GBC_d878dae05a464cf69eea4a309bb1cd21"/>
        <w:id w:val="26874"/>
        <w:placeholder>
          <w:docPart w:val="GBC22222222222222222222222222222"/>
        </w:placeholder>
      </w:sdtPr>
      <w:sdtEndPr>
        <w:rPr>
          <w:rFonts w:cs="Times New Roman"/>
          <w:bCs/>
          <w:szCs w:val="22"/>
          <w:highlight w:val="cyan"/>
        </w:rPr>
      </w:sdtEndPr>
      <w:sdtContent>
        <w:p>
          <w:pPr>
            <w:rPr>
              <w:rFonts w:cs="Times New Roman"/>
              <w:bCs/>
              <w:szCs w:val="22"/>
              <w:highlight w:val="cyan"/>
            </w:rPr>
          </w:pPr>
        </w:p>
        <w:tbl>
          <w:tblPr>
            <w:tblStyle w:val="37"/>
            <w:tblW w:w="33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30"/>
            <w:gridCol w:w="1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组合</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计提比例（%）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0.5年以内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0.5年至1年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3－5年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5年以上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3"/>
                  <w:spacing w:after="0" w:line="240" w:lineRule="auto"/>
                  <w:jc w:val="both"/>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100</w:t>
                </w:r>
              </w:p>
            </w:tc>
          </w:tr>
        </w:tbl>
        <w:p>
          <w:pPr>
            <w:rPr>
              <w:rFonts w:cs="Times New Roman"/>
              <w:bCs/>
              <w:szCs w:val="22"/>
              <w:highlight w:val="cyan"/>
            </w:rPr>
          </w:pPr>
        </w:p>
      </w:sdtContent>
    </w:sdt>
    <w:sdt>
      <w:sdtPr>
        <w:rPr>
          <w:rFonts w:ascii="Times New Roman" w:hAnsi="Times New Roman" w:cs="Times New Roman"/>
          <w:bCs/>
          <w:sz w:val="21"/>
          <w:szCs w:val="22"/>
          <w:highlight w:val="none"/>
        </w:rPr>
        <w:alias w:val="其他应收款各阶段划分依据和坏账准备计提比例"/>
        <w:tag w:val="_GBC_3c3eb8d29e064b68909ad636fcd177ff"/>
        <w:id w:val="28180"/>
        <w:placeholder>
          <w:docPart w:val="{44969300-ab6b-4531-9738-ec92373db910}"/>
        </w:placeholder>
      </w:sdtPr>
      <w:sdtEndPr>
        <w:rPr>
          <w:rFonts w:ascii="Times New Roman" w:hAnsi="Times New Roman" w:cs="Times New Roman"/>
          <w:bCs/>
          <w:sz w:val="21"/>
          <w:szCs w:val="22"/>
          <w:highlight w:val="yellow"/>
        </w:rPr>
      </w:sdtEndPr>
      <w:sdtContent>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s="Times New Roman"/>
              <w:bCs/>
              <w:sz w:val="21"/>
              <w:szCs w:val="22"/>
              <w:highlight w:val="none"/>
            </w:rPr>
          </w:pPr>
          <w:r>
            <w:rPr>
              <w:rFonts w:hint="eastAsia" w:ascii="Times New Roman" w:hAnsi="Times New Roman" w:cs="Times New Roman"/>
              <w:bCs/>
              <w:sz w:val="21"/>
              <w:szCs w:val="22"/>
              <w:highlight w:val="none"/>
            </w:rPr>
            <w:t xml:space="preserve">①其他应收款自初始确认后信用风险未显著增加的，处于第一阶段，本公司按照未来 12 个月内的预期信用损失计量损失准备；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s="Times New Roman"/>
              <w:bCs/>
              <w:sz w:val="21"/>
              <w:szCs w:val="22"/>
              <w:highlight w:val="none"/>
            </w:rPr>
          </w:pPr>
          <w:r>
            <w:rPr>
              <w:rFonts w:hint="eastAsia" w:ascii="Times New Roman" w:hAnsi="Times New Roman" w:cs="Times New Roman"/>
              <w:bCs/>
              <w:sz w:val="21"/>
              <w:szCs w:val="22"/>
              <w:highlight w:val="none"/>
            </w:rPr>
            <w:t xml:space="preserve">②其他应收款自初始确认后信用风险已显著增加但尚未发生信用减值的，处于第二阶段，本公司按照该工具整个存续期的预期信用损失计量损失准备； </w:t>
          </w:r>
        </w:p>
        <w:p>
          <w:pPr>
            <w:keepNext w:val="0"/>
            <w:keepLines w:val="0"/>
            <w:pageBreakBefore w:val="0"/>
            <w:widowControl/>
            <w:kinsoku/>
            <w:wordWrap/>
            <w:overflowPunct/>
            <w:topLinePunct w:val="0"/>
            <w:autoSpaceDE/>
            <w:autoSpaceDN/>
            <w:bidi w:val="0"/>
            <w:adjustRightInd/>
            <w:snapToGrid/>
            <w:spacing w:line="400" w:lineRule="exact"/>
            <w:textAlignment w:val="auto"/>
            <w:rPr>
              <w:rFonts w:cs="Times New Roman"/>
              <w:bCs/>
              <w:szCs w:val="22"/>
              <w:highlight w:val="yellow"/>
            </w:rPr>
          </w:pPr>
          <w:r>
            <w:rPr>
              <w:rFonts w:hint="eastAsia" w:ascii="Times New Roman" w:hAnsi="Times New Roman" w:cs="Times New Roman"/>
              <w:bCs/>
              <w:sz w:val="21"/>
              <w:szCs w:val="22"/>
              <w:highlight w:val="none"/>
            </w:rPr>
            <w:t>③其他应收款自初始确认后已经发生信用减值的，处于第三阶段，本公司按照该工具整个存续期的预期信用损失计量损失准备。</w:t>
          </w:r>
        </w:p>
      </w:sdtContent>
    </w:sdt>
    <w:p>
      <w:pPr>
        <w:rPr>
          <w:rFonts w:cs="Times New Roman"/>
          <w:bCs/>
          <w:szCs w:val="22"/>
          <w:highlight w:val="yellow"/>
        </w:rPr>
      </w:pPr>
    </w:p>
    <w:p/>
    <w:p>
      <w:pPr>
        <w:pStyle w:val="288"/>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26875"/>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222"/>
    <w:p>
      <w:bookmarkStart w:id="223"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6876"/>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223"/>
    <w:p>
      <w:pPr>
        <w:pStyle w:val="203"/>
        <w:numPr>
          <w:ilvl w:val="0"/>
          <w:numId w:val="77"/>
        </w:numPr>
        <w:ind w:leftChars="0"/>
      </w:pPr>
      <w:bookmarkStart w:id="224" w:name="_Hlk532831394"/>
      <w:r>
        <w:rPr>
          <w:rFonts w:hint="eastAsia"/>
        </w:rPr>
        <w:t>坏账准备的情况</w:t>
      </w:r>
    </w:p>
    <w:sdt>
      <w:sdtPr>
        <w:alias w:val="是否适用：其他应收款坏账准备[双击切换]"/>
        <w:tag w:val="_GBC_524ff4c8c6e549ef8e2bf00ca72ddbb6"/>
        <w:id w:val="26877"/>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64"/>
        <w:snapToGrid w:val="0"/>
        <w:spacing w:line="240" w:lineRule="atLeast"/>
        <w:ind w:left="425" w:firstLine="0" w:firstLineChars="0"/>
        <w:jc w:val="right"/>
        <w:rPr>
          <w:szCs w:val="21"/>
        </w:rPr>
      </w:pPr>
      <w:r>
        <w:rPr>
          <w:rFonts w:hint="eastAsia"/>
          <w:szCs w:val="21"/>
        </w:rPr>
        <w:t>单位：</w:t>
      </w:r>
      <w:sdt>
        <w:sdtPr>
          <w:rPr>
            <w:rFonts w:hint="eastAsia"/>
            <w:szCs w:val="21"/>
          </w:rPr>
          <w:alias w:val="单位：其他应收款坏账准备"/>
          <w:tag w:val="_GBC_a1cc48852f8047719c9f4b9326a997e3"/>
          <w:id w:val="268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
          <w:tag w:val="_GBC_cc05d2791f5f4983a0b6c04ec0989295"/>
          <w:id w:val="26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64"/>
        <w:gridCol w:w="1434"/>
        <w:gridCol w:w="1258"/>
        <w:gridCol w:w="1171"/>
        <w:gridCol w:w="1140"/>
        <w:gridCol w:w="115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16717"/>
          </w:sdtPr>
          <w:sdtContent>
            <w:tc>
              <w:tcPr>
                <w:tcW w:w="808" w:type="pct"/>
                <w:vMerge w:val="restart"/>
                <w:shd w:val="clear" w:color="auto" w:fill="FFFFFF"/>
                <w:vAlign w:val="center"/>
              </w:tcPr>
              <w:p>
                <w:pPr>
                  <w:widowControl w:val="0"/>
                  <w:jc w:val="center"/>
                </w:pPr>
                <w:r>
                  <w:t>类别</w:t>
                </w:r>
              </w:p>
            </w:tc>
          </w:sdtContent>
        </w:sdt>
        <w:sdt>
          <w:sdtPr>
            <w:tag w:val="_PLD_325dd74545cb4f67921ea1cc7ed20a2b"/>
            <w:id w:val="16718"/>
          </w:sdtPr>
          <w:sdtContent>
            <w:tc>
              <w:tcPr>
                <w:tcW w:w="791" w:type="pct"/>
                <w:vMerge w:val="restart"/>
                <w:shd w:val="clear" w:color="auto" w:fill="FFFFFF"/>
                <w:vAlign w:val="center"/>
              </w:tcPr>
              <w:p>
                <w:pPr>
                  <w:widowControl w:val="0"/>
                  <w:jc w:val="center"/>
                </w:pPr>
                <w:r>
                  <w:t>期初余额</w:t>
                </w:r>
              </w:p>
            </w:tc>
          </w:sdtContent>
        </w:sdt>
        <w:sdt>
          <w:sdtPr>
            <w:tag w:val="_PLD_d513696ccf0b46ccb4ea6d2ef23dbbd2"/>
            <w:id w:val="16719"/>
          </w:sdtPr>
          <w:sdtContent>
            <w:tc>
              <w:tcPr>
                <w:tcW w:w="2607" w:type="pct"/>
                <w:gridSpan w:val="4"/>
                <w:shd w:val="clear" w:color="auto" w:fill="FFFFFF"/>
                <w:vAlign w:val="center"/>
              </w:tcPr>
              <w:p>
                <w:pPr>
                  <w:widowControl w:val="0"/>
                  <w:jc w:val="center"/>
                </w:pPr>
                <w:r>
                  <w:rPr>
                    <w:rFonts w:hint="eastAsia"/>
                  </w:rPr>
                  <w:t>本期变动</w:t>
                </w:r>
                <w:r>
                  <w:t>金额</w:t>
                </w:r>
              </w:p>
            </w:tc>
          </w:sdtContent>
        </w:sdt>
        <w:sdt>
          <w:sdtPr>
            <w:tag w:val="_PLD_20b48d7d53584edf917ab5d4207d6a9c"/>
            <w:id w:val="16720"/>
          </w:sdtPr>
          <w:sdtContent>
            <w:tc>
              <w:tcPr>
                <w:tcW w:w="792" w:type="pct"/>
                <w:vMerge w:val="restart"/>
                <w:shd w:val="clear" w:color="auto" w:fill="FFFFFF"/>
                <w:vAlign w:val="center"/>
              </w:tcPr>
              <w:p>
                <w:pPr>
                  <w:widowControl w:val="0"/>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8" w:type="pct"/>
            <w:vMerge w:val="continue"/>
            <w:shd w:val="clear" w:color="auto" w:fill="FFFFFF"/>
          </w:tcPr>
          <w:p>
            <w:pPr>
              <w:widowControl w:val="0"/>
              <w:jc w:val="center"/>
            </w:pPr>
          </w:p>
        </w:tc>
        <w:tc>
          <w:tcPr>
            <w:tcW w:w="791" w:type="pct"/>
            <w:vMerge w:val="continue"/>
            <w:shd w:val="clear" w:color="auto" w:fill="FFFFFF"/>
          </w:tcPr>
          <w:p>
            <w:pPr>
              <w:widowControl w:val="0"/>
              <w:jc w:val="center"/>
            </w:pPr>
          </w:p>
        </w:tc>
        <w:sdt>
          <w:sdtPr>
            <w:tag w:val="_PLD_97824acb5c834e9fbe6cf8e4b6cac761"/>
            <w:id w:val="16721"/>
          </w:sdtPr>
          <w:sdtContent>
            <w:tc>
              <w:tcPr>
                <w:tcW w:w="694" w:type="pct"/>
                <w:shd w:val="clear" w:color="auto" w:fill="FFFFFF"/>
                <w:vAlign w:val="center"/>
              </w:tcPr>
              <w:p>
                <w:pPr>
                  <w:widowControl w:val="0"/>
                  <w:jc w:val="center"/>
                </w:pPr>
                <w:r>
                  <w:t>计提</w:t>
                </w:r>
              </w:p>
            </w:tc>
          </w:sdtContent>
        </w:sdt>
        <w:sdt>
          <w:sdtPr>
            <w:tag w:val="_PLD_233002cee9bc4108842b58a08731b243"/>
            <w:id w:val="16722"/>
          </w:sdtPr>
          <w:sdtContent>
            <w:tc>
              <w:tcPr>
                <w:tcW w:w="646" w:type="pct"/>
                <w:shd w:val="clear" w:color="auto" w:fill="FFFFFF"/>
                <w:vAlign w:val="center"/>
              </w:tcPr>
              <w:p>
                <w:pPr>
                  <w:widowControl w:val="0"/>
                  <w:jc w:val="center"/>
                </w:pPr>
                <w:r>
                  <w:rPr>
                    <w:rFonts w:hint="eastAsia"/>
                  </w:rPr>
                  <w:t>收回或转回</w:t>
                </w:r>
              </w:p>
            </w:tc>
          </w:sdtContent>
        </w:sdt>
        <w:sdt>
          <w:sdtPr>
            <w:tag w:val="_PLD_6bcdf2328a584128aba90aa75e33c767"/>
            <w:id w:val="16723"/>
          </w:sdtPr>
          <w:sdtContent>
            <w:tc>
              <w:tcPr>
                <w:tcW w:w="629" w:type="pct"/>
                <w:shd w:val="clear" w:color="auto" w:fill="FFFFFF"/>
                <w:vAlign w:val="center"/>
              </w:tcPr>
              <w:p>
                <w:pPr>
                  <w:widowControl w:val="0"/>
                  <w:jc w:val="center"/>
                </w:pPr>
                <w:r>
                  <w:rPr>
                    <w:rFonts w:hint="eastAsia"/>
                  </w:rPr>
                  <w:t>转销或核销</w:t>
                </w:r>
              </w:p>
            </w:tc>
          </w:sdtContent>
        </w:sdt>
        <w:tc>
          <w:tcPr>
            <w:tcW w:w="637" w:type="pct"/>
            <w:shd w:val="clear" w:color="auto" w:fill="FFFFFF"/>
            <w:vAlign w:val="center"/>
          </w:tcPr>
          <w:sdt>
            <w:sdtPr>
              <w:rPr>
                <w:rFonts w:hint="eastAsia"/>
              </w:rPr>
              <w:tag w:val="_PLD_da684cd2e7cd4d42baf40bc9d95a0ce8"/>
              <w:id w:val="16724"/>
            </w:sdtPr>
            <w:sdtEndPr>
              <w:rPr>
                <w:rFonts w:hint="eastAsia"/>
              </w:rPr>
            </w:sdtEndPr>
            <w:sdtContent>
              <w:p>
                <w:pPr>
                  <w:widowControl w:val="0"/>
                  <w:jc w:val="right"/>
                </w:pPr>
                <w:r>
                  <w:rPr>
                    <w:rFonts w:hint="eastAsia"/>
                  </w:rPr>
                  <w:t>其他变动</w:t>
                </w:r>
              </w:p>
            </w:sdtContent>
          </w:sdt>
        </w:tc>
        <w:tc>
          <w:tcPr>
            <w:tcW w:w="792" w:type="pct"/>
            <w:vMerge w:val="continue"/>
            <w:shd w:val="clear" w:color="auto" w:fill="FFFFFF"/>
          </w:tcPr>
          <w:p>
            <w:pPr>
              <w:widowControl w:val="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8" w:type="pct"/>
            <w:shd w:val="clear" w:color="auto" w:fill="auto"/>
          </w:tcPr>
          <w:p>
            <w:pPr>
              <w:widowControl w:val="0"/>
            </w:pPr>
            <w:r>
              <w:t>其他应收款坏账准备</w:t>
            </w:r>
          </w:p>
        </w:tc>
        <w:tc>
          <w:tcPr>
            <w:tcW w:w="791"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17,710,326.36</w:t>
            </w:r>
          </w:p>
        </w:tc>
        <w:tc>
          <w:tcPr>
            <w:tcW w:w="694"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192,886.17</w:t>
            </w:r>
          </w:p>
        </w:tc>
        <w:tc>
          <w:tcPr>
            <w:tcW w:w="646"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629" w:type="pct"/>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637" w:type="pct"/>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79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17,903,212.53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8" w:type="pct"/>
            <w:shd w:val="clear" w:color="auto" w:fill="auto"/>
          </w:tcPr>
          <w:p>
            <w:pPr>
              <w:widowControl w:val="0"/>
              <w:jc w:val="center"/>
            </w:pPr>
            <w:r>
              <w:rPr>
                <w:rFonts w:hint="eastAsia"/>
              </w:rPr>
              <w:t>合计</w:t>
            </w:r>
          </w:p>
        </w:tc>
        <w:tc>
          <w:tcPr>
            <w:tcW w:w="791"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rPr>
              <w:t>17,710,326.36</w:t>
            </w:r>
          </w:p>
        </w:tc>
        <w:tc>
          <w:tcPr>
            <w:tcW w:w="694"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192,886.17</w:t>
            </w:r>
          </w:p>
        </w:tc>
        <w:tc>
          <w:tcPr>
            <w:tcW w:w="646"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629" w:type="pct"/>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637" w:type="pct"/>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79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17,903,212.53</w:t>
            </w:r>
          </w:p>
        </w:tc>
      </w:tr>
    </w:tbl>
    <w:p/>
    <w:p/>
    <w:p>
      <w:bookmarkStart w:id="225"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2688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其他说明</w:t>
      </w:r>
    </w:p>
    <w:sdt>
      <w:sdtPr>
        <w:alias w:val="其他应收款坏账准备情况的说明"/>
        <w:tag w:val="_GBC_ea3d549b97f449188fd9e2f767cdcd6c"/>
        <w:id w:val="26889"/>
        <w:placeholder>
          <w:docPart w:val="GBC22222222222222222222222222222"/>
        </w:placeholder>
      </w:sdtPr>
      <w:sdtContent>
        <w:p>
          <w:r>
            <w:rPr>
              <w:rFonts w:hint="eastAsia"/>
              <w:lang w:eastAsia="zh-CN"/>
            </w:rPr>
            <w:t>无</w:t>
          </w:r>
        </w:p>
      </w:sdtContent>
    </w:sdt>
    <w:bookmarkEnd w:id="224"/>
    <w:bookmarkEnd w:id="225"/>
    <w:p>
      <w:pPr>
        <w:pStyle w:val="203"/>
        <w:numPr>
          <w:ilvl w:val="0"/>
          <w:numId w:val="77"/>
        </w:numPr>
        <w:ind w:leftChars="0"/>
      </w:pPr>
      <w:r>
        <w:rPr>
          <w:rFonts w:hint="eastAsia"/>
        </w:rPr>
        <w:t>本期实际核销的其他应收款情况</w:t>
      </w:r>
    </w:p>
    <w:sdt>
      <w:sdtPr>
        <w:alias w:val="是否适用：本期实际核销的其他应收款情况[双击切换]"/>
        <w:tag w:val="_GBC_2ce86125d6b94b148fa674141e6497b1"/>
        <w:id w:val="2689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26891"/>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szCs w:val="21"/>
        </w:rPr>
      </w:pPr>
    </w:p>
    <w:p>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26892"/>
        <w:placeholder>
          <w:docPart w:val="GBC22222222222222222222222222222"/>
        </w:placeholder>
      </w:sdtPr>
      <w:sdtEndPr>
        <w:rPr>
          <w:szCs w:val="21"/>
        </w:rPr>
      </w:sdtEndPr>
      <w:sdtContent>
        <w:p>
          <w:pPr>
            <w:snapToGrid w:val="0"/>
            <w:spacing w:line="240" w:lineRule="atLeast"/>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szCs w:val="21"/>
        </w:rPr>
      </w:pPr>
    </w:p>
    <w:p>
      <w:pPr>
        <w:pStyle w:val="203"/>
        <w:numPr>
          <w:ilvl w:val="0"/>
          <w:numId w:val="77"/>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689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06f7a71e039445228d80a5741df4c4f7"/>
          <w:id w:val="268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26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601"/>
        <w:gridCol w:w="1588"/>
        <w:gridCol w:w="1387"/>
        <w:gridCol w:w="1787"/>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trPr>
        <w:sdt>
          <w:sdtPr>
            <w:tag w:val="_PLD_f30fc2dc8886472699c892f0395ab05e"/>
            <w:id w:val="16791"/>
          </w:sdtPr>
          <w:sdtContent>
            <w:tc>
              <w:tcPr>
                <w:tcW w:w="682" w:type="pct"/>
                <w:vAlign w:val="center"/>
              </w:tcPr>
              <w:p>
                <w:pPr>
                  <w:ind w:right="105"/>
                  <w:jc w:val="center"/>
                  <w:rPr>
                    <w:szCs w:val="21"/>
                  </w:rPr>
                </w:pPr>
                <w:r>
                  <w:rPr>
                    <w:rFonts w:hint="eastAsia"/>
                    <w:szCs w:val="21"/>
                  </w:rPr>
                  <w:t>单位名称</w:t>
                </w:r>
              </w:p>
            </w:tc>
          </w:sdtContent>
        </w:sdt>
        <w:sdt>
          <w:sdtPr>
            <w:tag w:val="_PLD_1bc905abb4bf4c679b9fbe0a7587d651"/>
            <w:id w:val="16792"/>
          </w:sdtPr>
          <w:sdtContent>
            <w:tc>
              <w:tcPr>
                <w:tcW w:w="884" w:type="pct"/>
                <w:vAlign w:val="center"/>
              </w:tcPr>
              <w:p>
                <w:pPr>
                  <w:ind w:right="73"/>
                  <w:jc w:val="center"/>
                  <w:rPr>
                    <w:szCs w:val="21"/>
                  </w:rPr>
                </w:pPr>
                <w:r>
                  <w:rPr>
                    <w:rFonts w:hint="eastAsia"/>
                    <w:szCs w:val="21"/>
                  </w:rPr>
                  <w:t>期末余额</w:t>
                </w:r>
              </w:p>
            </w:tc>
          </w:sdtContent>
        </w:sdt>
        <w:sdt>
          <w:sdtPr>
            <w:tag w:val="_PLD_055b75c0a3cf450e995ac7e13fdc0c08"/>
            <w:id w:val="16793"/>
          </w:sdtPr>
          <w:sdtContent>
            <w:tc>
              <w:tcPr>
                <w:tcW w:w="877" w:type="pct"/>
                <w:vAlign w:val="center"/>
              </w:tcPr>
              <w:p>
                <w:pPr>
                  <w:jc w:val="center"/>
                  <w:rPr>
                    <w:szCs w:val="21"/>
                  </w:rPr>
                </w:pPr>
                <w:r>
                  <w:rPr>
                    <w:rFonts w:hint="eastAsia"/>
                    <w:szCs w:val="21"/>
                  </w:rPr>
                  <w:t>占其他应收款期末余额合计数的比例(</w:t>
                </w:r>
                <w:r>
                  <w:rPr>
                    <w:szCs w:val="21"/>
                  </w:rPr>
                  <w:t>%)</w:t>
                </w:r>
              </w:p>
            </w:tc>
          </w:sdtContent>
        </w:sdt>
        <w:sdt>
          <w:sdtPr>
            <w:tag w:val="_PLD_44129b8132114de2a4d33c4acb8af98f"/>
            <w:id w:val="16794"/>
          </w:sdtPr>
          <w:sdtContent>
            <w:tc>
              <w:tcPr>
                <w:tcW w:w="766" w:type="pct"/>
                <w:vAlign w:val="center"/>
              </w:tcPr>
              <w:p>
                <w:pPr>
                  <w:ind w:right="73"/>
                  <w:jc w:val="center"/>
                  <w:rPr>
                    <w:szCs w:val="21"/>
                  </w:rPr>
                </w:pPr>
                <w:r>
                  <w:rPr>
                    <w:rFonts w:hint="eastAsia"/>
                    <w:szCs w:val="21"/>
                  </w:rPr>
                  <w:t>款项的性质</w:t>
                </w:r>
              </w:p>
            </w:tc>
          </w:sdtContent>
        </w:sdt>
        <w:sdt>
          <w:sdtPr>
            <w:tag w:val="_PLD_d9231de346f74815b1bc7c82527b1ef5"/>
            <w:id w:val="16795"/>
          </w:sdtPr>
          <w:sdtContent>
            <w:tc>
              <w:tcPr>
                <w:tcW w:w="987" w:type="pct"/>
                <w:vAlign w:val="center"/>
              </w:tcPr>
              <w:p>
                <w:pPr>
                  <w:ind w:right="73"/>
                  <w:jc w:val="center"/>
                  <w:rPr>
                    <w:szCs w:val="21"/>
                  </w:rPr>
                </w:pPr>
                <w:r>
                  <w:rPr>
                    <w:rFonts w:hint="eastAsia"/>
                    <w:szCs w:val="21"/>
                  </w:rPr>
                  <w:t>账龄</w:t>
                </w:r>
              </w:p>
            </w:tc>
          </w:sdtContent>
        </w:sdt>
        <w:sdt>
          <w:sdtPr>
            <w:tag w:val="_PLD_a7951a260c094fc8b8b64f2d1e6a933e"/>
            <w:id w:val="16796"/>
          </w:sdtPr>
          <w:sdtContent>
            <w:tc>
              <w:tcPr>
                <w:tcW w:w="801" w:type="pct"/>
                <w:vAlign w:val="center"/>
              </w:tcPr>
              <w:p>
                <w:pPr>
                  <w:jc w:val="center"/>
                  <w:rPr>
                    <w:szCs w:val="21"/>
                  </w:rPr>
                </w:pPr>
                <w:r>
                  <w:rPr>
                    <w:rFonts w:hint="eastAsia"/>
                    <w:szCs w:val="21"/>
                  </w:rPr>
                  <w:t>坏账准备</w:t>
                </w:r>
              </w:p>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2" w:type="pct"/>
            <w:vAlign w:val="center"/>
          </w:tcPr>
          <w:p>
            <w:pPr>
              <w:ind w:right="105"/>
              <w:jc w:val="both"/>
              <w:rPr>
                <w:rFonts w:hint="eastAsia"/>
                <w:szCs w:val="21"/>
              </w:rPr>
            </w:pPr>
            <w:r>
              <w:t>第一名</w:t>
            </w:r>
          </w:p>
        </w:tc>
        <w:tc>
          <w:tcPr>
            <w:tcW w:w="884" w:type="pct"/>
            <w:vAlign w:val="center"/>
          </w:tcPr>
          <w:p>
            <w:pPr>
              <w:ind w:right="73"/>
              <w:jc w:val="right"/>
              <w:rPr>
                <w:rFonts w:hint="default" w:ascii="Times New Roman" w:hAnsi="Times New Roman" w:cs="Times New Roman"/>
                <w:szCs w:val="21"/>
              </w:rPr>
            </w:pPr>
            <w:r>
              <w:rPr>
                <w:rFonts w:hint="default" w:ascii="Times New Roman" w:hAnsi="Times New Roman" w:cs="Times New Roman"/>
                <w:szCs w:val="21"/>
              </w:rPr>
              <w:t>3,801,452.43</w:t>
            </w:r>
          </w:p>
        </w:tc>
        <w:tc>
          <w:tcPr>
            <w:tcW w:w="877" w:type="pct"/>
            <w:vAlign w:val="center"/>
          </w:tcPr>
          <w:p>
            <w:pPr>
              <w:jc w:val="right"/>
              <w:rPr>
                <w:rFonts w:hint="default" w:ascii="Times New Roman" w:hAnsi="Times New Roman" w:cs="Times New Roman"/>
                <w:szCs w:val="21"/>
              </w:rPr>
            </w:pPr>
            <w:r>
              <w:rPr>
                <w:rFonts w:hint="default" w:ascii="Times New Roman" w:hAnsi="Times New Roman" w:cs="Times New Roman"/>
                <w:szCs w:val="21"/>
              </w:rPr>
              <w:t>11.88</w:t>
            </w:r>
          </w:p>
        </w:tc>
        <w:tc>
          <w:tcPr>
            <w:tcW w:w="766" w:type="pct"/>
            <w:vAlign w:val="center"/>
          </w:tcPr>
          <w:p>
            <w:pPr>
              <w:ind w:right="73"/>
              <w:jc w:val="center"/>
              <w:rPr>
                <w:rFonts w:hint="default" w:ascii="Times New Roman" w:hAnsi="Times New Roman" w:cs="Times New Roman"/>
                <w:szCs w:val="21"/>
              </w:rPr>
            </w:pPr>
            <w:r>
              <w:rPr>
                <w:rFonts w:hint="default" w:ascii="Times New Roman" w:hAnsi="Times New Roman" w:cs="Times New Roman"/>
                <w:color w:val="auto"/>
              </w:rPr>
              <w:t>往来款</w:t>
            </w:r>
          </w:p>
        </w:tc>
        <w:tc>
          <w:tcPr>
            <w:tcW w:w="987"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01" w:type="pct"/>
            <w:vAlign w:val="center"/>
          </w:tcPr>
          <w:p>
            <w:pPr>
              <w:jc w:val="right"/>
              <w:rPr>
                <w:rFonts w:hint="default" w:ascii="Times New Roman" w:hAnsi="Times New Roman" w:cs="Times New Roman"/>
                <w:color w:val="auto"/>
              </w:rPr>
            </w:pPr>
            <w:r>
              <w:rPr>
                <w:rFonts w:hint="default" w:ascii="Times New Roman" w:hAnsi="Times New Roman" w:cs="Times New Roman"/>
                <w:color w:val="auto"/>
              </w:rPr>
              <w:t xml:space="preserve">3,801,452.43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2" w:type="pct"/>
            <w:vAlign w:val="center"/>
          </w:tcPr>
          <w:p>
            <w:pPr>
              <w:ind w:right="105"/>
              <w:jc w:val="both"/>
              <w:rPr>
                <w:rFonts w:hint="eastAsia"/>
                <w:szCs w:val="21"/>
              </w:rPr>
            </w:pPr>
            <w:r>
              <w:t>第二名</w:t>
            </w:r>
          </w:p>
        </w:tc>
        <w:tc>
          <w:tcPr>
            <w:tcW w:w="884"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3,387,573.03</w:t>
            </w:r>
          </w:p>
        </w:tc>
        <w:tc>
          <w:tcPr>
            <w:tcW w:w="87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10.59</w:t>
            </w:r>
          </w:p>
        </w:tc>
        <w:tc>
          <w:tcPr>
            <w:tcW w:w="766" w:type="pct"/>
            <w:vAlign w:val="center"/>
          </w:tcPr>
          <w:p>
            <w:pPr>
              <w:ind w:right="73"/>
              <w:jc w:val="center"/>
              <w:rPr>
                <w:rFonts w:hint="default" w:ascii="Times New Roman" w:hAnsi="Times New Roman" w:cs="Times New Roman"/>
                <w:szCs w:val="21"/>
              </w:rPr>
            </w:pPr>
            <w:r>
              <w:rPr>
                <w:rFonts w:hint="default" w:ascii="Times New Roman" w:hAnsi="Times New Roman" w:cs="Times New Roman"/>
                <w:color w:val="auto"/>
              </w:rPr>
              <w:t>往来款</w:t>
            </w:r>
          </w:p>
        </w:tc>
        <w:tc>
          <w:tcPr>
            <w:tcW w:w="987"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1-2年</w:t>
            </w:r>
          </w:p>
        </w:tc>
        <w:tc>
          <w:tcPr>
            <w:tcW w:w="801" w:type="pct"/>
            <w:vAlign w:val="center"/>
          </w:tcPr>
          <w:p>
            <w:pPr>
              <w:jc w:val="right"/>
              <w:rPr>
                <w:rFonts w:hint="default" w:ascii="Times New Roman" w:hAnsi="Times New Roman" w:cs="Times New Roman"/>
                <w:color w:val="auto"/>
              </w:rPr>
            </w:pPr>
            <w:r>
              <w:rPr>
                <w:rFonts w:hint="default" w:ascii="Times New Roman" w:hAnsi="Times New Roman" w:cs="Times New Roman"/>
                <w:color w:val="auto"/>
              </w:rPr>
              <w:t>338,757.30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2" w:type="pct"/>
            <w:vAlign w:val="center"/>
          </w:tcPr>
          <w:p>
            <w:pPr>
              <w:ind w:right="105"/>
              <w:jc w:val="both"/>
              <w:rPr>
                <w:rFonts w:hint="eastAsia"/>
                <w:szCs w:val="21"/>
              </w:rPr>
            </w:pPr>
            <w:r>
              <w:t>第三名</w:t>
            </w:r>
          </w:p>
        </w:tc>
        <w:tc>
          <w:tcPr>
            <w:tcW w:w="884"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2,500,000.00</w:t>
            </w:r>
          </w:p>
        </w:tc>
        <w:tc>
          <w:tcPr>
            <w:tcW w:w="87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7.81</w:t>
            </w:r>
          </w:p>
        </w:tc>
        <w:tc>
          <w:tcPr>
            <w:tcW w:w="766" w:type="pct"/>
            <w:vAlign w:val="center"/>
          </w:tcPr>
          <w:p>
            <w:pPr>
              <w:ind w:right="73"/>
              <w:jc w:val="center"/>
              <w:rPr>
                <w:rFonts w:hint="default" w:ascii="Times New Roman" w:hAnsi="Times New Roman" w:cs="Times New Roman"/>
                <w:szCs w:val="21"/>
              </w:rPr>
            </w:pPr>
            <w:r>
              <w:rPr>
                <w:rFonts w:hint="default" w:ascii="Times New Roman" w:hAnsi="Times New Roman" w:cs="Times New Roman"/>
                <w:color w:val="auto"/>
              </w:rPr>
              <w:t>保证金</w:t>
            </w:r>
          </w:p>
        </w:tc>
        <w:tc>
          <w:tcPr>
            <w:tcW w:w="987"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2-5年、5年以上</w:t>
            </w:r>
          </w:p>
        </w:tc>
        <w:tc>
          <w:tcPr>
            <w:tcW w:w="80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2" w:type="pct"/>
            <w:vAlign w:val="center"/>
          </w:tcPr>
          <w:p>
            <w:pPr>
              <w:ind w:right="105"/>
              <w:jc w:val="both"/>
              <w:rPr>
                <w:rFonts w:hint="eastAsia"/>
                <w:szCs w:val="21"/>
              </w:rPr>
            </w:pPr>
            <w:r>
              <w:t>第四名</w:t>
            </w:r>
          </w:p>
        </w:tc>
        <w:tc>
          <w:tcPr>
            <w:tcW w:w="884"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2,000,000.00</w:t>
            </w:r>
          </w:p>
        </w:tc>
        <w:tc>
          <w:tcPr>
            <w:tcW w:w="87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6.25</w:t>
            </w:r>
          </w:p>
        </w:tc>
        <w:tc>
          <w:tcPr>
            <w:tcW w:w="766" w:type="pct"/>
            <w:vAlign w:val="center"/>
          </w:tcPr>
          <w:p>
            <w:pPr>
              <w:ind w:right="73"/>
              <w:jc w:val="center"/>
              <w:rPr>
                <w:rFonts w:hint="default" w:ascii="Times New Roman" w:hAnsi="Times New Roman" w:cs="Times New Roman"/>
                <w:szCs w:val="21"/>
              </w:rPr>
            </w:pPr>
            <w:r>
              <w:rPr>
                <w:rFonts w:hint="default" w:ascii="Times New Roman" w:hAnsi="Times New Roman" w:cs="Times New Roman"/>
                <w:color w:val="auto"/>
              </w:rPr>
              <w:t>往来款</w:t>
            </w:r>
          </w:p>
        </w:tc>
        <w:tc>
          <w:tcPr>
            <w:tcW w:w="987"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0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2,000,000.00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2" w:type="pct"/>
            <w:vAlign w:val="center"/>
          </w:tcPr>
          <w:p>
            <w:pPr>
              <w:ind w:right="105"/>
              <w:jc w:val="both"/>
              <w:rPr>
                <w:rFonts w:hint="eastAsia"/>
                <w:szCs w:val="21"/>
              </w:rPr>
            </w:pPr>
            <w:r>
              <w:t>第五名</w:t>
            </w:r>
          </w:p>
        </w:tc>
        <w:tc>
          <w:tcPr>
            <w:tcW w:w="884"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960,000.00</w:t>
            </w:r>
          </w:p>
        </w:tc>
        <w:tc>
          <w:tcPr>
            <w:tcW w:w="87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3.00</w:t>
            </w:r>
          </w:p>
        </w:tc>
        <w:tc>
          <w:tcPr>
            <w:tcW w:w="766" w:type="pct"/>
            <w:vAlign w:val="center"/>
          </w:tcPr>
          <w:p>
            <w:pPr>
              <w:ind w:right="73"/>
              <w:jc w:val="center"/>
              <w:rPr>
                <w:rFonts w:hint="default" w:ascii="Times New Roman" w:hAnsi="Times New Roman" w:cs="Times New Roman"/>
                <w:szCs w:val="21"/>
              </w:rPr>
            </w:pPr>
            <w:r>
              <w:rPr>
                <w:rFonts w:hint="default" w:ascii="Times New Roman" w:hAnsi="Times New Roman" w:cs="Times New Roman"/>
                <w:color w:val="auto"/>
              </w:rPr>
              <w:t>往来款</w:t>
            </w:r>
          </w:p>
        </w:tc>
        <w:tc>
          <w:tcPr>
            <w:tcW w:w="987"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0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960,000.00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2" w:type="pct"/>
          </w:tcPr>
          <w:p>
            <w:pPr>
              <w:ind w:right="105"/>
              <w:jc w:val="center"/>
              <w:rPr>
                <w:szCs w:val="21"/>
              </w:rPr>
            </w:pPr>
            <w:r>
              <w:rPr>
                <w:rFonts w:hint="eastAsia"/>
                <w:szCs w:val="21"/>
              </w:rPr>
              <w:t>合计</w:t>
            </w:r>
          </w:p>
        </w:tc>
        <w:tc>
          <w:tcPr>
            <w:tcW w:w="884" w:type="pct"/>
            <w:vAlign w:val="center"/>
          </w:tcPr>
          <w:p>
            <w:pPr>
              <w:jc w:val="right"/>
              <w:rPr>
                <w:rFonts w:hint="default" w:ascii="Times New Roman" w:hAnsi="Times New Roman" w:cs="Times New Roman"/>
              </w:rPr>
            </w:pPr>
            <w:r>
              <w:rPr>
                <w:rFonts w:hint="default" w:ascii="Times New Roman" w:hAnsi="Times New Roman" w:cs="Times New Roman"/>
                <w:color w:val="auto"/>
              </w:rPr>
              <w:t xml:space="preserve">12,649,025.46  </w:t>
            </w:r>
          </w:p>
        </w:tc>
        <w:tc>
          <w:tcPr>
            <w:tcW w:w="877" w:type="pct"/>
            <w:vAlign w:val="center"/>
          </w:tcPr>
          <w:p>
            <w:pPr>
              <w:jc w:val="right"/>
              <w:rPr>
                <w:rFonts w:hint="default" w:ascii="Times New Roman" w:hAnsi="Times New Roman" w:eastAsia="宋体" w:cs="Times New Roman"/>
                <w:lang w:val="en-US" w:eastAsia="zh-CN"/>
              </w:rPr>
            </w:pPr>
            <w:r>
              <w:rPr>
                <w:rFonts w:hint="eastAsia" w:ascii="Times New Roman" w:hAnsi="Times New Roman" w:cs="Times New Roman"/>
                <w:color w:val="auto"/>
                <w:lang w:val="en-US" w:eastAsia="zh-CN"/>
              </w:rPr>
              <w:t>39.53</w:t>
            </w:r>
          </w:p>
        </w:tc>
        <w:tc>
          <w:tcPr>
            <w:tcW w:w="766" w:type="pct"/>
            <w:vAlign w:val="center"/>
          </w:tcPr>
          <w:p>
            <w:pPr>
              <w:ind w:right="73"/>
              <w:jc w:val="right"/>
              <w:rPr>
                <w:rFonts w:hint="default" w:ascii="Times New Roman" w:hAnsi="Times New Roman" w:cs="Times New Roman"/>
                <w:szCs w:val="21"/>
              </w:rPr>
            </w:pPr>
            <w:r>
              <w:rPr>
                <w:rFonts w:hint="default" w:ascii="Times New Roman" w:hAnsi="Times New Roman" w:cs="Times New Roman"/>
                <w:szCs w:val="21"/>
              </w:rPr>
              <w:t>/</w:t>
            </w:r>
          </w:p>
        </w:tc>
        <w:tc>
          <w:tcPr>
            <w:tcW w:w="987" w:type="pct"/>
            <w:vAlign w:val="center"/>
          </w:tcPr>
          <w:p>
            <w:pPr>
              <w:ind w:right="73"/>
              <w:jc w:val="right"/>
              <w:rPr>
                <w:rFonts w:hint="default" w:ascii="Times New Roman" w:hAnsi="Times New Roman" w:cs="Times New Roman"/>
                <w:szCs w:val="21"/>
              </w:rPr>
            </w:pPr>
            <w:r>
              <w:rPr>
                <w:rFonts w:hint="default" w:ascii="Times New Roman" w:hAnsi="Times New Roman" w:cs="Times New Roman"/>
                <w:szCs w:val="21"/>
              </w:rPr>
              <w:t>/</w:t>
            </w:r>
          </w:p>
        </w:tc>
        <w:tc>
          <w:tcPr>
            <w:tcW w:w="801"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7,100,209.73 </w:t>
            </w:r>
          </w:p>
        </w:tc>
      </w:tr>
    </w:tbl>
    <w:p/>
    <w:p>
      <w:pPr>
        <w:snapToGrid w:val="0"/>
        <w:spacing w:line="240" w:lineRule="atLeast"/>
      </w:pPr>
    </w:p>
    <w:p>
      <w:pPr>
        <w:pStyle w:val="203"/>
        <w:numPr>
          <w:ilvl w:val="0"/>
          <w:numId w:val="77"/>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26902"/>
        <w:placeholder>
          <w:docPart w:val="GBC22222222222222222222222222222"/>
        </w:placeholder>
      </w:sdtPr>
      <w:sdtContent>
        <w:p>
          <w:pPr>
            <w:snapToGrid w:val="0"/>
            <w:spacing w:line="240" w:lineRule="atLeast"/>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outlineLvl w:val="9"/>
      </w:pPr>
    </w:p>
    <w:p>
      <w:r>
        <w:rPr>
          <w:rFonts w:hint="eastAsia"/>
        </w:rPr>
        <w:t>其他</w:t>
      </w:r>
      <w:r>
        <w:t>说明：</w:t>
      </w:r>
    </w:p>
    <w:sdt>
      <w:sdtPr>
        <w:rPr>
          <w:rFonts w:hint="eastAsia"/>
          <w:szCs w:val="21"/>
        </w:rPr>
        <w:alias w:val="是否适用：其他应收款的其他说明[双击切换]"/>
        <w:tag w:val="_GBC_f19370687b664bbeafd6d2809311f81e"/>
        <w:id w:val="26903"/>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pPr>
      <w:r>
        <w:rPr>
          <w:rFonts w:hint="eastAsia"/>
        </w:rPr>
        <w:t>存货</w:t>
      </w:r>
    </w:p>
    <w:p>
      <w:pPr>
        <w:pStyle w:val="196"/>
        <w:numPr>
          <w:ilvl w:val="3"/>
          <w:numId w:val="78"/>
        </w:numPr>
        <w:ind w:left="426" w:hanging="426"/>
      </w:pPr>
      <w:bookmarkStart w:id="226" w:name="_Hlk24116366"/>
      <w:bookmarkStart w:id="227" w:name="_Hlk532992451"/>
      <w:r>
        <w:rPr>
          <w:rFonts w:hint="eastAsia"/>
        </w:rPr>
        <w:t>存货分类</w:t>
      </w:r>
    </w:p>
    <w:sdt>
      <w:sdtPr>
        <w:alias w:val="是否适用：存货分类[双击切换]"/>
        <w:tag w:val="_GBC_357bbe1b1f034d20ba175209243f1121"/>
        <w:id w:val="2690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存货分类"/>
          <w:tag w:val="_GBC_d8d041ff281d42b2825673de12d9cf99"/>
          <w:id w:val="26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26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726" w:type="pct"/>
        <w:tblInd w:w="-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13"/>
        <w:gridCol w:w="1432"/>
        <w:gridCol w:w="1637"/>
        <w:gridCol w:w="1445"/>
        <w:gridCol w:w="1459"/>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18"/>
              <w:szCs w:val="18"/>
            </w:rPr>
            <w:tag w:val="_PLD_c7ef81863f9f475b86b8ee43ac7e9274"/>
            <w:id w:val="26907"/>
          </w:sdtPr>
          <w:sdtEndPr>
            <w:rPr>
              <w:rFonts w:hint="default" w:ascii="Times New Roman" w:hAnsi="Times New Roman" w:cs="Times New Roman"/>
              <w:sz w:val="18"/>
              <w:szCs w:val="18"/>
            </w:rPr>
          </w:sdtEndPr>
          <w:sdtContent>
            <w:tc>
              <w:tcPr>
                <w:tcW w:w="552"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sdtContent>
        </w:sdt>
        <w:sdt>
          <w:sdtPr>
            <w:rPr>
              <w:rFonts w:hint="default" w:ascii="Times New Roman" w:hAnsi="Times New Roman" w:cs="Times New Roman"/>
              <w:sz w:val="18"/>
              <w:szCs w:val="18"/>
            </w:rPr>
            <w:tag w:val="_PLD_68fbd4316a69442d924038f565882f99"/>
            <w:id w:val="26908"/>
          </w:sdtPr>
          <w:sdtEndPr>
            <w:rPr>
              <w:rFonts w:hint="default" w:ascii="Times New Roman" w:hAnsi="Times New Roman" w:cs="Times New Roman"/>
              <w:sz w:val="18"/>
              <w:szCs w:val="18"/>
            </w:rPr>
          </w:sdtEndPr>
          <w:sdtContent>
            <w:tc>
              <w:tcPr>
                <w:tcW w:w="2210" w:type="pct"/>
                <w:gridSpan w:val="3"/>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期末余额</w:t>
                </w:r>
              </w:p>
            </w:tc>
          </w:sdtContent>
        </w:sdt>
        <w:sdt>
          <w:sdtPr>
            <w:rPr>
              <w:rFonts w:hint="default" w:ascii="Times New Roman" w:hAnsi="Times New Roman" w:cs="Times New Roman"/>
              <w:sz w:val="18"/>
              <w:szCs w:val="18"/>
            </w:rPr>
            <w:tag w:val="_PLD_39f6313de32c45ce95b6a2ef18238d4a"/>
            <w:id w:val="26909"/>
          </w:sdtPr>
          <w:sdtEndPr>
            <w:rPr>
              <w:rFonts w:hint="default" w:ascii="Times New Roman" w:hAnsi="Times New Roman" w:cs="Times New Roman"/>
              <w:sz w:val="18"/>
              <w:szCs w:val="18"/>
            </w:rPr>
          </w:sdtEndPr>
          <w:sdtContent>
            <w:tc>
              <w:tcPr>
                <w:tcW w:w="2236" w:type="pct"/>
                <w:gridSpan w:val="3"/>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vMerge w:val="continue"/>
          </w:tcPr>
          <w:p>
            <w:pPr>
              <w:ind w:right="5"/>
              <w:jc w:val="center"/>
              <w:rPr>
                <w:rFonts w:hint="default" w:ascii="Times New Roman" w:hAnsi="Times New Roman" w:cs="Times New Roman"/>
                <w:sz w:val="18"/>
                <w:szCs w:val="18"/>
              </w:rPr>
            </w:pPr>
          </w:p>
        </w:tc>
        <w:sdt>
          <w:sdtPr>
            <w:rPr>
              <w:rFonts w:hint="default" w:ascii="Times New Roman" w:hAnsi="Times New Roman" w:cs="Times New Roman"/>
              <w:sz w:val="18"/>
              <w:szCs w:val="18"/>
            </w:rPr>
            <w:tag w:val="_PLD_73436d894fc444d5b519a3b75a689324"/>
            <w:id w:val="26910"/>
          </w:sdtPr>
          <w:sdtEndPr>
            <w:rPr>
              <w:rFonts w:hint="default" w:ascii="Times New Roman" w:hAnsi="Times New Roman" w:cs="Times New Roman"/>
              <w:sz w:val="18"/>
              <w:szCs w:val="18"/>
            </w:rPr>
          </w:sdtEndPr>
          <w:sdtContent>
            <w:tc>
              <w:tcPr>
                <w:tcW w:w="729" w:type="pct"/>
                <w:vAlign w:val="center"/>
              </w:tcPr>
              <w:p>
                <w:pPr>
                  <w:ind w:right="5"/>
                  <w:jc w:val="center"/>
                  <w:rPr>
                    <w:rFonts w:hint="default" w:ascii="Times New Roman" w:hAnsi="Times New Roman" w:cs="Times New Roman"/>
                    <w:sz w:val="18"/>
                    <w:szCs w:val="18"/>
                  </w:rPr>
                </w:pPr>
                <w:r>
                  <w:rPr>
                    <w:rFonts w:hint="default" w:ascii="Times New Roman" w:hAnsi="Times New Roman" w:cs="Times New Roman"/>
                    <w:sz w:val="18"/>
                    <w:szCs w:val="18"/>
                  </w:rPr>
                  <w:t>账面余额</w:t>
                </w:r>
              </w:p>
            </w:tc>
          </w:sdtContent>
        </w:sdt>
        <w:tc>
          <w:tcPr>
            <w:tcW w:w="690" w:type="pct"/>
            <w:vAlign w:val="center"/>
          </w:tcPr>
          <w:p>
            <w:pPr>
              <w:ind w:right="5"/>
              <w:jc w:val="center"/>
              <w:rPr>
                <w:rFonts w:hint="default" w:ascii="Times New Roman" w:hAnsi="Times New Roman" w:cs="Times New Roman"/>
                <w:sz w:val="18"/>
                <w:szCs w:val="18"/>
              </w:rPr>
            </w:pPr>
            <w:sdt>
              <w:sdtPr>
                <w:rPr>
                  <w:rFonts w:hint="default" w:ascii="Times New Roman" w:hAnsi="Times New Roman" w:cs="Times New Roman"/>
                  <w:sz w:val="18"/>
                  <w:szCs w:val="18"/>
                </w:rPr>
                <w:tag w:val="_PLD_09cd496fa8624ad4a9538b5b209e6d5a"/>
                <w:id w:val="26911"/>
              </w:sdtPr>
              <w:sdtEndPr>
                <w:rPr>
                  <w:rFonts w:hint="default" w:ascii="Times New Roman" w:hAnsi="Times New Roman" w:cs="Times New Roman"/>
                  <w:sz w:val="18"/>
                  <w:szCs w:val="18"/>
                </w:rPr>
              </w:sdtEndPr>
              <w:sdtContent>
                <w:r>
                  <w:rPr>
                    <w:rFonts w:hint="default" w:ascii="Times New Roman" w:hAnsi="Times New Roman" w:cs="Times New Roman"/>
                    <w:sz w:val="18"/>
                    <w:szCs w:val="18"/>
                  </w:rPr>
                  <w:t>存货跌价准备/合同履约成本减值准备</w:t>
                </w:r>
              </w:sdtContent>
            </w:sdt>
          </w:p>
        </w:tc>
        <w:sdt>
          <w:sdtPr>
            <w:rPr>
              <w:rFonts w:hint="default" w:ascii="Times New Roman" w:hAnsi="Times New Roman" w:cs="Times New Roman"/>
              <w:sz w:val="18"/>
              <w:szCs w:val="18"/>
            </w:rPr>
            <w:tag w:val="_PLD_2c7532c412cf491899c310ef9902157e"/>
            <w:id w:val="26912"/>
          </w:sdtPr>
          <w:sdtEndPr>
            <w:rPr>
              <w:rFonts w:hint="default" w:ascii="Times New Roman" w:hAnsi="Times New Roman" w:cs="Times New Roman"/>
              <w:sz w:val="18"/>
              <w:szCs w:val="18"/>
            </w:rPr>
          </w:sdtEndPr>
          <w:sdtContent>
            <w:tc>
              <w:tcPr>
                <w:tcW w:w="789" w:type="pct"/>
                <w:vAlign w:val="center"/>
              </w:tcPr>
              <w:p>
                <w:pPr>
                  <w:ind w:right="5"/>
                  <w:jc w:val="center"/>
                  <w:rPr>
                    <w:rFonts w:hint="default" w:ascii="Times New Roman" w:hAnsi="Times New Roman" w:cs="Times New Roman"/>
                    <w:sz w:val="18"/>
                    <w:szCs w:val="18"/>
                  </w:rPr>
                </w:pPr>
                <w:r>
                  <w:rPr>
                    <w:rFonts w:hint="default" w:ascii="Times New Roman" w:hAnsi="Times New Roman" w:cs="Times New Roman"/>
                    <w:sz w:val="18"/>
                    <w:szCs w:val="18"/>
                  </w:rPr>
                  <w:t>账面价值</w:t>
                </w:r>
              </w:p>
            </w:tc>
          </w:sdtContent>
        </w:sdt>
        <w:sdt>
          <w:sdtPr>
            <w:rPr>
              <w:rFonts w:hint="default" w:ascii="Times New Roman" w:hAnsi="Times New Roman" w:cs="Times New Roman"/>
              <w:sz w:val="18"/>
              <w:szCs w:val="18"/>
            </w:rPr>
            <w:tag w:val="_PLD_6c2924a6d3da466f96c5c2e2f2d81de1"/>
            <w:id w:val="26913"/>
          </w:sdtPr>
          <w:sdtEndPr>
            <w:rPr>
              <w:rFonts w:hint="default" w:ascii="Times New Roman" w:hAnsi="Times New Roman" w:cs="Times New Roman"/>
              <w:sz w:val="18"/>
              <w:szCs w:val="18"/>
            </w:rPr>
          </w:sdtEndPr>
          <w:sdtContent>
            <w:tc>
              <w:tcPr>
                <w:tcW w:w="697" w:type="pct"/>
                <w:vAlign w:val="center"/>
              </w:tcPr>
              <w:p>
                <w:pPr>
                  <w:ind w:right="5"/>
                  <w:jc w:val="center"/>
                  <w:rPr>
                    <w:rFonts w:hint="default" w:ascii="Times New Roman" w:hAnsi="Times New Roman" w:cs="Times New Roman"/>
                    <w:sz w:val="18"/>
                    <w:szCs w:val="18"/>
                  </w:rPr>
                </w:pPr>
                <w:r>
                  <w:rPr>
                    <w:rFonts w:hint="default" w:ascii="Times New Roman" w:hAnsi="Times New Roman" w:cs="Times New Roman"/>
                    <w:sz w:val="18"/>
                    <w:szCs w:val="18"/>
                  </w:rPr>
                  <w:t>账面余额</w:t>
                </w:r>
              </w:p>
            </w:tc>
          </w:sdtContent>
        </w:sdt>
        <w:tc>
          <w:tcPr>
            <w:tcW w:w="703" w:type="pct"/>
            <w:vAlign w:val="center"/>
          </w:tcPr>
          <w:p>
            <w:pPr>
              <w:ind w:right="5"/>
              <w:jc w:val="center"/>
              <w:rPr>
                <w:rFonts w:hint="default" w:ascii="Times New Roman" w:hAnsi="Times New Roman" w:cs="Times New Roman"/>
                <w:sz w:val="18"/>
                <w:szCs w:val="18"/>
              </w:rPr>
            </w:pPr>
            <w:sdt>
              <w:sdtPr>
                <w:rPr>
                  <w:rFonts w:hint="default" w:ascii="Times New Roman" w:hAnsi="Times New Roman" w:cs="Times New Roman"/>
                  <w:sz w:val="18"/>
                  <w:szCs w:val="18"/>
                </w:rPr>
                <w:tag w:val="_PLD_e5df78ba36d146dfb7eedab7ddd98031"/>
                <w:id w:val="26914"/>
              </w:sdtPr>
              <w:sdtEndPr>
                <w:rPr>
                  <w:rFonts w:hint="default" w:ascii="Times New Roman" w:hAnsi="Times New Roman" w:cs="Times New Roman"/>
                  <w:sz w:val="18"/>
                  <w:szCs w:val="18"/>
                </w:rPr>
              </w:sdtEndPr>
              <w:sdtContent>
                <w:r>
                  <w:rPr>
                    <w:rFonts w:hint="default" w:ascii="Times New Roman" w:hAnsi="Times New Roman" w:cs="Times New Roman"/>
                    <w:sz w:val="18"/>
                    <w:szCs w:val="18"/>
                  </w:rPr>
                  <w:t>存货跌价准备/合同履约成本减值准备</w:t>
                </w:r>
              </w:sdtContent>
            </w:sdt>
          </w:p>
        </w:tc>
        <w:sdt>
          <w:sdtPr>
            <w:rPr>
              <w:rFonts w:hint="default" w:ascii="Times New Roman" w:hAnsi="Times New Roman" w:cs="Times New Roman"/>
              <w:sz w:val="18"/>
              <w:szCs w:val="18"/>
            </w:rPr>
            <w:tag w:val="_PLD_ba07e513b5504e03b2dcef7d8421fa16"/>
            <w:id w:val="26915"/>
          </w:sdtPr>
          <w:sdtEndPr>
            <w:rPr>
              <w:rFonts w:hint="default" w:ascii="Times New Roman" w:hAnsi="Times New Roman" w:cs="Times New Roman"/>
              <w:sz w:val="18"/>
              <w:szCs w:val="18"/>
            </w:rPr>
          </w:sdtEndPr>
          <w:sdtContent>
            <w:tc>
              <w:tcPr>
                <w:tcW w:w="835" w:type="pct"/>
                <w:vAlign w:val="center"/>
              </w:tcPr>
              <w:p>
                <w:pPr>
                  <w:ind w:right="5"/>
                  <w:jc w:val="center"/>
                  <w:rPr>
                    <w:rFonts w:hint="default" w:ascii="Times New Roman" w:hAnsi="Times New Roman" w:cs="Times New Roman"/>
                    <w:sz w:val="18"/>
                    <w:szCs w:val="18"/>
                  </w:rPr>
                </w:pPr>
                <w:r>
                  <w:rPr>
                    <w:rFonts w:hint="default" w:ascii="Times New Roman" w:hAnsi="Times New Roman" w:cs="Times New Roman"/>
                    <w:sz w:val="18"/>
                    <w:szCs w:val="18"/>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tcPr>
          <w:p>
            <w:pPr>
              <w:ind w:right="5"/>
              <w:rPr>
                <w:rFonts w:hint="default" w:ascii="Times New Roman" w:hAnsi="Times New Roman" w:cs="Times New Roman"/>
                <w:sz w:val="18"/>
                <w:szCs w:val="18"/>
              </w:rPr>
            </w:pPr>
            <w:r>
              <w:rPr>
                <w:rFonts w:hint="default" w:ascii="Times New Roman" w:hAnsi="Times New Roman" w:cs="Times New Roman"/>
                <w:sz w:val="18"/>
                <w:szCs w:val="18"/>
              </w:rPr>
              <w:t>原材料</w:t>
            </w:r>
          </w:p>
        </w:tc>
        <w:tc>
          <w:tcPr>
            <w:tcW w:w="72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48,293,453.07</w:t>
            </w:r>
          </w:p>
        </w:tc>
        <w:tc>
          <w:tcPr>
            <w:tcW w:w="690"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5,618,542.27</w:t>
            </w:r>
          </w:p>
        </w:tc>
        <w:tc>
          <w:tcPr>
            <w:tcW w:w="78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42,674,910.80</w:t>
            </w:r>
          </w:p>
        </w:tc>
        <w:tc>
          <w:tcPr>
            <w:tcW w:w="697"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50,881,765.96</w:t>
            </w:r>
          </w:p>
        </w:tc>
        <w:tc>
          <w:tcPr>
            <w:tcW w:w="703"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4,503,117.63</w:t>
            </w:r>
          </w:p>
        </w:tc>
        <w:tc>
          <w:tcPr>
            <w:tcW w:w="835"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46,378,648.33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tcPr>
          <w:p>
            <w:pPr>
              <w:ind w:right="5"/>
              <w:rPr>
                <w:rFonts w:hint="default" w:ascii="Times New Roman" w:hAnsi="Times New Roman" w:cs="Times New Roman"/>
                <w:sz w:val="18"/>
                <w:szCs w:val="18"/>
              </w:rPr>
            </w:pPr>
            <w:r>
              <w:rPr>
                <w:rFonts w:hint="default" w:ascii="Times New Roman" w:hAnsi="Times New Roman" w:cs="Times New Roman"/>
                <w:sz w:val="18"/>
                <w:szCs w:val="18"/>
              </w:rPr>
              <w:t>在产品</w:t>
            </w:r>
          </w:p>
        </w:tc>
        <w:tc>
          <w:tcPr>
            <w:tcW w:w="72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20,591,214.39</w:t>
            </w:r>
          </w:p>
        </w:tc>
        <w:tc>
          <w:tcPr>
            <w:tcW w:w="690"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78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20,591,214.39</w:t>
            </w:r>
          </w:p>
        </w:tc>
        <w:tc>
          <w:tcPr>
            <w:tcW w:w="697"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16,928,069.37</w:t>
            </w:r>
          </w:p>
        </w:tc>
        <w:tc>
          <w:tcPr>
            <w:tcW w:w="703"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835"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16,928,069.37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tcPr>
          <w:p>
            <w:pPr>
              <w:ind w:right="5"/>
              <w:rPr>
                <w:rFonts w:hint="default" w:ascii="Times New Roman" w:hAnsi="Times New Roman" w:cs="Times New Roman"/>
                <w:sz w:val="18"/>
                <w:szCs w:val="18"/>
              </w:rPr>
            </w:pPr>
            <w:r>
              <w:rPr>
                <w:rFonts w:hint="default" w:ascii="Times New Roman" w:hAnsi="Times New Roman" w:cs="Times New Roman"/>
                <w:sz w:val="18"/>
                <w:szCs w:val="18"/>
              </w:rPr>
              <w:t>库存商品</w:t>
            </w:r>
          </w:p>
        </w:tc>
        <w:tc>
          <w:tcPr>
            <w:tcW w:w="72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134,193,758.56</w:t>
            </w:r>
          </w:p>
        </w:tc>
        <w:tc>
          <w:tcPr>
            <w:tcW w:w="690"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3,502,722.28</w:t>
            </w:r>
          </w:p>
        </w:tc>
        <w:tc>
          <w:tcPr>
            <w:tcW w:w="78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130,691,036.28</w:t>
            </w:r>
          </w:p>
        </w:tc>
        <w:tc>
          <w:tcPr>
            <w:tcW w:w="697"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77,730,392.27</w:t>
            </w:r>
          </w:p>
        </w:tc>
        <w:tc>
          <w:tcPr>
            <w:tcW w:w="703"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3,424,005.76</w:t>
            </w:r>
          </w:p>
        </w:tc>
        <w:tc>
          <w:tcPr>
            <w:tcW w:w="835"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74,306,386.51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tcPr>
          <w:p>
            <w:pPr>
              <w:autoSpaceDE w:val="0"/>
              <w:autoSpaceDN w:val="0"/>
              <w:adjustRightInd w:val="0"/>
              <w:rPr>
                <w:rFonts w:hint="default" w:ascii="Times New Roman" w:hAnsi="Times New Roman" w:cs="Times New Roman"/>
                <w:sz w:val="18"/>
                <w:szCs w:val="18"/>
              </w:rPr>
            </w:pPr>
            <w:r>
              <w:rPr>
                <w:rFonts w:hint="default" w:ascii="Times New Roman" w:hAnsi="Times New Roman" w:cs="Times New Roman"/>
                <w:sz w:val="18"/>
                <w:szCs w:val="18"/>
              </w:rPr>
              <w:t>周转材料</w:t>
            </w:r>
          </w:p>
        </w:tc>
        <w:tc>
          <w:tcPr>
            <w:tcW w:w="72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33,828,401.23</w:t>
            </w:r>
          </w:p>
        </w:tc>
        <w:tc>
          <w:tcPr>
            <w:tcW w:w="690"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92,974.70</w:t>
            </w:r>
          </w:p>
        </w:tc>
        <w:tc>
          <w:tcPr>
            <w:tcW w:w="78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33,735,426.53</w:t>
            </w:r>
          </w:p>
        </w:tc>
        <w:tc>
          <w:tcPr>
            <w:tcW w:w="697"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21,654,722.67</w:t>
            </w:r>
          </w:p>
        </w:tc>
        <w:tc>
          <w:tcPr>
            <w:tcW w:w="703"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835"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21,654,722.67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vAlign w:val="center"/>
          </w:tcPr>
          <w:p>
            <w:pPr>
              <w:snapToGrid w:val="0"/>
              <w:spacing w:line="500" w:lineRule="exact"/>
              <w:ind w:right="-105" w:rightChars="-50" w:firstLine="0" w:firstLineChars="0"/>
              <w:rPr>
                <w:rFonts w:hint="default" w:ascii="Times New Roman" w:hAnsi="Times New Roman" w:cs="Times New Roman"/>
                <w:sz w:val="18"/>
                <w:szCs w:val="18"/>
              </w:rPr>
            </w:pPr>
            <w:r>
              <w:rPr>
                <w:rFonts w:hint="default" w:ascii="Times New Roman" w:hAnsi="Times New Roman" w:cs="Times New Roman"/>
                <w:sz w:val="18"/>
                <w:szCs w:val="18"/>
              </w:rPr>
              <w:t>自制半成品</w:t>
            </w:r>
          </w:p>
        </w:tc>
        <w:tc>
          <w:tcPr>
            <w:tcW w:w="72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23,454,026.88</w:t>
            </w:r>
          </w:p>
        </w:tc>
        <w:tc>
          <w:tcPr>
            <w:tcW w:w="690"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78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23,454,026.88</w:t>
            </w:r>
          </w:p>
        </w:tc>
        <w:tc>
          <w:tcPr>
            <w:tcW w:w="697"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30,374,956.80</w:t>
            </w:r>
          </w:p>
        </w:tc>
        <w:tc>
          <w:tcPr>
            <w:tcW w:w="703"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835"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30,374,956.80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vAlign w:val="center"/>
          </w:tcPr>
          <w:p>
            <w:pPr>
              <w:keepNext w:val="0"/>
              <w:keepLines w:val="0"/>
              <w:pageBreakBefore w:val="0"/>
              <w:widowControl/>
              <w:kinsoku/>
              <w:wordWrap/>
              <w:overflowPunct/>
              <w:topLinePunct w:val="0"/>
              <w:autoSpaceDE/>
              <w:autoSpaceDN/>
              <w:bidi w:val="0"/>
              <w:adjustRightInd/>
              <w:snapToGrid w:val="0"/>
              <w:spacing w:line="320" w:lineRule="exact"/>
              <w:ind w:right="0" w:rightChars="0" w:firstLine="0" w:firstLineChars="0"/>
              <w:textAlignment w:val="auto"/>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委托加工物</w:t>
            </w:r>
            <w:r>
              <w:rPr>
                <w:rFonts w:hint="eastAsia" w:ascii="Times New Roman" w:hAnsi="Times New Roman" w:cs="Times New Roman"/>
                <w:sz w:val="18"/>
                <w:szCs w:val="18"/>
                <w:lang w:val="en-US" w:eastAsia="zh-CN"/>
              </w:rPr>
              <w:t>资</w:t>
            </w:r>
          </w:p>
        </w:tc>
        <w:tc>
          <w:tcPr>
            <w:tcW w:w="72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2,042,428.32</w:t>
            </w:r>
          </w:p>
        </w:tc>
        <w:tc>
          <w:tcPr>
            <w:tcW w:w="690"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896,962.22</w:t>
            </w:r>
          </w:p>
        </w:tc>
        <w:tc>
          <w:tcPr>
            <w:tcW w:w="789"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 1,145,466.10</w:t>
            </w:r>
          </w:p>
        </w:tc>
        <w:tc>
          <w:tcPr>
            <w:tcW w:w="697"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1,339,978.95</w:t>
            </w:r>
          </w:p>
        </w:tc>
        <w:tc>
          <w:tcPr>
            <w:tcW w:w="703"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398,381.01</w:t>
            </w:r>
          </w:p>
        </w:tc>
        <w:tc>
          <w:tcPr>
            <w:tcW w:w="835" w:type="pct"/>
            <w:vAlign w:val="center"/>
          </w:tcPr>
          <w:p>
            <w:pPr>
              <w:ind w:right="73"/>
              <w:jc w:val="right"/>
              <w:rPr>
                <w:rFonts w:hint="default" w:ascii="Times New Roman" w:hAnsi="Times New Roman" w:cs="Times New Roman"/>
                <w:sz w:val="18"/>
                <w:szCs w:val="18"/>
              </w:rPr>
            </w:pPr>
            <w:r>
              <w:rPr>
                <w:rFonts w:hint="default" w:ascii="Times New Roman" w:hAnsi="Times New Roman" w:cs="Times New Roman"/>
                <w:sz w:val="18"/>
                <w:szCs w:val="18"/>
              </w:rPr>
              <w:t>941,597.94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2" w:type="pct"/>
          </w:tcPr>
          <w:p>
            <w:pPr>
              <w:ind w:right="5"/>
              <w:jc w:val="center"/>
              <w:rPr>
                <w:rFonts w:hint="default" w:ascii="Times New Roman" w:hAnsi="Times New Roman" w:cs="Times New Roman"/>
                <w:sz w:val="18"/>
                <w:szCs w:val="18"/>
              </w:rPr>
            </w:pPr>
            <w:r>
              <w:rPr>
                <w:rFonts w:hint="default" w:ascii="Times New Roman" w:hAnsi="Times New Roman" w:cs="Times New Roman"/>
                <w:sz w:val="18"/>
                <w:szCs w:val="18"/>
              </w:rPr>
              <w:t>合计</w:t>
            </w:r>
          </w:p>
        </w:tc>
        <w:tc>
          <w:tcPr>
            <w:tcW w:w="729"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 262,403,282.45</w:t>
            </w:r>
          </w:p>
        </w:tc>
        <w:tc>
          <w:tcPr>
            <w:tcW w:w="690"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10,111,201.47</w:t>
            </w:r>
          </w:p>
        </w:tc>
        <w:tc>
          <w:tcPr>
            <w:tcW w:w="789"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 252,292,080.98</w:t>
            </w:r>
          </w:p>
        </w:tc>
        <w:tc>
          <w:tcPr>
            <w:tcW w:w="697"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198,909,886.02</w:t>
            </w:r>
          </w:p>
        </w:tc>
        <w:tc>
          <w:tcPr>
            <w:tcW w:w="703"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8,325,504.40</w:t>
            </w:r>
          </w:p>
        </w:tc>
        <w:tc>
          <w:tcPr>
            <w:tcW w:w="835" w:type="pct"/>
            <w:vAlign w:val="center"/>
          </w:tcPr>
          <w:p>
            <w:pPr>
              <w:ind w:right="5"/>
              <w:jc w:val="right"/>
              <w:rPr>
                <w:rFonts w:hint="default" w:ascii="Times New Roman" w:hAnsi="Times New Roman" w:cs="Times New Roman"/>
                <w:sz w:val="18"/>
                <w:szCs w:val="18"/>
              </w:rPr>
            </w:pPr>
            <w:r>
              <w:rPr>
                <w:rFonts w:hint="default" w:ascii="Times New Roman" w:hAnsi="Times New Roman" w:cs="Times New Roman"/>
                <w:sz w:val="18"/>
                <w:szCs w:val="18"/>
              </w:rPr>
              <w:t>190,584,381.62</w:t>
            </w:r>
          </w:p>
        </w:tc>
      </w:tr>
    </w:tbl>
    <w:p/>
    <w:bookmarkEnd w:id="226"/>
    <w:bookmarkEnd w:id="227"/>
    <w:sdt>
      <w:sdtPr>
        <w:rPr>
          <w:b w:val="0"/>
          <w:bCs w:val="0"/>
        </w:rPr>
        <w:tag w:val="_PLD_b03e65bc536a43eab5570263a106c71d"/>
        <w:id w:val="26916"/>
        <w:placeholder>
          <w:docPart w:val="GBC22222222222222222222222222222"/>
        </w:placeholder>
      </w:sdtPr>
      <w:sdtEndPr>
        <w:rPr>
          <w:b w:val="0"/>
          <w:bCs w:val="0"/>
        </w:rPr>
      </w:sdtEndPr>
      <w:sdtContent>
        <w:p>
          <w:pPr>
            <w:pStyle w:val="196"/>
            <w:numPr>
              <w:ilvl w:val="3"/>
              <w:numId w:val="78"/>
            </w:numPr>
            <w:ind w:left="426" w:hanging="426"/>
            <w:rPr>
              <w:b w:val="0"/>
              <w:bCs w:val="0"/>
            </w:rPr>
          </w:pPr>
          <w:bookmarkStart w:id="228" w:name="_Hlk533079150"/>
          <w:r>
            <w:t>存货跌价准备及合同履约成本减值准备</w:t>
          </w:r>
        </w:p>
      </w:sdtContent>
    </w:sdt>
    <w:sdt>
      <w:sdtPr>
        <w:alias w:val="是否适用：存货跌价准备[双击切换]"/>
        <w:tag w:val="_GBC_c61866b530ae491eb21bee1edd36619e"/>
        <w:id w:val="2691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存货跌价准备"/>
          <w:tag w:val="_GBC_2d3e3a5e2ff44ef3bbef756054f246f3"/>
          <w:id w:val="269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269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87"/>
        <w:gridCol w:w="1813"/>
        <w:gridCol w:w="636"/>
        <w:gridCol w:w="1526"/>
        <w:gridCol w:w="687"/>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trPr>
        <w:sdt>
          <w:sdtPr>
            <w:tag w:val="_PLD_4ac7cc4fa4994c1db43ed3b367defc13"/>
            <w:id w:val="26920"/>
          </w:sdtPr>
          <w:sdtContent>
            <w:tc>
              <w:tcPr>
                <w:tcW w:w="817"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项目</w:t>
                </w:r>
              </w:p>
            </w:tc>
          </w:sdtContent>
        </w:sdt>
        <w:sdt>
          <w:sdtPr>
            <w:tag w:val="_PLD_7a2e758257864908b13bf89a561f9b5a"/>
            <w:id w:val="26921"/>
          </w:sdtPr>
          <w:sdtContent>
            <w:tc>
              <w:tcPr>
                <w:tcW w:w="821"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期初余额</w:t>
                </w:r>
              </w:p>
            </w:tc>
          </w:sdtContent>
        </w:sdt>
        <w:sdt>
          <w:sdtPr>
            <w:tag w:val="_PLD_d95d27d30a6440b5ba0d3798473f422e"/>
            <w:id w:val="26922"/>
          </w:sdtPr>
          <w:sdtContent>
            <w:tc>
              <w:tcPr>
                <w:tcW w:w="1353"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本期增加金额</w:t>
                </w:r>
              </w:p>
            </w:tc>
          </w:sdtContent>
        </w:sdt>
        <w:sdt>
          <w:sdtPr>
            <w:tag w:val="_PLD_cb7d37811bf944e4a7bb31b4366efaeb"/>
            <w:id w:val="26923"/>
          </w:sdtPr>
          <w:sdtContent>
            <w:tc>
              <w:tcPr>
                <w:tcW w:w="1222"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本期减少金额</w:t>
                </w:r>
              </w:p>
            </w:tc>
          </w:sdtContent>
        </w:sdt>
        <w:sdt>
          <w:sdtPr>
            <w:tag w:val="_PLD_b2523ee7f028451790c9f2ef6e216a59"/>
            <w:id w:val="26924"/>
          </w:sdtPr>
          <w:sdtContent>
            <w:tc>
              <w:tcPr>
                <w:tcW w:w="785"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17" w:type="pct"/>
            <w:vMerge w:val="continue"/>
            <w:tcBorders>
              <w:top w:val="single" w:color="auto" w:sz="4" w:space="0"/>
              <w:left w:val="single" w:color="auto" w:sz="4" w:space="0"/>
              <w:bottom w:val="single" w:color="auto" w:sz="4" w:space="0"/>
              <w:right w:val="single" w:color="auto" w:sz="4" w:space="0"/>
            </w:tcBorders>
          </w:tcPr>
          <w:p>
            <w:pPr>
              <w:jc w:val="center"/>
              <w:rPr>
                <w:szCs w:val="21"/>
              </w:rPr>
            </w:pPr>
          </w:p>
        </w:tc>
        <w:tc>
          <w:tcPr>
            <w:tcW w:w="821" w:type="pct"/>
            <w:vMerge w:val="continue"/>
            <w:tcBorders>
              <w:top w:val="single" w:color="auto" w:sz="4" w:space="0"/>
              <w:left w:val="single" w:color="auto" w:sz="4" w:space="0"/>
              <w:bottom w:val="single" w:color="auto" w:sz="4" w:space="0"/>
              <w:right w:val="single" w:color="auto" w:sz="4" w:space="0"/>
            </w:tcBorders>
          </w:tcPr>
          <w:p>
            <w:pPr>
              <w:jc w:val="center"/>
              <w:rPr>
                <w:szCs w:val="21"/>
              </w:rPr>
            </w:pPr>
          </w:p>
        </w:tc>
        <w:sdt>
          <w:sdtPr>
            <w:tag w:val="_PLD_16a8dea59b924b23a28ea45988190955"/>
            <w:id w:val="26925"/>
          </w:sdtPr>
          <w:sdtContent>
            <w:tc>
              <w:tcPr>
                <w:tcW w:w="1001"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w:t>
                </w:r>
              </w:p>
            </w:tc>
          </w:sdtContent>
        </w:sdt>
        <w:sdt>
          <w:sdtPr>
            <w:tag w:val="_PLD_621a418b64e54315a5981611a5504791"/>
            <w:id w:val="26926"/>
          </w:sdtPr>
          <w:sdtContent>
            <w:tc>
              <w:tcPr>
                <w:tcW w:w="351"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sdt>
          <w:sdtPr>
            <w:tag w:val="_PLD_1928b16982a747c59a563fa4d086d9fc"/>
            <w:id w:val="26927"/>
          </w:sdtPr>
          <w:sdtContent>
            <w:tc>
              <w:tcPr>
                <w:tcW w:w="84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转回或转销</w:t>
                </w:r>
              </w:p>
            </w:tc>
          </w:sdtContent>
        </w:sdt>
        <w:sdt>
          <w:sdtPr>
            <w:tag w:val="_PLD_1472e7afb261461b8468e1969b080fd5"/>
            <w:id w:val="26928"/>
          </w:sdtPr>
          <w:sdtContent>
            <w:tc>
              <w:tcPr>
                <w:tcW w:w="38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tc>
          <w:tcPr>
            <w:tcW w:w="785"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17" w:type="pct"/>
            <w:tcBorders>
              <w:top w:val="single" w:color="auto" w:sz="4" w:space="0"/>
              <w:left w:val="single" w:color="auto" w:sz="4" w:space="0"/>
              <w:bottom w:val="single" w:color="auto" w:sz="4" w:space="0"/>
              <w:right w:val="single" w:color="auto" w:sz="4" w:space="0"/>
            </w:tcBorders>
          </w:tcPr>
          <w:p>
            <w:pPr>
              <w:rPr>
                <w:szCs w:val="21"/>
              </w:rPr>
            </w:pPr>
            <w:r>
              <w:rPr>
                <w:rFonts w:hint="eastAsia"/>
                <w:color w:val="auto"/>
                <w:szCs w:val="21"/>
              </w:rPr>
              <w:t>原材料</w:t>
            </w:r>
          </w:p>
        </w:tc>
        <w:tc>
          <w:tcPr>
            <w:tcW w:w="82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4,503,117.63</w:t>
            </w:r>
          </w:p>
        </w:tc>
        <w:tc>
          <w:tcPr>
            <w:tcW w:w="100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1,337,323.12</w:t>
            </w:r>
          </w:p>
        </w:tc>
        <w:tc>
          <w:tcPr>
            <w:tcW w:w="35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84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221,898.48</w:t>
            </w:r>
          </w:p>
        </w:tc>
        <w:tc>
          <w:tcPr>
            <w:tcW w:w="380"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78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5,618,542.27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817" w:type="pct"/>
            <w:tcBorders>
              <w:top w:val="single" w:color="auto" w:sz="4" w:space="0"/>
              <w:left w:val="single" w:color="auto" w:sz="4" w:space="0"/>
              <w:bottom w:val="single" w:color="auto" w:sz="4" w:space="0"/>
              <w:right w:val="single" w:color="auto" w:sz="4" w:space="0"/>
            </w:tcBorders>
          </w:tcPr>
          <w:p>
            <w:pPr>
              <w:rPr>
                <w:szCs w:val="21"/>
              </w:rPr>
            </w:pPr>
            <w:r>
              <w:rPr>
                <w:rFonts w:hint="eastAsia"/>
                <w:color w:val="auto"/>
                <w:szCs w:val="21"/>
              </w:rPr>
              <w:t>库存商品</w:t>
            </w:r>
          </w:p>
        </w:tc>
        <w:tc>
          <w:tcPr>
            <w:tcW w:w="82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3,424,005.76</w:t>
            </w:r>
          </w:p>
        </w:tc>
        <w:tc>
          <w:tcPr>
            <w:tcW w:w="100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1,211,193.43</w:t>
            </w:r>
          </w:p>
        </w:tc>
        <w:tc>
          <w:tcPr>
            <w:tcW w:w="35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84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1,132,476.91</w:t>
            </w:r>
          </w:p>
        </w:tc>
        <w:tc>
          <w:tcPr>
            <w:tcW w:w="380" w:type="pct"/>
            <w:tcBorders>
              <w:top w:val="single" w:color="auto" w:sz="4" w:space="0"/>
              <w:left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78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3,502,722.28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pct"/>
            <w:tcBorders>
              <w:top w:val="single" w:color="auto" w:sz="4" w:space="0"/>
              <w:left w:val="single" w:color="auto" w:sz="4" w:space="0"/>
              <w:bottom w:val="single" w:color="auto" w:sz="4" w:space="0"/>
              <w:right w:val="single" w:color="auto" w:sz="4" w:space="0"/>
            </w:tcBorders>
          </w:tcPr>
          <w:p>
            <w:pPr>
              <w:rPr>
                <w:szCs w:val="21"/>
              </w:rPr>
            </w:pPr>
            <w:r>
              <w:rPr>
                <w:rFonts w:hint="eastAsia"/>
                <w:color w:val="auto"/>
                <w:szCs w:val="21"/>
              </w:rPr>
              <w:t>周转材料</w:t>
            </w:r>
          </w:p>
        </w:tc>
        <w:tc>
          <w:tcPr>
            <w:tcW w:w="82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w:t>
            </w:r>
          </w:p>
        </w:tc>
        <w:tc>
          <w:tcPr>
            <w:tcW w:w="100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93,844.37</w:t>
            </w:r>
          </w:p>
        </w:tc>
        <w:tc>
          <w:tcPr>
            <w:tcW w:w="35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84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869.67</w:t>
            </w:r>
          </w:p>
        </w:tc>
        <w:tc>
          <w:tcPr>
            <w:tcW w:w="380" w:type="pct"/>
            <w:tcBorders>
              <w:left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78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92,974.70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pct"/>
            <w:tcBorders>
              <w:top w:val="single" w:color="auto" w:sz="4" w:space="0"/>
              <w:left w:val="single" w:color="auto" w:sz="4" w:space="0"/>
              <w:bottom w:val="single" w:color="auto" w:sz="4" w:space="0"/>
              <w:right w:val="single" w:color="auto" w:sz="4" w:space="0"/>
            </w:tcBorders>
          </w:tcPr>
          <w:p>
            <w:pPr>
              <w:rPr>
                <w:szCs w:val="21"/>
              </w:rPr>
            </w:pPr>
            <w:r>
              <w:rPr>
                <w:rFonts w:hint="eastAsia"/>
                <w:color w:val="auto"/>
                <w:szCs w:val="21"/>
              </w:rPr>
              <w:t>委托加工物资</w:t>
            </w:r>
          </w:p>
        </w:tc>
        <w:tc>
          <w:tcPr>
            <w:tcW w:w="82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398,381.01</w:t>
            </w:r>
          </w:p>
        </w:tc>
        <w:tc>
          <w:tcPr>
            <w:tcW w:w="100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498,581.21</w:t>
            </w:r>
          </w:p>
        </w:tc>
        <w:tc>
          <w:tcPr>
            <w:tcW w:w="35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84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380" w:type="pct"/>
            <w:tcBorders>
              <w:left w:val="single" w:color="auto" w:sz="4" w:space="0"/>
              <w:right w:val="single" w:color="auto" w:sz="4" w:space="0"/>
            </w:tcBorders>
            <w:vAlign w:val="center"/>
          </w:tcPr>
          <w:p>
            <w:pPr>
              <w:ind w:right="73"/>
              <w:jc w:val="right"/>
              <w:rPr>
                <w:rFonts w:hint="default" w:ascii="Times New Roman" w:hAnsi="Times New Roman" w:cs="Times New Roman"/>
                <w:sz w:val="18"/>
                <w:szCs w:val="21"/>
              </w:rPr>
            </w:pPr>
          </w:p>
        </w:tc>
        <w:tc>
          <w:tcPr>
            <w:tcW w:w="78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896,962.22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合计</w:t>
            </w:r>
          </w:p>
        </w:tc>
        <w:tc>
          <w:tcPr>
            <w:tcW w:w="82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8,325,504.40</w:t>
            </w:r>
          </w:p>
        </w:tc>
        <w:tc>
          <w:tcPr>
            <w:tcW w:w="100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3,140,942.13</w:t>
            </w:r>
          </w:p>
        </w:tc>
        <w:tc>
          <w:tcPr>
            <w:tcW w:w="351"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   </w:t>
            </w:r>
          </w:p>
        </w:tc>
        <w:tc>
          <w:tcPr>
            <w:tcW w:w="842"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1,355,245.06</w:t>
            </w:r>
          </w:p>
        </w:tc>
        <w:tc>
          <w:tcPr>
            <w:tcW w:w="380" w:type="pct"/>
            <w:tcBorders>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   </w:t>
            </w:r>
          </w:p>
        </w:tc>
        <w:tc>
          <w:tcPr>
            <w:tcW w:w="785" w:type="pct"/>
            <w:tcBorders>
              <w:top w:val="single" w:color="auto" w:sz="4" w:space="0"/>
              <w:left w:val="single" w:color="auto" w:sz="4" w:space="0"/>
              <w:bottom w:val="single" w:color="auto" w:sz="4" w:space="0"/>
              <w:right w:val="single" w:color="auto" w:sz="4" w:space="0"/>
            </w:tcBorders>
            <w:vAlign w:val="center"/>
          </w:tcPr>
          <w:p>
            <w:pPr>
              <w:ind w:right="73"/>
              <w:jc w:val="right"/>
              <w:rPr>
                <w:rFonts w:hint="default" w:ascii="Times New Roman" w:hAnsi="Times New Roman" w:cs="Times New Roman"/>
                <w:sz w:val="18"/>
                <w:szCs w:val="21"/>
              </w:rPr>
            </w:pPr>
            <w:r>
              <w:rPr>
                <w:rFonts w:hint="default" w:ascii="Times New Roman" w:hAnsi="Times New Roman" w:cs="Times New Roman"/>
                <w:sz w:val="18"/>
                <w:szCs w:val="21"/>
              </w:rPr>
              <w:t> 10,111,201.47</w:t>
            </w:r>
          </w:p>
        </w:tc>
      </w:tr>
    </w:tbl>
    <w:p/>
    <w:p>
      <w:pPr>
        <w:rPr>
          <w:rFonts w:ascii="Times New Roman" w:hAnsi="Times New Roman"/>
        </w:rPr>
      </w:pPr>
    </w:p>
    <w:bookmarkEnd w:id="228"/>
    <w:p>
      <w:pPr>
        <w:rPr>
          <w:highlight w:val="none"/>
        </w:rPr>
      </w:pPr>
      <w:r>
        <w:rPr>
          <w:highlight w:val="none"/>
        </w:rPr>
        <w:t>本期转回或转销存货跌价准备的原因</w:t>
      </w:r>
    </w:p>
    <w:sdt>
      <w:sdtPr>
        <w:rPr>
          <w:szCs w:val="21"/>
          <w:highlight w:val="none"/>
        </w:rPr>
        <w:alias w:val="是否适用：本期转回或转销存货跌价准备的原因[双击切换]"/>
        <w:tag w:val="_GBC_91edca895f07450c8e82d2352caede25"/>
        <w:id w:val="26929"/>
        <w:placeholder>
          <w:docPart w:val="GBC22222222222222222222222222222"/>
        </w:placeholder>
      </w:sdtPr>
      <w:sdtEndPr>
        <w:rPr>
          <w:szCs w:val="21"/>
          <w:highlight w:val="cyan"/>
        </w:rPr>
      </w:sdtEndPr>
      <w:sdtContent>
        <w:p>
          <w:pPr>
            <w:rPr>
              <w:szCs w:val="21"/>
              <w:highlight w:val="cyan"/>
            </w:rPr>
          </w:pPr>
          <w:r>
            <w:rPr>
              <w:szCs w:val="21"/>
              <w:highlight w:val="none"/>
            </w:rPr>
            <w:fldChar w:fldCharType="begin"/>
          </w:r>
          <w:r>
            <w:rPr>
              <w:szCs w:val="21"/>
              <w:highlight w:val="none"/>
            </w:rPr>
            <w:instrText xml:space="preserve"> MACROBUTTON  SnrToggleCheckbox √适用 </w:instrText>
          </w:r>
          <w:r>
            <w:rPr>
              <w:szCs w:val="21"/>
              <w:highlight w:val="none"/>
            </w:rPr>
            <w:fldChar w:fldCharType="end"/>
          </w:r>
          <w:r>
            <w:rPr>
              <w:szCs w:val="21"/>
              <w:highlight w:val="none"/>
            </w:rPr>
            <w:fldChar w:fldCharType="begin"/>
          </w:r>
          <w:r>
            <w:rPr>
              <w:szCs w:val="21"/>
              <w:highlight w:val="none"/>
            </w:rPr>
            <w:instrText xml:space="preserve"> MACROBUTTON  SnrToggleCheckbox □不适用 </w:instrText>
          </w:r>
          <w:r>
            <w:rPr>
              <w:szCs w:val="21"/>
              <w:highlight w:val="none"/>
            </w:rPr>
            <w:fldChar w:fldCharType="end"/>
          </w:r>
        </w:p>
      </w:sdtContent>
    </w:sdt>
    <w:sdt>
      <w:sdtPr>
        <w:rPr>
          <w:highlight w:val="cyan"/>
        </w:rPr>
        <w:alias w:val="本期转回或转销存货跌价准备的原因"/>
        <w:tag w:val="_GBC_fbdc95fc52944622930b173756172429"/>
        <w:id w:val="26930"/>
        <w:placeholder>
          <w:docPart w:val="GBC22222222222222222222222222222"/>
        </w:placeholder>
      </w:sdtPr>
      <w:sdtEndPr>
        <w:rPr>
          <w:highlight w:val="cyan"/>
        </w:rPr>
      </w:sdtEndPr>
      <w:sdtContent>
        <w:p>
          <w:pPr>
            <w:rPr>
              <w:highlight w:val="cyan"/>
            </w:rPr>
          </w:pPr>
        </w:p>
        <w:tbl>
          <w:tblPr>
            <w:tblStyle w:val="37"/>
            <w:tblW w:w="868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28" w:type="dxa"/>
              <w:bottom w:w="0" w:type="dxa"/>
              <w:right w:w="28" w:type="dxa"/>
            </w:tblCellMar>
          </w:tblPr>
          <w:tblGrid>
            <w:gridCol w:w="1368"/>
            <w:gridCol w:w="4961"/>
            <w:gridCol w:w="235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734" w:hRule="exact"/>
              <w:tblHeader/>
              <w:jc w:val="center"/>
            </w:trPr>
            <w:tc>
              <w:tcPr>
                <w:tcW w:w="1368" w:type="dxa"/>
                <w:noWrap/>
                <w:vAlign w:val="center"/>
              </w:tcPr>
              <w:p>
                <w:pPr>
                  <w:widowControl w:val="0"/>
                  <w:spacing w:line="240" w:lineRule="auto"/>
                  <w:ind w:firstLine="0" w:firstLineChars="0"/>
                  <w:jc w:val="center"/>
                  <w:rPr>
                    <w:rFonts w:ascii="Arial Narrow" w:hAnsi="Arial Narrow" w:eastAsia="宋体" w:cs="Arial"/>
                    <w:kern w:val="2"/>
                    <w:sz w:val="18"/>
                    <w:szCs w:val="18"/>
                  </w:rPr>
                </w:pPr>
                <w:r>
                  <w:rPr>
                    <w:rFonts w:ascii="Arial Narrow" w:hAnsi="Arial Narrow" w:eastAsia="宋体" w:cs="Arial"/>
                    <w:kern w:val="2"/>
                    <w:sz w:val="18"/>
                    <w:szCs w:val="18"/>
                  </w:rPr>
                  <w:t>项  目</w:t>
                </w:r>
              </w:p>
            </w:tc>
            <w:tc>
              <w:tcPr>
                <w:tcW w:w="4961" w:type="dxa"/>
                <w:noWrap/>
                <w:vAlign w:val="center"/>
              </w:tcPr>
              <w:p>
                <w:pPr>
                  <w:widowControl w:val="0"/>
                  <w:spacing w:line="240" w:lineRule="auto"/>
                  <w:ind w:firstLine="0" w:firstLineChars="0"/>
                  <w:jc w:val="center"/>
                  <w:rPr>
                    <w:rFonts w:ascii="Arial Narrow" w:hAnsi="Arial Narrow" w:eastAsia="宋体" w:cs="Arial"/>
                    <w:kern w:val="2"/>
                    <w:sz w:val="18"/>
                    <w:szCs w:val="18"/>
                  </w:rPr>
                </w:pPr>
                <w:r>
                  <w:rPr>
                    <w:rFonts w:ascii="Arial Narrow" w:hAnsi="Arial Narrow" w:eastAsia="宋体" w:cs="Arial"/>
                    <w:kern w:val="2"/>
                    <w:sz w:val="18"/>
                    <w:szCs w:val="18"/>
                  </w:rPr>
                  <w:t>确定可变现净值的具体依据</w:t>
                </w:r>
              </w:p>
            </w:tc>
            <w:tc>
              <w:tcPr>
                <w:tcW w:w="2358" w:type="dxa"/>
                <w:noWrap/>
                <w:vAlign w:val="center"/>
              </w:tcPr>
              <w:p>
                <w:pPr>
                  <w:widowControl w:val="0"/>
                  <w:spacing w:line="240" w:lineRule="auto"/>
                  <w:ind w:firstLine="0" w:firstLineChars="0"/>
                  <w:jc w:val="center"/>
                  <w:rPr>
                    <w:rFonts w:ascii="Arial Narrow" w:hAnsi="Arial Narrow" w:eastAsia="宋体" w:cs="Arial"/>
                    <w:kern w:val="2"/>
                    <w:sz w:val="18"/>
                    <w:szCs w:val="18"/>
                  </w:rPr>
                </w:pPr>
                <w:r>
                  <w:rPr>
                    <w:rFonts w:ascii="Arial Narrow" w:hAnsi="Arial Narrow" w:eastAsia="宋体" w:cs="Arial"/>
                    <w:kern w:val="2"/>
                    <w:sz w:val="18"/>
                    <w:szCs w:val="18"/>
                  </w:rPr>
                  <w:t>本期</w:t>
                </w:r>
                <w:r>
                  <w:rPr>
                    <w:rFonts w:ascii="Arial" w:hAnsi="Arial" w:eastAsia="宋体" w:cs="Arial"/>
                    <w:kern w:val="2"/>
                    <w:sz w:val="18"/>
                    <w:szCs w:val="21"/>
                  </w:rPr>
                  <w:t>转销存货跌价准备的原因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825" w:hRule="atLeast"/>
              <w:jc w:val="center"/>
            </w:trPr>
            <w:tc>
              <w:tcPr>
                <w:tcW w:w="1368" w:type="dxa"/>
                <w:noWrap/>
                <w:vAlign w:val="center"/>
              </w:tcPr>
              <w:p>
                <w:pPr>
                  <w:widowControl w:val="0"/>
                  <w:spacing w:line="240" w:lineRule="auto"/>
                  <w:ind w:firstLine="0" w:firstLineChars="0"/>
                  <w:jc w:val="left"/>
                  <w:rPr>
                    <w:rFonts w:ascii="Arial Narrow" w:hAnsi="Arial Narrow" w:eastAsia="宋体" w:cs="Arial"/>
                    <w:kern w:val="2"/>
                    <w:szCs w:val="21"/>
                  </w:rPr>
                </w:pPr>
                <w:r>
                  <w:rPr>
                    <w:rFonts w:hint="eastAsia" w:ascii="Times New Roman" w:hAnsi="Times New Roman" w:eastAsia="宋体" w:cs="Times New Roman"/>
                    <w:kern w:val="2"/>
                    <w:sz w:val="18"/>
                    <w:szCs w:val="21"/>
                  </w:rPr>
                  <w:t>原材料</w:t>
                </w:r>
              </w:p>
            </w:tc>
            <w:tc>
              <w:tcPr>
                <w:tcW w:w="4961" w:type="dxa"/>
                <w:noWrap/>
                <w:vAlign w:val="center"/>
              </w:tcPr>
              <w:p>
                <w:pPr>
                  <w:widowControl w:val="0"/>
                  <w:spacing w:line="240" w:lineRule="auto"/>
                  <w:ind w:firstLine="0" w:firstLineChars="0"/>
                  <w:jc w:val="left"/>
                  <w:rPr>
                    <w:rFonts w:ascii="Arial" w:hAnsi="Arial" w:eastAsia="宋体" w:cs="Arial"/>
                    <w:kern w:val="2"/>
                    <w:sz w:val="18"/>
                    <w:szCs w:val="21"/>
                  </w:rPr>
                </w:pPr>
                <w:r>
                  <w:rPr>
                    <w:rFonts w:hint="eastAsia" w:ascii="Arial" w:hAnsi="Arial" w:eastAsia="宋体" w:cs="Arial"/>
                    <w:kern w:val="2"/>
                    <w:sz w:val="18"/>
                    <w:szCs w:val="21"/>
                  </w:rPr>
                  <w:t>估计售价减去至完工时估计将要发生的成本、估计的销售费用和相关税费后的金额</w:t>
                </w:r>
              </w:p>
            </w:tc>
            <w:tc>
              <w:tcPr>
                <w:tcW w:w="2358" w:type="dxa"/>
                <w:noWrap/>
                <w:vAlign w:val="center"/>
              </w:tcPr>
              <w:p>
                <w:pPr>
                  <w:widowControl w:val="0"/>
                  <w:spacing w:line="240" w:lineRule="auto"/>
                  <w:ind w:firstLine="0" w:firstLineChars="0"/>
                  <w:jc w:val="center"/>
                  <w:rPr>
                    <w:rFonts w:ascii="Arial" w:hAnsi="Arial" w:eastAsia="宋体" w:cs="Arial"/>
                    <w:kern w:val="2"/>
                    <w:sz w:val="18"/>
                    <w:szCs w:val="21"/>
                  </w:rPr>
                </w:pPr>
                <w:r>
                  <w:rPr>
                    <w:rFonts w:hint="eastAsia" w:ascii="Arial" w:hAnsi="Arial" w:eastAsia="宋体" w:cs="Arial"/>
                    <w:kern w:val="2"/>
                    <w:sz w:val="18"/>
                    <w:szCs w:val="21"/>
                  </w:rPr>
                  <w:t>报废或销售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825" w:hRule="atLeast"/>
              <w:jc w:val="center"/>
            </w:trPr>
            <w:tc>
              <w:tcPr>
                <w:tcW w:w="1368" w:type="dxa"/>
                <w:noWrap/>
                <w:vAlign w:val="center"/>
              </w:tcPr>
              <w:p>
                <w:pPr>
                  <w:widowControl w:val="0"/>
                  <w:spacing w:line="240" w:lineRule="auto"/>
                  <w:ind w:firstLine="0" w:firstLineChars="0"/>
                  <w:jc w:val="left"/>
                  <w:rPr>
                    <w:rFonts w:ascii="Arial Narrow" w:hAnsi="Arial Narrow" w:eastAsia="宋体" w:cs="Arial"/>
                    <w:kern w:val="2"/>
                    <w:szCs w:val="21"/>
                  </w:rPr>
                </w:pPr>
                <w:r>
                  <w:rPr>
                    <w:rFonts w:hint="eastAsia" w:ascii="Times New Roman" w:hAnsi="Times New Roman" w:eastAsia="宋体" w:cs="Times New Roman"/>
                    <w:kern w:val="2"/>
                    <w:sz w:val="18"/>
                    <w:szCs w:val="21"/>
                  </w:rPr>
                  <w:t>库存商品</w:t>
                </w:r>
              </w:p>
            </w:tc>
            <w:tc>
              <w:tcPr>
                <w:tcW w:w="4961" w:type="dxa"/>
                <w:noWrap/>
                <w:vAlign w:val="center"/>
              </w:tcPr>
              <w:p>
                <w:pPr>
                  <w:widowControl w:val="0"/>
                  <w:spacing w:line="240" w:lineRule="auto"/>
                  <w:ind w:firstLine="0" w:firstLineChars="0"/>
                  <w:jc w:val="left"/>
                  <w:rPr>
                    <w:rFonts w:ascii="Arial" w:hAnsi="Arial" w:eastAsia="宋体" w:cs="Arial"/>
                    <w:kern w:val="2"/>
                    <w:sz w:val="18"/>
                    <w:szCs w:val="21"/>
                  </w:rPr>
                </w:pPr>
                <w:r>
                  <w:rPr>
                    <w:rFonts w:hint="eastAsia" w:ascii="Arial" w:hAnsi="Arial" w:eastAsia="宋体" w:cs="Arial"/>
                    <w:kern w:val="2"/>
                    <w:sz w:val="18"/>
                    <w:szCs w:val="21"/>
                  </w:rPr>
                  <w:t>估计售价减去至完工时估计将要发生的成本、估计的销售费用和相关税费后的金额</w:t>
                </w:r>
              </w:p>
            </w:tc>
            <w:tc>
              <w:tcPr>
                <w:tcW w:w="2358" w:type="dxa"/>
                <w:noWrap/>
                <w:vAlign w:val="center"/>
              </w:tcPr>
              <w:p>
                <w:pPr>
                  <w:widowControl w:val="0"/>
                  <w:spacing w:line="240" w:lineRule="auto"/>
                  <w:ind w:firstLine="0" w:firstLineChars="0"/>
                  <w:jc w:val="center"/>
                  <w:rPr>
                    <w:rFonts w:ascii="Arial" w:hAnsi="Arial" w:eastAsia="宋体" w:cs="Arial"/>
                    <w:kern w:val="2"/>
                    <w:sz w:val="18"/>
                    <w:szCs w:val="21"/>
                  </w:rPr>
                </w:pPr>
                <w:r>
                  <w:rPr>
                    <w:rFonts w:hint="eastAsia" w:ascii="Arial" w:hAnsi="Arial" w:eastAsia="宋体" w:cs="Arial"/>
                    <w:kern w:val="2"/>
                    <w:sz w:val="18"/>
                    <w:szCs w:val="21"/>
                  </w:rPr>
                  <w:t>报废或销售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825" w:hRule="atLeast"/>
              <w:jc w:val="center"/>
            </w:trPr>
            <w:tc>
              <w:tcPr>
                <w:tcW w:w="1368" w:type="dxa"/>
                <w:noWrap/>
                <w:vAlign w:val="center"/>
              </w:tcPr>
              <w:p>
                <w:pPr>
                  <w:widowControl w:val="0"/>
                  <w:spacing w:line="240" w:lineRule="auto"/>
                  <w:ind w:firstLine="0" w:firstLineChars="0"/>
                  <w:jc w:val="left"/>
                  <w:rPr>
                    <w:rFonts w:ascii="Arial Narrow" w:hAnsi="Arial Narrow" w:eastAsia="宋体" w:cs="Arial"/>
                    <w:kern w:val="2"/>
                    <w:szCs w:val="21"/>
                  </w:rPr>
                </w:pPr>
                <w:r>
                  <w:rPr>
                    <w:rFonts w:hint="eastAsia" w:ascii="Times New Roman" w:hAnsi="Times New Roman" w:eastAsia="宋体" w:cs="Times New Roman"/>
                    <w:kern w:val="2"/>
                    <w:sz w:val="18"/>
                    <w:szCs w:val="21"/>
                  </w:rPr>
                  <w:t>周转材料</w:t>
                </w:r>
              </w:p>
            </w:tc>
            <w:tc>
              <w:tcPr>
                <w:tcW w:w="4961" w:type="dxa"/>
                <w:noWrap/>
                <w:vAlign w:val="center"/>
              </w:tcPr>
              <w:p>
                <w:pPr>
                  <w:widowControl w:val="0"/>
                  <w:spacing w:line="240" w:lineRule="auto"/>
                  <w:ind w:firstLine="0" w:firstLineChars="0"/>
                  <w:jc w:val="left"/>
                  <w:rPr>
                    <w:rFonts w:ascii="Arial" w:hAnsi="Arial" w:eastAsia="宋体" w:cs="Arial"/>
                    <w:kern w:val="2"/>
                    <w:sz w:val="18"/>
                    <w:szCs w:val="21"/>
                  </w:rPr>
                </w:pPr>
                <w:r>
                  <w:rPr>
                    <w:rFonts w:hint="eastAsia" w:ascii="Arial" w:hAnsi="Arial" w:eastAsia="宋体" w:cs="Arial"/>
                    <w:kern w:val="2"/>
                    <w:sz w:val="18"/>
                    <w:szCs w:val="21"/>
                  </w:rPr>
                  <w:t>估计售价减去至完工时估计将要发生的成本、估计的销售费用和相关税费后的金额</w:t>
                </w:r>
              </w:p>
            </w:tc>
            <w:tc>
              <w:tcPr>
                <w:tcW w:w="2358" w:type="dxa"/>
                <w:noWrap/>
                <w:vAlign w:val="center"/>
              </w:tcPr>
              <w:p>
                <w:pPr>
                  <w:widowControl w:val="0"/>
                  <w:spacing w:line="240" w:lineRule="auto"/>
                  <w:ind w:firstLine="0" w:firstLineChars="0"/>
                  <w:jc w:val="center"/>
                  <w:rPr>
                    <w:rFonts w:ascii="Arial" w:hAnsi="Arial" w:eastAsia="宋体" w:cs="Arial"/>
                    <w:kern w:val="2"/>
                    <w:sz w:val="18"/>
                    <w:szCs w:val="21"/>
                  </w:rPr>
                </w:pPr>
                <w:r>
                  <w:rPr>
                    <w:rFonts w:hint="eastAsia" w:ascii="Arial" w:hAnsi="Arial" w:eastAsia="宋体" w:cs="Arial"/>
                    <w:kern w:val="2"/>
                    <w:sz w:val="18"/>
                    <w:szCs w:val="21"/>
                  </w:rPr>
                  <w:t>报废或销售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825" w:hRule="atLeast"/>
              <w:jc w:val="center"/>
            </w:trPr>
            <w:tc>
              <w:tcPr>
                <w:tcW w:w="1368" w:type="dxa"/>
                <w:noWrap/>
                <w:vAlign w:val="center"/>
              </w:tcPr>
              <w:p>
                <w:pPr>
                  <w:widowControl w:val="0"/>
                  <w:spacing w:line="240" w:lineRule="auto"/>
                  <w:ind w:firstLine="0" w:firstLineChars="0"/>
                  <w:jc w:val="both"/>
                  <w:rPr>
                    <w:rFonts w:ascii="Arial Narrow" w:hAnsi="Arial Narrow" w:eastAsia="宋体" w:cs="Arial"/>
                    <w:kern w:val="2"/>
                    <w:szCs w:val="21"/>
                  </w:rPr>
                </w:pPr>
                <w:r>
                  <w:rPr>
                    <w:rFonts w:hint="eastAsia" w:ascii="Arial Narrow" w:hAnsi="Arial Narrow" w:eastAsia="宋体" w:cs="Arial"/>
                    <w:kern w:val="2"/>
                    <w:sz w:val="18"/>
                    <w:szCs w:val="18"/>
                  </w:rPr>
                  <w:t>委托加工物资</w:t>
                </w:r>
              </w:p>
            </w:tc>
            <w:tc>
              <w:tcPr>
                <w:tcW w:w="4961" w:type="dxa"/>
                <w:noWrap/>
                <w:vAlign w:val="center"/>
              </w:tcPr>
              <w:p>
                <w:pPr>
                  <w:widowControl w:val="0"/>
                  <w:spacing w:line="240" w:lineRule="auto"/>
                  <w:ind w:firstLine="0" w:firstLineChars="0"/>
                  <w:jc w:val="left"/>
                  <w:rPr>
                    <w:rFonts w:ascii="Arial" w:hAnsi="Arial" w:eastAsia="宋体" w:cs="Arial"/>
                    <w:kern w:val="2"/>
                    <w:sz w:val="18"/>
                    <w:szCs w:val="21"/>
                  </w:rPr>
                </w:pPr>
                <w:r>
                  <w:rPr>
                    <w:rFonts w:hint="eastAsia" w:ascii="Arial" w:hAnsi="Arial" w:eastAsia="宋体" w:cs="Arial"/>
                    <w:kern w:val="2"/>
                    <w:sz w:val="18"/>
                    <w:szCs w:val="21"/>
                  </w:rPr>
                  <w:t>估计售价减去至完工时估计将要发生的成本、估计的销售费用和相关税费后的金额</w:t>
                </w:r>
              </w:p>
            </w:tc>
            <w:tc>
              <w:tcPr>
                <w:tcW w:w="2358" w:type="dxa"/>
                <w:noWrap/>
                <w:vAlign w:val="center"/>
              </w:tcPr>
              <w:p>
                <w:pPr>
                  <w:widowControl w:val="0"/>
                  <w:spacing w:line="240" w:lineRule="auto"/>
                  <w:ind w:firstLine="0" w:firstLineChars="0"/>
                  <w:jc w:val="center"/>
                  <w:rPr>
                    <w:rFonts w:ascii="Arial" w:hAnsi="Arial" w:eastAsia="宋体" w:cs="Arial"/>
                    <w:kern w:val="2"/>
                    <w:sz w:val="18"/>
                    <w:szCs w:val="21"/>
                  </w:rPr>
                </w:pPr>
                <w:r>
                  <w:rPr>
                    <w:rFonts w:hint="eastAsia" w:ascii="Arial" w:hAnsi="Arial" w:eastAsia="宋体" w:cs="Arial"/>
                    <w:kern w:val="2"/>
                    <w:sz w:val="18"/>
                    <w:szCs w:val="21"/>
                  </w:rPr>
                  <w:t>报废或销售</w:t>
                </w:r>
              </w:p>
            </w:tc>
          </w:tr>
        </w:tbl>
        <w:p/>
      </w:sdtContent>
    </w:sdt>
    <w:p/>
    <w:p>
      <w:r>
        <w:rPr>
          <w:rFonts w:hint="eastAsia"/>
        </w:rPr>
        <w:t>按组合计提存货跌价准备</w:t>
      </w:r>
    </w:p>
    <w:sdt>
      <w:sdtPr>
        <w:alias w:val="是否适用：按组合计提存货跌价准备[双击切换]"/>
        <w:tag w:val="_GBC_7654282f8cf847d8a55f8274afb7a726"/>
        <w:id w:val="2693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按组合计提存货跌价准备的计提标准</w:t>
      </w:r>
    </w:p>
    <w:sdt>
      <w:sdtPr>
        <w:alias w:val="是否适用：按组合计提存货跌价准备的计提标准[双击切换]"/>
        <w:tag w:val="_GBC_5ff59a2951ec4f938d7af938cd197e63"/>
        <w:id w:val="26932"/>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196"/>
        <w:numPr>
          <w:ilvl w:val="3"/>
          <w:numId w:val="78"/>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26934"/>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196"/>
        <w:numPr>
          <w:ilvl w:val="3"/>
          <w:numId w:val="78"/>
        </w:numPr>
        <w:ind w:left="426" w:hanging="426"/>
      </w:pPr>
      <w:r>
        <w:rPr>
          <w:rFonts w:hint="eastAsia"/>
        </w:rPr>
        <w:t>合同履约成本本期摊销金额的说明</w:t>
      </w:r>
    </w:p>
    <w:sdt>
      <w:sdtPr>
        <w:alias w:val="是否适用：合同履约成本本期摊销金额的说明[双击切换]"/>
        <w:tag w:val="_GBC_7532d5a15e3d45fa8d69ad2921659b13"/>
        <w:id w:val="26935"/>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其他说明</w:t>
      </w:r>
    </w:p>
    <w:sdt>
      <w:sdtPr>
        <w:rPr>
          <w:rFonts w:hint="eastAsia"/>
        </w:rPr>
        <w:alias w:val="是否适用：建造合同形成的已完工未结算资产的其他说明[双击切换]"/>
        <w:tag w:val="_GBC_441099179b66496e99c8de04f24782ad"/>
        <w:id w:val="26936"/>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Times New Roman" w:hAnsi="Times New Roman"/>
        </w:rPr>
      </w:pPr>
    </w:p>
    <w:p>
      <w:pPr>
        <w:pStyle w:val="229"/>
        <w:numPr>
          <w:ilvl w:val="0"/>
          <w:numId w:val="71"/>
        </w:numPr>
        <w:tabs>
          <w:tab w:val="left" w:pos="504"/>
        </w:tabs>
      </w:pPr>
      <w:bookmarkStart w:id="229" w:name="_Hlk24380621"/>
      <w:r>
        <w:rPr>
          <w:rFonts w:hint="eastAsia"/>
        </w:rPr>
        <w:t>持有待售资产</w:t>
      </w:r>
    </w:p>
    <w:sdt>
      <w:sdtPr>
        <w:alias w:val="是否适用：划分为持有待售的资产[双击切换]"/>
        <w:tag w:val="_GBC_78f2c13384374d8eb0edd5d62d86bc52"/>
        <w:id w:val="2693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229"/>
    <w:p>
      <w:pPr>
        <w:pStyle w:val="229"/>
        <w:numPr>
          <w:ilvl w:val="0"/>
          <w:numId w:val="71"/>
        </w:numPr>
        <w:tabs>
          <w:tab w:val="left" w:pos="504"/>
        </w:tabs>
      </w:pPr>
      <w:bookmarkStart w:id="230" w:name="_Hlk533608872"/>
      <w:r>
        <w:rPr>
          <w:rFonts w:hint="eastAsia"/>
        </w:rPr>
        <w:t>一年内到期的非流动资产</w:t>
      </w:r>
    </w:p>
    <w:sdt>
      <w:sdtPr>
        <w:alias w:val="是否适用：一年内到期的非流动资产[双击切换]"/>
        <w:tag w:val="_GBC_ed2c28c8d4014bbb85fa424cc20fe6d7"/>
        <w:id w:val="2693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210"/>
        <w:jc w:val="right"/>
      </w:pPr>
      <w:r>
        <w:rPr>
          <w:rFonts w:hint="eastAsia"/>
        </w:rPr>
        <w:t>单位：</w:t>
      </w:r>
      <w:sdt>
        <w:sdtPr>
          <w:rPr>
            <w:rFonts w:hint="eastAsia"/>
          </w:rPr>
          <w:alias w:val="单位：财务附注：一年内到期的非流动资产"/>
          <w:tag w:val="_GBC_f77c8d19672140bf85fc2463f9170dd6"/>
          <w:id w:val="269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269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7"/>
        <w:gridCol w:w="2897"/>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40529190b0945ecb6483b84560649d2"/>
            <w:id w:val="26941"/>
          </w:sdtPr>
          <w:sdtContent>
            <w:tc>
              <w:tcPr>
                <w:tcW w:w="1816" w:type="pct"/>
                <w:shd w:val="clear" w:color="auto" w:fill="auto"/>
                <w:vAlign w:val="center"/>
              </w:tcPr>
              <w:p>
                <w:pPr>
                  <w:jc w:val="center"/>
                  <w:rPr>
                    <w:szCs w:val="21"/>
                  </w:rPr>
                </w:pPr>
                <w:r>
                  <w:rPr>
                    <w:rFonts w:hint="eastAsia"/>
                    <w:szCs w:val="21"/>
                  </w:rPr>
                  <w:t>项目</w:t>
                </w:r>
              </w:p>
            </w:tc>
          </w:sdtContent>
        </w:sdt>
        <w:sdt>
          <w:sdtPr>
            <w:tag w:val="_PLD_5e30d8809b4b4a148861aad7ac937cad"/>
            <w:id w:val="26942"/>
          </w:sdtPr>
          <w:sdtContent>
            <w:tc>
              <w:tcPr>
                <w:tcW w:w="1600" w:type="pct"/>
                <w:shd w:val="clear" w:color="auto" w:fill="auto"/>
                <w:vAlign w:val="center"/>
              </w:tcPr>
              <w:p>
                <w:pPr>
                  <w:jc w:val="center"/>
                  <w:rPr>
                    <w:szCs w:val="21"/>
                  </w:rPr>
                </w:pPr>
                <w:r>
                  <w:rPr>
                    <w:rFonts w:hint="eastAsia"/>
                    <w:szCs w:val="21"/>
                  </w:rPr>
                  <w:t>期末余额</w:t>
                </w:r>
              </w:p>
            </w:tc>
          </w:sdtContent>
        </w:sdt>
        <w:sdt>
          <w:sdtPr>
            <w:tag w:val="_PLD_a1484dda7f4045b7bee1d347a33d9d30"/>
            <w:id w:val="26943"/>
          </w:sdtPr>
          <w:sdtContent>
            <w:tc>
              <w:tcPr>
                <w:tcW w:w="1583"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r>
              <w:rPr>
                <w:rFonts w:hint="eastAsia"/>
              </w:rPr>
              <w:t>一年内到期的债权投资</w:t>
            </w:r>
          </w:p>
        </w:tc>
        <w:tc>
          <w:tcPr>
            <w:tcW w:w="1600" w:type="pct"/>
            <w:shd w:val="clear" w:color="auto" w:fill="auto"/>
            <w:vAlign w:val="center"/>
          </w:tcPr>
          <w:p>
            <w:pPr>
              <w:jc w:val="right"/>
            </w:pPr>
          </w:p>
        </w:tc>
        <w:tc>
          <w:tcPr>
            <w:tcW w:w="1583"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r>
              <w:rPr>
                <w:rFonts w:hint="eastAsia"/>
              </w:rPr>
              <w:t>一年内到期的其他债权投资</w:t>
            </w:r>
          </w:p>
        </w:tc>
        <w:tc>
          <w:tcPr>
            <w:tcW w:w="1600" w:type="pct"/>
            <w:shd w:val="clear" w:color="auto" w:fill="auto"/>
            <w:vAlign w:val="center"/>
          </w:tcPr>
          <w:p>
            <w:pPr>
              <w:jc w:val="right"/>
            </w:pPr>
          </w:p>
        </w:tc>
        <w:tc>
          <w:tcPr>
            <w:tcW w:w="1583"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hint="eastAsia"/>
                <w:szCs w:val="21"/>
              </w:rPr>
            </w:pPr>
            <w:r>
              <w:t>一年内到期的长期应收款</w:t>
            </w:r>
          </w:p>
        </w:tc>
        <w:tc>
          <w:tcPr>
            <w:tcW w:w="1600"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721,993.28</w:t>
            </w:r>
          </w:p>
        </w:tc>
        <w:tc>
          <w:tcPr>
            <w:tcW w:w="1583"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181,862.42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bottom"/>
          </w:tcPr>
          <w:p>
            <w:pPr>
              <w:snapToGrid w:val="0"/>
              <w:ind w:left="-107" w:leftChars="-51"/>
              <w:jc w:val="center"/>
              <w:rPr>
                <w:szCs w:val="21"/>
              </w:rPr>
            </w:pPr>
            <w:r>
              <w:rPr>
                <w:rFonts w:hint="eastAsia"/>
                <w:szCs w:val="21"/>
              </w:rPr>
              <w:t>合计</w:t>
            </w:r>
          </w:p>
        </w:tc>
        <w:tc>
          <w:tcPr>
            <w:tcW w:w="1600"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721,993.28</w:t>
            </w:r>
          </w:p>
        </w:tc>
        <w:tc>
          <w:tcPr>
            <w:tcW w:w="1583" w:type="pct"/>
            <w:shd w:val="clear" w:color="auto" w:fill="auto"/>
          </w:tcPr>
          <w:p>
            <w:pPr>
              <w:snapToGrid w:val="0"/>
              <w:jc w:val="right"/>
              <w:rPr>
                <w:rFonts w:hint="default" w:ascii="Times New Roman" w:hAnsi="Times New Roman" w:cs="Times New Roman"/>
                <w:szCs w:val="21"/>
              </w:rPr>
            </w:pPr>
            <w:r>
              <w:rPr>
                <w:rFonts w:hint="default" w:ascii="Times New Roman" w:hAnsi="Times New Roman" w:cs="Times New Roman"/>
              </w:rPr>
              <w:t>181,862.42</w:t>
            </w:r>
          </w:p>
        </w:tc>
      </w:tr>
    </w:tbl>
    <w:p/>
    <w:p>
      <w:pPr>
        <w:pStyle w:val="196"/>
      </w:pPr>
      <w:r>
        <w:rPr>
          <w:rFonts w:hint="eastAsia"/>
        </w:rPr>
        <w:t>一年内到期的债权投资</w:t>
      </w:r>
    </w:p>
    <w:sdt>
      <w:sdtPr>
        <w:alias w:val="是否适用：一年内到期的债权投资[双击切换]"/>
        <w:tag w:val="_GBC_21106d2d4b32436eb1949dc414c4e6e2"/>
        <w:id w:val="26944"/>
        <w:placeholder>
          <w:docPart w:val="GBC22222222222222222222222222222"/>
        </w:placeholder>
      </w:sdtPr>
      <w:sdtContent>
        <w:p>
          <w:pPr>
            <w:ind w:right="210"/>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pPr>
    </w:p>
    <w:p>
      <w:pPr>
        <w:pStyle w:val="196"/>
      </w:pPr>
      <w:r>
        <w:rPr>
          <w:rFonts w:hint="eastAsia"/>
        </w:rPr>
        <w:t>一年内到期的其他债权投资</w:t>
      </w:r>
    </w:p>
    <w:sdt>
      <w:sdtPr>
        <w:alias w:val="是否适用：一年内到期的其他债权投资[双击切换]"/>
        <w:tag w:val="_GBC_7e23007806f94dceb2b97ed0f5d1e010"/>
        <w:id w:val="26945"/>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pPr>
    </w:p>
    <w:p>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26946"/>
        <w:placeholder>
          <w:docPart w:val="GBC22222222222222222222222222222"/>
        </w:placeholder>
      </w:sdtPr>
      <w:sdtContent>
        <w:p>
          <w:pPr>
            <w:ind w:right="210"/>
          </w:pPr>
          <w:r>
            <w:rPr>
              <w:rFonts w:hint="eastAsia"/>
              <w:lang w:eastAsia="zh-CN"/>
            </w:rPr>
            <w:t>无</w:t>
          </w:r>
        </w:p>
      </w:sdtContent>
    </w:sdt>
    <w:p>
      <w:pPr>
        <w:ind w:right="210"/>
      </w:pPr>
    </w:p>
    <w:bookmarkEnd w:id="230"/>
    <w:p>
      <w:pPr>
        <w:pStyle w:val="229"/>
        <w:numPr>
          <w:ilvl w:val="0"/>
          <w:numId w:val="71"/>
        </w:numPr>
        <w:tabs>
          <w:tab w:val="left" w:pos="504"/>
        </w:tabs>
      </w:pPr>
      <w:bookmarkStart w:id="231" w:name="_Hlk533609053"/>
      <w:r>
        <w:rPr>
          <w:rFonts w:hint="eastAsia"/>
        </w:rPr>
        <w:t>其他流动资产</w:t>
      </w:r>
    </w:p>
    <w:sdt>
      <w:sdtPr>
        <w:alias w:val="是否适用：其他流动资产[双击切换]"/>
        <w:tag w:val="_GBC_49fe7514f24d4f7fbf009ae51ff98d5a"/>
        <w:id w:val="2694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8aa27294471c4172ba97de2c15d029c6"/>
          <w:id w:val="269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269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4f889fb3794268b1f04c9534377486"/>
            <w:id w:val="26950"/>
          </w:sdtPr>
          <w:sdtContent>
            <w:tc>
              <w:tcPr>
                <w:tcW w:w="1816" w:type="pct"/>
                <w:shd w:val="clear" w:color="auto" w:fill="auto"/>
                <w:vAlign w:val="center"/>
              </w:tcPr>
              <w:p>
                <w:pPr>
                  <w:jc w:val="center"/>
                  <w:rPr>
                    <w:szCs w:val="21"/>
                  </w:rPr>
                </w:pPr>
                <w:r>
                  <w:rPr>
                    <w:rFonts w:hint="eastAsia"/>
                    <w:szCs w:val="21"/>
                  </w:rPr>
                  <w:t>项目</w:t>
                </w:r>
              </w:p>
            </w:tc>
          </w:sdtContent>
        </w:sdt>
        <w:sdt>
          <w:sdtPr>
            <w:tag w:val="_PLD_97b9b7e912e14a06b24f532e76914900"/>
            <w:id w:val="26951"/>
          </w:sdtPr>
          <w:sdtContent>
            <w:tc>
              <w:tcPr>
                <w:tcW w:w="1612" w:type="pct"/>
                <w:shd w:val="clear" w:color="auto" w:fill="auto"/>
                <w:vAlign w:val="center"/>
              </w:tcPr>
              <w:p>
                <w:pPr>
                  <w:jc w:val="center"/>
                  <w:rPr>
                    <w:szCs w:val="21"/>
                  </w:rPr>
                </w:pPr>
                <w:r>
                  <w:rPr>
                    <w:rFonts w:hint="eastAsia"/>
                    <w:szCs w:val="21"/>
                  </w:rPr>
                  <w:t>期末余额</w:t>
                </w:r>
              </w:p>
            </w:tc>
          </w:sdtContent>
        </w:sdt>
        <w:sdt>
          <w:sdtPr>
            <w:tag w:val="_PLD_c02c94d4c7614f3cadd2972514fb87f4"/>
            <w:id w:val="26952"/>
          </w:sdtPr>
          <w:sdtContent>
            <w:tc>
              <w:tcPr>
                <w:tcW w:w="1572"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r>
              <w:rPr>
                <w:rFonts w:hint="eastAsia"/>
              </w:rPr>
              <w:t>合同取得成本</w:t>
            </w:r>
          </w:p>
        </w:tc>
        <w:tc>
          <w:tcPr>
            <w:tcW w:w="1612" w:type="pct"/>
            <w:shd w:val="clear" w:color="auto" w:fill="auto"/>
            <w:vAlign w:val="center"/>
          </w:tcPr>
          <w:p>
            <w:pPr>
              <w:jc w:val="right"/>
            </w:pPr>
          </w:p>
        </w:tc>
        <w:tc>
          <w:tcPr>
            <w:tcW w:w="1572"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r>
              <w:rPr>
                <w:rFonts w:hint="eastAsia"/>
              </w:rPr>
              <w:t>应收退货成本</w:t>
            </w:r>
          </w:p>
        </w:tc>
        <w:tc>
          <w:tcPr>
            <w:tcW w:w="1612" w:type="pct"/>
            <w:shd w:val="clear" w:color="auto" w:fill="auto"/>
            <w:vAlign w:val="center"/>
          </w:tcPr>
          <w:p>
            <w:pPr>
              <w:jc w:val="right"/>
            </w:pPr>
          </w:p>
        </w:tc>
        <w:tc>
          <w:tcPr>
            <w:tcW w:w="1572"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jc w:val="both"/>
              <w:rPr>
                <w:rFonts w:hint="eastAsia"/>
                <w:szCs w:val="21"/>
              </w:rPr>
            </w:pPr>
            <w:r>
              <w:t>待摊费用</w:t>
            </w:r>
          </w:p>
        </w:tc>
        <w:tc>
          <w:tcPr>
            <w:tcW w:w="161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2,839,770.13</w:t>
            </w:r>
          </w:p>
        </w:tc>
        <w:tc>
          <w:tcPr>
            <w:tcW w:w="157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3,263,804.26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hint="eastAsia"/>
                <w:szCs w:val="21"/>
              </w:rPr>
            </w:pPr>
            <w:r>
              <w:t>待抵扣进项税额</w:t>
            </w:r>
          </w:p>
        </w:tc>
        <w:tc>
          <w:tcPr>
            <w:tcW w:w="161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851,530.00</w:t>
            </w:r>
          </w:p>
        </w:tc>
        <w:tc>
          <w:tcPr>
            <w:tcW w:w="157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539,183.70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hint="eastAsia"/>
                <w:szCs w:val="21"/>
              </w:rPr>
            </w:pPr>
            <w:r>
              <w:t>预付税费</w:t>
            </w:r>
          </w:p>
        </w:tc>
        <w:tc>
          <w:tcPr>
            <w:tcW w:w="161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515,781.78</w:t>
            </w:r>
          </w:p>
        </w:tc>
        <w:tc>
          <w:tcPr>
            <w:tcW w:w="157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63,567.78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vAlign w:val="center"/>
          </w:tcPr>
          <w:p>
            <w:pPr>
              <w:snapToGrid w:val="0"/>
              <w:ind w:left="-107" w:leftChars="-51"/>
              <w:jc w:val="center"/>
              <w:rPr>
                <w:szCs w:val="21"/>
              </w:rPr>
            </w:pPr>
            <w:r>
              <w:rPr>
                <w:rFonts w:hint="eastAsia"/>
                <w:szCs w:val="21"/>
              </w:rPr>
              <w:t>合计</w:t>
            </w:r>
          </w:p>
        </w:tc>
        <w:tc>
          <w:tcPr>
            <w:tcW w:w="161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4,207,081.91</w:t>
            </w:r>
          </w:p>
        </w:tc>
        <w:tc>
          <w:tcPr>
            <w:tcW w:w="1572" w:type="pct"/>
            <w:shd w:val="clear" w:color="auto" w:fill="auto"/>
            <w:vAlign w:val="center"/>
          </w:tcPr>
          <w:p>
            <w:pPr>
              <w:snapToGrid w:val="0"/>
              <w:jc w:val="right"/>
              <w:rPr>
                <w:rFonts w:hint="default" w:ascii="Times New Roman" w:hAnsi="Times New Roman" w:cs="Times New Roman"/>
                <w:szCs w:val="21"/>
              </w:rPr>
            </w:pPr>
            <w:r>
              <w:rPr>
                <w:rFonts w:hint="default" w:ascii="Times New Roman" w:hAnsi="Times New Roman" w:cs="Times New Roman"/>
              </w:rPr>
              <w:t>3,866,555.74</w:t>
            </w:r>
          </w:p>
        </w:tc>
      </w:tr>
    </w:tbl>
    <w:p/>
    <w:p>
      <w:r>
        <w:rPr>
          <w:rFonts w:hint="eastAsia"/>
        </w:rPr>
        <w:t>其他说明</w:t>
      </w:r>
    </w:p>
    <w:sdt>
      <w:sdtPr>
        <w:rPr>
          <w:rFonts w:hint="eastAsia"/>
        </w:rPr>
        <w:alias w:val="其他流动资产说明"/>
        <w:tag w:val="_GBC_6b66243025624716a85c25ca534f7d52"/>
        <w:id w:val="26953"/>
        <w:placeholder>
          <w:docPart w:val="GBC22222222222222222222222222222"/>
        </w:placeholder>
      </w:sdtPr>
      <w:sdtEndPr>
        <w:rPr>
          <w:rFonts w:hint="eastAsia"/>
        </w:rPr>
      </w:sdtEndPr>
      <w:sdtContent>
        <w:p>
          <w:r>
            <w:rPr>
              <w:rFonts w:hint="eastAsia"/>
              <w:lang w:eastAsia="zh-CN"/>
            </w:rPr>
            <w:t>无</w:t>
          </w:r>
        </w:p>
      </w:sdtContent>
    </w:sdt>
    <w:p/>
    <w:bookmarkEnd w:id="231"/>
    <w:p>
      <w:pPr>
        <w:pStyle w:val="229"/>
        <w:numPr>
          <w:ilvl w:val="0"/>
          <w:numId w:val="71"/>
        </w:numPr>
        <w:tabs>
          <w:tab w:val="left" w:pos="504"/>
        </w:tabs>
      </w:pPr>
      <w:bookmarkStart w:id="232" w:name="_Hlk533409588"/>
      <w:r>
        <w:rPr>
          <w:rFonts w:hint="eastAsia"/>
        </w:rPr>
        <w:t>债权投资</w:t>
      </w:r>
    </w:p>
    <w:p>
      <w:pPr>
        <w:pStyle w:val="196"/>
        <w:numPr>
          <w:ilvl w:val="3"/>
          <w:numId w:val="79"/>
        </w:numPr>
        <w:ind w:left="426" w:hanging="426"/>
      </w:pPr>
      <w:bookmarkStart w:id="233" w:name="_Hlk532993723"/>
      <w:r>
        <w:rPr>
          <w:rFonts w:hint="eastAsia"/>
        </w:rPr>
        <w:t>债权投资情况</w:t>
      </w:r>
    </w:p>
    <w:sdt>
      <w:sdtPr>
        <w:alias w:val="是否适用：以摊余成本计量的长期债权投资[双击切换]"/>
        <w:tag w:val="_GBC_dbc7f90615cc46578228904cb4aa1cff"/>
        <w:id w:val="2695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bookmarkStart w:id="234" w:name="_Hlk153455457"/>
      <w:r>
        <w:rPr>
          <w:rFonts w:hint="eastAsia"/>
          <w:szCs w:val="21"/>
        </w:rPr>
        <w:t>债权投资减值准备本期变动情况</w:t>
      </w:r>
    </w:p>
    <w:sdt>
      <w:sdtPr>
        <w:alias w:val="是否适用：减值准备本期变动情况[双击切换]"/>
        <w:tag w:val="_GBC_87c0bbb5863948af834604c8aeaf814f"/>
        <w:id w:val="2695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234"/>
    <w:p>
      <w:pPr>
        <w:pStyle w:val="196"/>
        <w:numPr>
          <w:ilvl w:val="3"/>
          <w:numId w:val="79"/>
        </w:numPr>
        <w:ind w:left="426" w:hanging="426"/>
      </w:pPr>
      <w:bookmarkStart w:id="235" w:name="_Hlk532994191"/>
      <w:r>
        <w:rPr>
          <w:rFonts w:hint="eastAsia"/>
        </w:rPr>
        <w:t>期末重要的债权投资</w:t>
      </w:r>
    </w:p>
    <w:sdt>
      <w:sdtPr>
        <w:alias w:val="是否适用：重要的债权投资[双击切换]"/>
        <w:tag w:val="_GBC_ca6db275ff8944c2900ec34693d6ebf6"/>
        <w:id w:val="26956"/>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232"/>
    <w:bookmarkEnd w:id="233"/>
    <w:bookmarkEnd w:id="235"/>
    <w:p>
      <w:pPr>
        <w:pStyle w:val="196"/>
        <w:numPr>
          <w:ilvl w:val="3"/>
          <w:numId w:val="79"/>
        </w:numPr>
        <w:ind w:left="426" w:hanging="426"/>
      </w:pPr>
      <w:bookmarkStart w:id="236" w:name="_Hlk533872317"/>
      <w:r>
        <w:rPr>
          <w:rFonts w:hint="eastAsia" w:ascii="宋体" w:hAnsi="宋体" w:eastAsia="宋体" w:cs="宋体"/>
          <w:bCs w:val="0"/>
          <w:kern w:val="0"/>
          <w:szCs w:val="24"/>
        </w:rPr>
        <w:t>减值准备计提情况</w:t>
      </w:r>
    </w:p>
    <w:sdt>
      <w:sdtPr>
        <w:alias w:val="是否适用：债权投资减值准备调节表[双击切换]"/>
        <w:tag w:val="_GBC_686136d6dd874d559865e7aa5dd1a835"/>
        <w:id w:val="2695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各阶段划分依据和减值准备计提比例：</w:t>
      </w:r>
    </w:p>
    <w:sdt>
      <w:sdtPr>
        <w:alias w:val="债权投资各阶段划分依据和减值准备计提比例"/>
        <w:tag w:val="_GBC_60f5cb3d88a34c9d9e0fb015def585fa"/>
        <w:id w:val="26958"/>
        <w:placeholder>
          <w:docPart w:val="GBC22222222222222222222222222222"/>
        </w:placeholder>
      </w:sdtPr>
      <w:sdtContent>
        <w:p>
          <w:r>
            <w:rPr>
              <w:rFonts w:hint="eastAsia"/>
              <w:lang w:eastAsia="zh-CN"/>
            </w:rPr>
            <w:t>无</w:t>
          </w:r>
        </w:p>
      </w:sdtContent>
    </w:sdt>
    <w:p/>
    <w:p>
      <w:pPr>
        <w:pStyle w:val="288"/>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26959"/>
        <w:placeholder>
          <w:docPart w:val="GBC22222222222222222222222222222"/>
        </w:placeholder>
      </w:sdtPr>
      <w:sdtEndPr>
        <w:rPr>
          <w:szCs w:val="21"/>
        </w:rPr>
      </w:sdtEndPr>
      <w:sdtContent>
        <w:p>
          <w:pPr>
            <w:autoSpaceDE w:val="0"/>
            <w:autoSpaceDN w:val="0"/>
            <w:adjustRightInd w:val="0"/>
            <w:ind w:right="105" w:rightChars="5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p>
    <w:bookmarkEnd w:id="236"/>
    <w:p>
      <w:pPr>
        <w:pStyle w:val="288"/>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26960"/>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196"/>
        <w:numPr>
          <w:ilvl w:val="3"/>
          <w:numId w:val="79"/>
        </w:numPr>
        <w:ind w:left="426" w:hanging="426"/>
        <w:rPr>
          <w:rFonts w:ascii="宋体" w:hAnsi="宋体" w:eastAsia="宋体" w:cs="宋体"/>
          <w:kern w:val="0"/>
          <w:szCs w:val="24"/>
        </w:rPr>
      </w:pPr>
      <w:bookmarkStart w:id="237" w:name="_Hlk153455555"/>
      <w:r>
        <w:rPr>
          <w:rFonts w:ascii="宋体" w:hAnsi="宋体" w:eastAsia="宋体" w:cs="宋体"/>
          <w:kern w:val="0"/>
          <w:szCs w:val="24"/>
        </w:rPr>
        <w:t>本期实际</w:t>
      </w:r>
      <w:r>
        <w:rPr>
          <w:rFonts w:hint="eastAsia" w:ascii="宋体" w:hAnsi="宋体" w:eastAsia="宋体" w:cs="宋体"/>
          <w:kern w:val="0"/>
          <w:szCs w:val="24"/>
        </w:rPr>
        <w:t>的</w:t>
      </w:r>
      <w:r>
        <w:rPr>
          <w:rFonts w:ascii="宋体" w:hAnsi="宋体" w:eastAsia="宋体" w:cs="宋体"/>
          <w:kern w:val="0"/>
          <w:szCs w:val="24"/>
        </w:rPr>
        <w:t>核销</w:t>
      </w:r>
      <w:r>
        <w:rPr>
          <w:rFonts w:hint="eastAsia" w:ascii="宋体" w:hAnsi="宋体" w:eastAsia="宋体" w:cs="宋体"/>
          <w:kern w:val="0"/>
          <w:szCs w:val="24"/>
        </w:rPr>
        <w:t>债权投资</w:t>
      </w:r>
      <w:r>
        <w:rPr>
          <w:rFonts w:ascii="宋体" w:hAnsi="宋体" w:eastAsia="宋体" w:cs="宋体"/>
          <w:kern w:val="0"/>
          <w:szCs w:val="24"/>
        </w:rPr>
        <w:t>情况</w:t>
      </w:r>
    </w:p>
    <w:sdt>
      <w:sdtPr>
        <w:alias w:val="是否适用：实际核销的情况[双击切换]"/>
        <w:tag w:val="_GBC_fc91e5e5672d4b4eb2e0779a0867e84c"/>
        <w:id w:val="2696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26962"/>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26963"/>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37"/>
    <w:p>
      <w:pPr>
        <w:rPr>
          <w:szCs w:val="21"/>
        </w:rPr>
      </w:pPr>
      <w:r>
        <w:rPr>
          <w:rFonts w:hint="eastAsia"/>
          <w:szCs w:val="21"/>
        </w:rPr>
        <w:t>其他说明</w:t>
      </w:r>
    </w:p>
    <w:sdt>
      <w:sdtPr>
        <w:alias w:val="是否适用：债权投资其他说明[双击切换]"/>
        <w:tag w:val="_GBC_17cf4c675aec4f36816c24c079df205c"/>
        <w:id w:val="26964"/>
        <w:placeholder>
          <w:docPart w:val="GBC22222222222222222222222222222"/>
        </w:placeholder>
      </w:sdtPr>
      <w:sdtContent>
        <w:p>
          <w:pPr>
            <w:ind w:right="210"/>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pPr>
    </w:p>
    <w:p>
      <w:pPr>
        <w:pStyle w:val="229"/>
        <w:numPr>
          <w:ilvl w:val="0"/>
          <w:numId w:val="71"/>
        </w:numPr>
        <w:tabs>
          <w:tab w:val="left" w:pos="504"/>
        </w:tabs>
      </w:pPr>
      <w:r>
        <w:rPr>
          <w:rFonts w:hint="eastAsia"/>
        </w:rPr>
        <w:t>其他债权投资</w:t>
      </w:r>
    </w:p>
    <w:p>
      <w:pPr>
        <w:pStyle w:val="196"/>
        <w:numPr>
          <w:ilvl w:val="3"/>
          <w:numId w:val="80"/>
        </w:numPr>
        <w:ind w:left="426" w:hanging="426"/>
      </w:pPr>
      <w:r>
        <w:rPr>
          <w:rFonts w:hint="eastAsia"/>
        </w:rPr>
        <w:t>其他债权投资情况</w:t>
      </w:r>
    </w:p>
    <w:sdt>
      <w:sdtPr>
        <w:alias w:val="是否适用：其他债权投资情况[双击切换]"/>
        <w:tag w:val="_GBC_23599130a9db43be881f1fb4a46d3b7e"/>
        <w:id w:val="26965"/>
        <w:placeholder>
          <w:docPart w:val="GBC22222222222222222222222222222"/>
        </w:placeholder>
      </w:sdtPr>
      <w:sdtContent>
        <w:p>
          <w:pPr>
            <w:ind w:right="21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outlineLvl w:val="9"/>
      </w:pPr>
    </w:p>
    <w:p>
      <w:pPr>
        <w:rPr>
          <w:szCs w:val="21"/>
        </w:rPr>
      </w:pPr>
      <w:bookmarkStart w:id="238" w:name="_Hlk153455695"/>
      <w:r>
        <w:rPr>
          <w:rFonts w:hint="eastAsia"/>
          <w:szCs w:val="21"/>
        </w:rPr>
        <w:t>其他债权投资减值准备本期变动情况</w:t>
      </w:r>
    </w:p>
    <w:sdt>
      <w:sdtPr>
        <w:alias w:val="是否适用：减值准备本期变动情况[双击切换]"/>
        <w:tag w:val="_GBC_3e5ec98f577f4409b379fbfcb3b1cc79"/>
        <w:id w:val="26966"/>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38"/>
    <w:p>
      <w:pPr>
        <w:rPr>
          <w:szCs w:val="21"/>
        </w:rPr>
      </w:pPr>
    </w:p>
    <w:p>
      <w:pPr>
        <w:pStyle w:val="229"/>
        <w:numPr>
          <w:ilvl w:val="3"/>
          <w:numId w:val="80"/>
        </w:numPr>
        <w:ind w:left="426" w:hanging="426"/>
      </w:pPr>
      <w:bookmarkStart w:id="239" w:name="_Hlk533848078"/>
      <w:r>
        <w:rPr>
          <w:rFonts w:hint="eastAsia"/>
        </w:rPr>
        <w:t>期末重要的其他债权投资</w:t>
      </w:r>
    </w:p>
    <w:sdt>
      <w:sdtPr>
        <w:alias w:val="是否适用：重要的其他债权投资[双击切换]"/>
        <w:tag w:val="_GBC_bb82f40f19284b2489199fbaa477b35c"/>
        <w:id w:val="26967"/>
        <w:placeholder>
          <w:docPart w:val="GBC22222222222222222222222222222"/>
        </w:placeholder>
      </w:sdtPr>
      <w:sdtContent>
        <w:p>
          <w:pPr>
            <w:ind w:right="21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outlineLvl w:val="9"/>
      </w:pPr>
    </w:p>
    <w:bookmarkEnd w:id="239"/>
    <w:p>
      <w:pPr>
        <w:pStyle w:val="229"/>
        <w:numPr>
          <w:ilvl w:val="3"/>
          <w:numId w:val="80"/>
        </w:numPr>
        <w:ind w:left="426" w:hanging="426"/>
      </w:pPr>
      <w:bookmarkStart w:id="240" w:name="_Hlk533872678"/>
      <w:r>
        <w:rPr>
          <w:rFonts w:hint="eastAsia" w:ascii="宋体" w:hAnsi="宋体" w:eastAsia="宋体" w:cs="宋体"/>
          <w:bCs w:val="0"/>
          <w:kern w:val="0"/>
          <w:szCs w:val="24"/>
        </w:rPr>
        <w:t>减值准备计提情况</w:t>
      </w:r>
    </w:p>
    <w:sdt>
      <w:sdtPr>
        <w:alias w:val="是否适用：其他债权投资减值准备调节表[双击切换]"/>
        <w:tag w:val="_GBC_4fb0e145a1004885abb87d20ed68a2ed"/>
        <w:id w:val="2696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各阶段划分依据和减值准备计提比例：</w:t>
      </w:r>
    </w:p>
    <w:sdt>
      <w:sdtPr>
        <w:rPr>
          <w:rFonts w:hint="eastAsia"/>
        </w:rPr>
        <w:alias w:val="其他债权投资各阶段划分依据和减值准备计提比例"/>
        <w:tag w:val="_GBC_7a6f88a666dd4467adf9d3fa4f8e9354"/>
        <w:id w:val="26969"/>
        <w:placeholder>
          <w:docPart w:val="GBC22222222222222222222222222222"/>
        </w:placeholder>
      </w:sdtPr>
      <w:sdtEndPr>
        <w:rPr>
          <w:rFonts w:hint="eastAsia"/>
        </w:rPr>
      </w:sdtEndPr>
      <w:sdtContent>
        <w:p>
          <w:r>
            <w:rPr>
              <w:rFonts w:hint="eastAsia"/>
              <w:lang w:eastAsia="zh-CN"/>
            </w:rPr>
            <w:t>无</w:t>
          </w:r>
        </w:p>
      </w:sdtContent>
    </w:sdt>
    <w:p/>
    <w:p>
      <w:pPr>
        <w:pStyle w:val="288"/>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26970"/>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240"/>
    <w:p>
      <w:pPr>
        <w:pStyle w:val="288"/>
      </w:pPr>
      <w:bookmarkStart w:id="241"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26971"/>
        <w:placeholder>
          <w:docPart w:val="GBC22222222222222222222222222222"/>
        </w:placeholder>
      </w:sdtPr>
      <w:sdtContent>
        <w:p>
          <w:pPr>
            <w:ind w:right="210"/>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210"/>
      </w:pPr>
    </w:p>
    <w:bookmarkEnd w:id="241"/>
    <w:p>
      <w:pPr>
        <w:pStyle w:val="229"/>
        <w:numPr>
          <w:ilvl w:val="3"/>
          <w:numId w:val="80"/>
        </w:numPr>
        <w:ind w:left="426" w:hanging="426"/>
        <w:rPr>
          <w:rFonts w:ascii="宋体" w:hAnsi="宋体" w:eastAsia="宋体" w:cs="宋体"/>
          <w:kern w:val="0"/>
          <w:szCs w:val="24"/>
        </w:rPr>
      </w:pPr>
      <w:bookmarkStart w:id="242" w:name="_Hlk153456989"/>
      <w:r>
        <w:rPr>
          <w:rFonts w:ascii="宋体" w:hAnsi="宋体" w:eastAsia="宋体" w:cs="宋体"/>
          <w:kern w:val="0"/>
          <w:szCs w:val="24"/>
        </w:rPr>
        <w:t>本期实际核销</w:t>
      </w:r>
      <w:r>
        <w:rPr>
          <w:rFonts w:hint="eastAsia" w:ascii="宋体" w:hAnsi="宋体" w:eastAsia="宋体" w:cs="宋体"/>
          <w:kern w:val="0"/>
          <w:szCs w:val="24"/>
        </w:rPr>
        <w:t>的其他债权投资</w:t>
      </w:r>
      <w:r>
        <w:rPr>
          <w:rFonts w:ascii="宋体" w:hAnsi="宋体" w:eastAsia="宋体" w:cs="宋体"/>
          <w:kern w:val="0"/>
          <w:szCs w:val="24"/>
        </w:rPr>
        <w:t>情况</w:t>
      </w:r>
    </w:p>
    <w:sdt>
      <w:sdtPr>
        <w:alias w:val="是否适用：实际核销的情况[双击切换]"/>
        <w:tag w:val="_GBC_7ae85c2d27ec44faaa716fc50cbdc0bf"/>
        <w:id w:val="2697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26973"/>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26974"/>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42"/>
    <w:p>
      <w:bookmarkStart w:id="243" w:name="_Hlk533848097"/>
      <w:r>
        <w:rPr>
          <w:rFonts w:hint="eastAsia"/>
        </w:rPr>
        <w:t>其他说明：</w:t>
      </w:r>
      <w:bookmarkEnd w:id="243"/>
    </w:p>
    <w:sdt>
      <w:sdtPr>
        <w:alias w:val="是否适用：其他债权投资其他说明[双击切换]"/>
        <w:tag w:val="_GBC_ce8084fd599f45febc44624db662adaa"/>
        <w:id w:val="26975"/>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229"/>
        <w:numPr>
          <w:ilvl w:val="0"/>
          <w:numId w:val="71"/>
        </w:numPr>
        <w:tabs>
          <w:tab w:val="left" w:pos="504"/>
        </w:tabs>
        <w:rPr>
          <w:rFonts w:ascii="宋体" w:hAnsi="宋体"/>
          <w:szCs w:val="21"/>
        </w:rPr>
      </w:pPr>
      <w:r>
        <w:rPr>
          <w:rFonts w:hint="eastAsia" w:ascii="宋体" w:hAnsi="宋体"/>
          <w:szCs w:val="21"/>
        </w:rPr>
        <w:t>长期应收款</w:t>
      </w:r>
    </w:p>
    <w:p>
      <w:pPr>
        <w:pStyle w:val="196"/>
        <w:numPr>
          <w:ilvl w:val="3"/>
          <w:numId w:val="81"/>
        </w:numPr>
        <w:ind w:left="426" w:hanging="426"/>
      </w:pPr>
      <w:r>
        <w:rPr>
          <w:rFonts w:hint="eastAsia"/>
        </w:rPr>
        <w:t>长期应收款情况</w:t>
      </w:r>
    </w:p>
    <w:sdt>
      <w:sdtPr>
        <w:alias w:val="是否适用：长期应收款情况[双击切换]"/>
        <w:tag w:val="_GBC_0c54e576828240c482e58c8a9f7cd173"/>
        <w:id w:val="2697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应收款"/>
          <w:tag w:val="_GBC_83e90e099c524c00ad00f3262465133a"/>
          <w:id w:val="269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269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440"/>
        <w:gridCol w:w="650"/>
        <w:gridCol w:w="1275"/>
        <w:gridCol w:w="1112"/>
        <w:gridCol w:w="824"/>
        <w:gridCol w:w="118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79a5a5db414628bc47ed54fb917eb5"/>
            <w:id w:val="26979"/>
          </w:sdtPr>
          <w:sdtContent>
            <w:tc>
              <w:tcPr>
                <w:tcW w:w="1042"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9a36ea2203424631bf208c9515121cc2"/>
            <w:id w:val="26980"/>
          </w:sdtPr>
          <w:sdtContent>
            <w:tc>
              <w:tcPr>
                <w:tcW w:w="185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期末余额</w:t>
                </w:r>
              </w:p>
            </w:tc>
          </w:sdtContent>
        </w:sdt>
        <w:sdt>
          <w:sdtPr>
            <w:tag w:val="_PLD_03d144ce33e04be682481d2a013c13af"/>
            <w:id w:val="26981"/>
          </w:sdtPr>
          <w:sdtContent>
            <w:tc>
              <w:tcPr>
                <w:tcW w:w="17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期初余额</w:t>
                </w:r>
              </w:p>
            </w:tc>
          </w:sdtContent>
        </w:sdt>
        <w:sdt>
          <w:sdtPr>
            <w:tag w:val="_PLD_19a494fc04ce4efba377e98e304b04d0"/>
            <w:id w:val="26982"/>
          </w:sdtPr>
          <w:sdtContent>
            <w:tc>
              <w:tcPr>
                <w:tcW w:w="374"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折现率区间</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42" w:type="pct"/>
            <w:vMerge w:val="continue"/>
            <w:tcBorders>
              <w:left w:val="single" w:color="auto" w:sz="4" w:space="0"/>
              <w:bottom w:val="single" w:color="auto" w:sz="6" w:space="0"/>
              <w:right w:val="single" w:color="auto" w:sz="4" w:space="0"/>
            </w:tcBorders>
            <w:shd w:val="clear" w:color="auto" w:fill="auto"/>
            <w:vAlign w:val="center"/>
          </w:tcPr>
          <w:p>
            <w:pPr>
              <w:jc w:val="center"/>
              <w:rPr>
                <w:szCs w:val="21"/>
              </w:rPr>
            </w:pPr>
          </w:p>
        </w:tc>
        <w:sdt>
          <w:sdtPr>
            <w:tag w:val="_PLD_c0fe744fa9744e57b65a03499c0b9370"/>
            <w:id w:val="26983"/>
          </w:sdtPr>
          <w:sdtContent>
            <w:tc>
              <w:tcPr>
                <w:tcW w:w="795" w:type="pct"/>
                <w:tcBorders>
                  <w:left w:val="single" w:color="auto" w:sz="4" w:space="0"/>
                  <w:bottom w:val="single" w:color="auto" w:sz="6" w:space="0"/>
                </w:tcBorders>
                <w:shd w:val="clear" w:color="auto" w:fill="auto"/>
                <w:vAlign w:val="center"/>
              </w:tcPr>
              <w:p>
                <w:pPr>
                  <w:jc w:val="center"/>
                  <w:rPr>
                    <w:szCs w:val="21"/>
                  </w:rPr>
                </w:pPr>
                <w:r>
                  <w:rPr>
                    <w:rFonts w:hint="eastAsia"/>
                    <w:szCs w:val="21"/>
                  </w:rPr>
                  <w:t>账面余额</w:t>
                </w:r>
              </w:p>
            </w:tc>
          </w:sdtContent>
        </w:sdt>
        <w:sdt>
          <w:sdtPr>
            <w:tag w:val="_PLD_77ffaa95600c4c8d82666d2fa1a55587"/>
            <w:id w:val="26984"/>
          </w:sdtPr>
          <w:sdtContent>
            <w:tc>
              <w:tcPr>
                <w:tcW w:w="359" w:type="pct"/>
                <w:tcBorders>
                  <w:bottom w:val="single" w:color="auto" w:sz="6" w:space="0"/>
                </w:tcBorders>
                <w:shd w:val="clear" w:color="auto" w:fill="auto"/>
                <w:vAlign w:val="center"/>
              </w:tcPr>
              <w:p>
                <w:pPr>
                  <w:jc w:val="center"/>
                  <w:rPr>
                    <w:szCs w:val="21"/>
                  </w:rPr>
                </w:pPr>
                <w:r>
                  <w:rPr>
                    <w:rFonts w:hint="eastAsia"/>
                    <w:szCs w:val="21"/>
                  </w:rPr>
                  <w:t>坏账准备</w:t>
                </w:r>
              </w:p>
            </w:tc>
          </w:sdtContent>
        </w:sdt>
        <w:sdt>
          <w:sdtPr>
            <w:tag w:val="_PLD_b4a8209a5fa445268b4557f9b0cea931"/>
            <w:id w:val="26985"/>
          </w:sdtPr>
          <w:sdtContent>
            <w:tc>
              <w:tcPr>
                <w:tcW w:w="704" w:type="pct"/>
                <w:tcBorders>
                  <w:bottom w:val="single" w:color="auto" w:sz="6" w:space="0"/>
                </w:tcBorders>
                <w:shd w:val="clear" w:color="auto" w:fill="auto"/>
                <w:vAlign w:val="center"/>
              </w:tcPr>
              <w:p>
                <w:pPr>
                  <w:jc w:val="center"/>
                  <w:rPr>
                    <w:szCs w:val="21"/>
                  </w:rPr>
                </w:pPr>
                <w:r>
                  <w:rPr>
                    <w:rFonts w:hint="eastAsia"/>
                    <w:szCs w:val="21"/>
                  </w:rPr>
                  <w:t>账面价值</w:t>
                </w:r>
              </w:p>
            </w:tc>
          </w:sdtContent>
        </w:sdt>
        <w:sdt>
          <w:sdtPr>
            <w:tag w:val="_PLD_8f25a17bc1634cc893a4d67aa1847b6a"/>
            <w:id w:val="26986"/>
          </w:sdtPr>
          <w:sdtContent>
            <w:tc>
              <w:tcPr>
                <w:tcW w:w="614" w:type="pct"/>
                <w:tcBorders>
                  <w:bottom w:val="single" w:color="auto" w:sz="6" w:space="0"/>
                </w:tcBorders>
                <w:shd w:val="clear" w:color="auto" w:fill="auto"/>
                <w:vAlign w:val="center"/>
              </w:tcPr>
              <w:p>
                <w:pPr>
                  <w:jc w:val="center"/>
                  <w:rPr>
                    <w:szCs w:val="21"/>
                  </w:rPr>
                </w:pPr>
                <w:r>
                  <w:rPr>
                    <w:rFonts w:hint="eastAsia"/>
                    <w:szCs w:val="21"/>
                  </w:rPr>
                  <w:t>账面余额</w:t>
                </w:r>
              </w:p>
            </w:tc>
          </w:sdtContent>
        </w:sdt>
        <w:sdt>
          <w:sdtPr>
            <w:tag w:val="_PLD_a654b9f6a8cf4e1797c1b5ccb7073aa0"/>
            <w:id w:val="26987"/>
          </w:sdtPr>
          <w:sdtContent>
            <w:tc>
              <w:tcPr>
                <w:tcW w:w="455" w:type="pct"/>
                <w:tcBorders>
                  <w:bottom w:val="single" w:color="auto" w:sz="6" w:space="0"/>
                </w:tcBorders>
                <w:shd w:val="clear" w:color="auto" w:fill="auto"/>
                <w:vAlign w:val="center"/>
              </w:tcPr>
              <w:p>
                <w:pPr>
                  <w:jc w:val="center"/>
                  <w:rPr>
                    <w:szCs w:val="21"/>
                  </w:rPr>
                </w:pPr>
                <w:r>
                  <w:rPr>
                    <w:rFonts w:hint="eastAsia"/>
                    <w:szCs w:val="21"/>
                  </w:rPr>
                  <w:t>坏账准备</w:t>
                </w:r>
              </w:p>
            </w:tc>
          </w:sdtContent>
        </w:sdt>
        <w:sdt>
          <w:sdtPr>
            <w:tag w:val="_PLD_bccad3095dd04c1e9d8e38cc94818670"/>
            <w:id w:val="26988"/>
          </w:sdtPr>
          <w:sdtContent>
            <w:tc>
              <w:tcPr>
                <w:tcW w:w="654" w:type="pct"/>
                <w:tcBorders>
                  <w:bottom w:val="single" w:color="auto" w:sz="6" w:space="0"/>
                  <w:right w:val="single" w:color="auto" w:sz="4" w:space="0"/>
                </w:tcBorders>
                <w:shd w:val="clear" w:color="auto" w:fill="auto"/>
                <w:vAlign w:val="center"/>
              </w:tcPr>
              <w:p>
                <w:pPr>
                  <w:jc w:val="center"/>
                  <w:rPr>
                    <w:szCs w:val="21"/>
                  </w:rPr>
                </w:pPr>
                <w:r>
                  <w:rPr>
                    <w:rFonts w:hint="eastAsia"/>
                    <w:szCs w:val="21"/>
                  </w:rPr>
                  <w:t>账面价值</w:t>
                </w:r>
              </w:p>
            </w:tc>
          </w:sdtContent>
        </w:sdt>
        <w:tc>
          <w:tcPr>
            <w:tcW w:w="374" w:type="pct"/>
            <w:vMerge w:val="continue"/>
            <w:tcBorders>
              <w:left w:val="single" w:color="auto" w:sz="4" w:space="0"/>
              <w:bottom w:val="single" w:color="auto" w:sz="6" w:space="0"/>
              <w:right w:val="single" w:color="auto" w:sz="4" w:space="0"/>
            </w:tcBorders>
            <w:shd w:val="clear" w:color="auto" w:fill="auto"/>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Height w:val="148" w:hRule="atLeast"/>
        </w:trPr>
        <w:tc>
          <w:tcPr>
            <w:tcW w:w="1042" w:type="pct"/>
            <w:shd w:val="clear" w:color="auto" w:fill="auto"/>
          </w:tcPr>
          <w:p>
            <w:pPr>
              <w:rPr>
                <w:szCs w:val="21"/>
              </w:rPr>
            </w:pPr>
            <w:r>
              <w:rPr>
                <w:rFonts w:hint="eastAsia"/>
                <w:szCs w:val="21"/>
              </w:rPr>
              <w:t>融资租赁款</w:t>
            </w:r>
          </w:p>
        </w:tc>
        <w:tc>
          <w:tcPr>
            <w:tcW w:w="795"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2,488,809.34</w:t>
            </w: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2,488,809.34</w:t>
            </w:r>
          </w:p>
        </w:tc>
        <w:tc>
          <w:tcPr>
            <w:tcW w:w="61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390,341.27</w:t>
            </w: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390,341.27</w:t>
            </w: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42" w:type="pct"/>
            <w:shd w:val="clear" w:color="auto" w:fill="auto"/>
          </w:tcPr>
          <w:p>
            <w:pPr>
              <w:ind w:firstLine="420" w:firstLineChars="200"/>
              <w:rPr>
                <w:szCs w:val="21"/>
              </w:rPr>
            </w:pPr>
            <w:r>
              <w:rPr>
                <w:rFonts w:hint="eastAsia"/>
                <w:szCs w:val="21"/>
              </w:rPr>
              <w:t>其中：未实现融资收益</w:t>
            </w:r>
          </w:p>
        </w:tc>
        <w:tc>
          <w:tcPr>
            <w:tcW w:w="795" w:type="pct"/>
            <w:shd w:val="clear" w:color="auto" w:fill="auto"/>
            <w:vAlign w:val="center"/>
          </w:tcPr>
          <w:p>
            <w:pPr>
              <w:ind w:right="105" w:rightChars="50"/>
              <w:jc w:val="right"/>
              <w:rPr>
                <w:rFonts w:hint="default" w:ascii="Times New Roman" w:hAnsi="Times New Roman" w:cs="Times New Roman"/>
                <w:szCs w:val="21"/>
              </w:rPr>
            </w:pP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p>
        </w:tc>
        <w:tc>
          <w:tcPr>
            <w:tcW w:w="614" w:type="pct"/>
            <w:shd w:val="clear" w:color="auto" w:fill="auto"/>
            <w:vAlign w:val="center"/>
          </w:tcPr>
          <w:p>
            <w:pPr>
              <w:ind w:right="105" w:rightChars="50"/>
              <w:jc w:val="right"/>
              <w:rPr>
                <w:rFonts w:hint="default" w:ascii="Times New Roman" w:hAnsi="Times New Roman" w:cs="Times New Roman"/>
                <w:szCs w:val="21"/>
              </w:rPr>
            </w:pP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Height w:val="271" w:hRule="atLeast"/>
        </w:trPr>
        <w:tc>
          <w:tcPr>
            <w:tcW w:w="1042" w:type="pct"/>
            <w:shd w:val="clear" w:color="auto" w:fill="auto"/>
          </w:tcPr>
          <w:p>
            <w:pPr>
              <w:rPr>
                <w:szCs w:val="21"/>
              </w:rPr>
            </w:pPr>
            <w:r>
              <w:rPr>
                <w:rFonts w:hint="eastAsia"/>
                <w:szCs w:val="21"/>
              </w:rPr>
              <w:t>分期收款销售商品</w:t>
            </w:r>
          </w:p>
        </w:tc>
        <w:tc>
          <w:tcPr>
            <w:tcW w:w="795" w:type="pct"/>
            <w:shd w:val="clear" w:color="auto" w:fill="auto"/>
            <w:vAlign w:val="center"/>
          </w:tcPr>
          <w:p>
            <w:pPr>
              <w:ind w:right="105" w:rightChars="50"/>
              <w:jc w:val="right"/>
              <w:rPr>
                <w:rFonts w:hint="default" w:ascii="Times New Roman" w:hAnsi="Times New Roman" w:cs="Times New Roman"/>
                <w:szCs w:val="21"/>
              </w:rPr>
            </w:pP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p>
        </w:tc>
        <w:tc>
          <w:tcPr>
            <w:tcW w:w="614" w:type="pct"/>
            <w:shd w:val="clear" w:color="auto" w:fill="auto"/>
            <w:vAlign w:val="center"/>
          </w:tcPr>
          <w:p>
            <w:pPr>
              <w:ind w:right="105" w:rightChars="50"/>
              <w:jc w:val="right"/>
              <w:rPr>
                <w:rFonts w:hint="default" w:ascii="Times New Roman" w:hAnsi="Times New Roman" w:cs="Times New Roman"/>
                <w:szCs w:val="21"/>
              </w:rPr>
            </w:pP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42" w:type="pct"/>
            <w:tcBorders>
              <w:bottom w:val="single" w:color="auto" w:sz="6" w:space="0"/>
            </w:tcBorders>
            <w:shd w:val="clear" w:color="auto" w:fill="auto"/>
          </w:tcPr>
          <w:p>
            <w:pPr>
              <w:rPr>
                <w:szCs w:val="21"/>
              </w:rPr>
            </w:pPr>
            <w:r>
              <w:rPr>
                <w:rFonts w:hint="eastAsia"/>
                <w:szCs w:val="21"/>
              </w:rPr>
              <w:t>分期收款提供劳务</w:t>
            </w:r>
          </w:p>
        </w:tc>
        <w:tc>
          <w:tcPr>
            <w:tcW w:w="795" w:type="pct"/>
            <w:shd w:val="clear" w:color="auto" w:fill="auto"/>
            <w:vAlign w:val="center"/>
          </w:tcPr>
          <w:p>
            <w:pPr>
              <w:ind w:right="105" w:rightChars="50"/>
              <w:jc w:val="right"/>
              <w:rPr>
                <w:rFonts w:hint="default" w:ascii="Times New Roman" w:hAnsi="Times New Roman" w:cs="Times New Roman"/>
                <w:szCs w:val="21"/>
              </w:rPr>
            </w:pP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p>
        </w:tc>
        <w:tc>
          <w:tcPr>
            <w:tcW w:w="614" w:type="pct"/>
            <w:shd w:val="clear" w:color="auto" w:fill="auto"/>
            <w:vAlign w:val="center"/>
          </w:tcPr>
          <w:p>
            <w:pPr>
              <w:ind w:right="105" w:rightChars="50"/>
              <w:jc w:val="right"/>
              <w:rPr>
                <w:rFonts w:hint="default" w:ascii="Times New Roman" w:hAnsi="Times New Roman" w:cs="Times New Roman"/>
                <w:szCs w:val="21"/>
              </w:rPr>
            </w:pP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42" w:type="pct"/>
            <w:shd w:val="clear" w:color="auto" w:fill="auto"/>
          </w:tcPr>
          <w:p>
            <w:pPr>
              <w:rPr>
                <w:szCs w:val="21"/>
              </w:rPr>
            </w:pPr>
            <w:r>
              <w:t>减：未实现融资收益</w:t>
            </w:r>
          </w:p>
        </w:tc>
        <w:tc>
          <w:tcPr>
            <w:tcW w:w="795"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552,290.71</w:t>
            </w: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552,290.71</w:t>
            </w:r>
          </w:p>
        </w:tc>
        <w:tc>
          <w:tcPr>
            <w:tcW w:w="61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20,848.93</w:t>
            </w: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20,848.93</w:t>
            </w: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42" w:type="pct"/>
            <w:shd w:val="clear" w:color="auto" w:fill="auto"/>
          </w:tcPr>
          <w:p>
            <w:pPr>
              <w:rPr>
                <w:szCs w:val="21"/>
              </w:rPr>
            </w:pPr>
            <w:r>
              <w:t>减：一年内到期的长期应收款</w:t>
            </w:r>
          </w:p>
        </w:tc>
        <w:tc>
          <w:tcPr>
            <w:tcW w:w="795"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721,993.28</w:t>
            </w: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721,993.28</w:t>
            </w:r>
          </w:p>
        </w:tc>
        <w:tc>
          <w:tcPr>
            <w:tcW w:w="61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181,862.42</w:t>
            </w: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181,862.42</w:t>
            </w: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042" w:type="pct"/>
            <w:shd w:val="clear" w:color="auto" w:fill="auto"/>
            <w:vAlign w:val="center"/>
          </w:tcPr>
          <w:p>
            <w:pPr>
              <w:jc w:val="center"/>
              <w:rPr>
                <w:szCs w:val="21"/>
              </w:rPr>
            </w:pPr>
            <w:r>
              <w:rPr>
                <w:rFonts w:hint="eastAsia"/>
                <w:szCs w:val="21"/>
              </w:rPr>
              <w:t>合计</w:t>
            </w:r>
          </w:p>
        </w:tc>
        <w:tc>
          <w:tcPr>
            <w:tcW w:w="795"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1,214,525.35</w:t>
            </w:r>
          </w:p>
        </w:tc>
        <w:tc>
          <w:tcPr>
            <w:tcW w:w="359" w:type="pct"/>
            <w:shd w:val="clear" w:color="auto" w:fill="auto"/>
            <w:vAlign w:val="center"/>
          </w:tcPr>
          <w:p>
            <w:pPr>
              <w:ind w:right="105" w:rightChars="50"/>
              <w:jc w:val="right"/>
              <w:rPr>
                <w:rFonts w:hint="default" w:ascii="Times New Roman" w:hAnsi="Times New Roman" w:cs="Times New Roman"/>
                <w:szCs w:val="21"/>
              </w:rPr>
            </w:pPr>
          </w:p>
        </w:tc>
        <w:tc>
          <w:tcPr>
            <w:tcW w:w="70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1,214,525.35</w:t>
            </w:r>
          </w:p>
        </w:tc>
        <w:tc>
          <w:tcPr>
            <w:tcW w:w="614" w:type="pct"/>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187,629.92</w:t>
            </w:r>
          </w:p>
        </w:tc>
        <w:tc>
          <w:tcPr>
            <w:tcW w:w="455" w:type="pct"/>
            <w:shd w:val="clear" w:color="auto" w:fill="auto"/>
            <w:vAlign w:val="center"/>
          </w:tcPr>
          <w:p>
            <w:pPr>
              <w:ind w:right="105" w:rightChars="50"/>
              <w:jc w:val="right"/>
              <w:rPr>
                <w:rFonts w:hint="default" w:ascii="Times New Roman" w:hAnsi="Times New Roman" w:cs="Times New Roman"/>
                <w:szCs w:val="21"/>
              </w:rPr>
            </w:pPr>
          </w:p>
        </w:tc>
        <w:tc>
          <w:tcPr>
            <w:tcW w:w="654" w:type="pct"/>
            <w:tcBorders>
              <w:righ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rPr>
              <w:t>187,629.92</w:t>
            </w:r>
          </w:p>
        </w:tc>
        <w:tc>
          <w:tcPr>
            <w:tcW w:w="374" w:type="pct"/>
            <w:tcBorders>
              <w:left w:val="single" w:color="auto" w:sz="4" w:space="0"/>
            </w:tcBorders>
            <w:shd w:val="clear" w:color="auto" w:fill="auto"/>
            <w:vAlign w:val="center"/>
          </w:tcPr>
          <w:p>
            <w:pPr>
              <w:ind w:right="105" w:rightChars="50"/>
              <w:jc w:val="right"/>
              <w:rPr>
                <w:rFonts w:hint="default" w:ascii="Times New Roman" w:hAnsi="Times New Roman" w:cs="Times New Roman"/>
                <w:szCs w:val="21"/>
              </w:rPr>
            </w:pPr>
            <w:r>
              <w:rPr>
                <w:rFonts w:hint="default" w:ascii="Times New Roman" w:hAnsi="Times New Roman" w:cs="Times New Roman"/>
                <w:szCs w:val="21"/>
              </w:rPr>
              <w:t>/</w:t>
            </w:r>
          </w:p>
        </w:tc>
      </w:tr>
    </w:tbl>
    <w:p/>
    <w:p>
      <w:pPr>
        <w:rPr>
          <w:color w:val="FF0000"/>
          <w:szCs w:val="21"/>
        </w:rPr>
      </w:pPr>
    </w:p>
    <w:p>
      <w:pPr>
        <w:pStyle w:val="196"/>
        <w:numPr>
          <w:ilvl w:val="3"/>
          <w:numId w:val="81"/>
        </w:numPr>
        <w:ind w:left="426" w:hanging="426"/>
        <w:rPr>
          <w:rFonts w:ascii="宋体" w:hAnsi="宋体" w:eastAsia="宋体" w:cs="宋体"/>
          <w:kern w:val="0"/>
          <w:szCs w:val="24"/>
        </w:rPr>
      </w:pPr>
      <w:bookmarkStart w:id="244" w:name="_Hlk153457348"/>
      <w:r>
        <w:rPr>
          <w:rFonts w:hint="eastAsia" w:ascii="宋体" w:hAnsi="宋体" w:eastAsia="宋体" w:cs="宋体"/>
          <w:kern w:val="0"/>
          <w:szCs w:val="24"/>
        </w:rPr>
        <w:t>按</w:t>
      </w:r>
      <w:r>
        <w:rPr>
          <w:rFonts w:ascii="宋体" w:hAnsi="宋体" w:eastAsia="宋体" w:cs="宋体"/>
          <w:kern w:val="0"/>
          <w:szCs w:val="24"/>
        </w:rPr>
        <w:t>坏账计提方法分类披露</w:t>
      </w:r>
    </w:p>
    <w:sdt>
      <w:sdtPr>
        <w:alias w:val="是否适用：按坏账计提方法分类披露[双击切换]"/>
        <w:tag w:val="_GBC_b88f58fcc61342f3b795c44388b6782b"/>
        <w:id w:val="2698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按单项计提坏账准备：</w:t>
      </w:r>
    </w:p>
    <w:sdt>
      <w:sdtPr>
        <w:alias w:val="是否适用：按单项计提坏账准备的详细情况[双击切换]"/>
        <w:tag w:val="_GBC_19243c464e23496a87380a02fccd7f4a"/>
        <w:id w:val="2699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2699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26992"/>
        <w:placeholder>
          <w:docPart w:val="GBC22222222222222222222222222222"/>
        </w:placeholder>
      </w:sdtPr>
      <w:sdtEndPr>
        <w:rPr>
          <w:rFonts w:ascii="Calibri" w:hAnsi="Calibri" w:cs="Times New Roman"/>
          <w:bCs/>
          <w:szCs w:val="22"/>
        </w:rPr>
      </w:sdtEndPr>
      <w:sdtContent>
        <w:p>
          <w:pPr>
            <w:outlineLvl w:val="9"/>
            <w:rPr>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244"/>
    <w:p>
      <w:pPr>
        <w:pStyle w:val="196"/>
        <w:numPr>
          <w:ilvl w:val="3"/>
          <w:numId w:val="81"/>
        </w:numPr>
        <w:ind w:left="426" w:hanging="426"/>
        <w:rPr>
          <w:rFonts w:ascii="宋体" w:hAnsi="宋体" w:eastAsia="宋体" w:cs="宋体"/>
          <w:kern w:val="0"/>
          <w:szCs w:val="24"/>
        </w:rPr>
      </w:pPr>
      <w:bookmarkStart w:id="245" w:name="_Hlk533872428"/>
      <w:r>
        <w:rPr>
          <w:rFonts w:hint="eastAsia" w:ascii="宋体" w:hAnsi="宋体" w:eastAsia="宋体" w:cs="宋体"/>
          <w:kern w:val="0"/>
          <w:szCs w:val="24"/>
        </w:rPr>
        <w:t>按预期信用损失一般模型计提坏账准备</w:t>
      </w:r>
    </w:p>
    <w:sdt>
      <w:sdtPr>
        <w:alias w:val="是否适用：长期应收款坏账准备调节表[双击切换]"/>
        <w:tag w:val="_GBC_83c414b79fa243258be4f4c6998e475c"/>
        <w:id w:val="2699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26994"/>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eastAsia="zh-CN"/>
            </w:rPr>
            <w:t>无</w:t>
          </w:r>
        </w:p>
      </w:sdtContent>
    </w:sdt>
    <w:p/>
    <w:p>
      <w:pPr>
        <w:pStyle w:val="288"/>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26995"/>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45"/>
    <w:p>
      <w:pPr>
        <w:pStyle w:val="288"/>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2699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numPr>
          <w:ilvl w:val="3"/>
          <w:numId w:val="81"/>
        </w:numPr>
        <w:ind w:left="426" w:hanging="426"/>
        <w:rPr>
          <w:rFonts w:ascii="宋体" w:hAnsi="宋体" w:eastAsia="宋体" w:cs="宋体"/>
          <w:kern w:val="0"/>
          <w:szCs w:val="24"/>
        </w:rPr>
      </w:pPr>
      <w:bookmarkStart w:id="246" w:name="_Hlk154131356"/>
      <w:bookmarkStart w:id="247" w:name="_Hlk153457634"/>
      <w:r>
        <w:rPr>
          <w:rFonts w:hint="eastAsia" w:ascii="宋体" w:hAnsi="宋体" w:eastAsia="宋体" w:cs="宋体"/>
          <w:kern w:val="0"/>
          <w:szCs w:val="24"/>
        </w:rPr>
        <w:t>坏账准备的情况</w:t>
      </w:r>
    </w:p>
    <w:sdt>
      <w:sdtPr>
        <w:alias w:val="是否适用：坏账准备情况[双击切换]"/>
        <w:tag w:val="_GBC_1878fe8dd18b4d7f9eb1b263bc7833d1"/>
        <w:id w:val="26997"/>
        <w:placeholder>
          <w:docPart w:val="GBC22222222222222222222222222222"/>
        </w:placeholder>
      </w:sdtPr>
      <w:sdtContent>
        <w:p>
          <w:pPr>
            <w:pStyle w:val="288"/>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88"/>
        <w:outlineLvl w:val="9"/>
      </w:pPr>
    </w:p>
    <w:bookmarkEnd w:id="246"/>
    <w:p>
      <w:r>
        <w:rPr>
          <w:rFonts w:hint="eastAsia"/>
        </w:rPr>
        <w:t>其中本期坏账准备收回或转回金额重要的：</w:t>
      </w:r>
    </w:p>
    <w:sdt>
      <w:sdtPr>
        <w:alias w:val="是否适用：本期坏账准备收回或转回金额重要的[双击切换]"/>
        <w:tag w:val="_GBC_b4e3b5deca584587a596a753699de6b7"/>
        <w:id w:val="2699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lang w:eastAsia="zh-CN"/>
        </w:rPr>
      </w:pPr>
    </w:p>
    <w:p>
      <w:r>
        <w:rPr>
          <w:rFonts w:hint="eastAsia"/>
        </w:rPr>
        <w:t>其他说明：</w:t>
      </w:r>
    </w:p>
    <w:sdt>
      <w:sdtPr>
        <w:alias w:val="坏账准备情况的说明"/>
        <w:tag w:val="_GBC_b5a80a414fe14b5c9e4001ca8a0f4bbf"/>
        <w:id w:val="26999"/>
        <w:placeholder>
          <w:docPart w:val="GBC22222222222222222222222222222"/>
        </w:placeholder>
      </w:sdtPr>
      <w:sdtContent>
        <w:p>
          <w:pPr>
            <w:ind w:right="42" w:rightChars="20"/>
          </w:pPr>
          <w:r>
            <w:rPr>
              <w:rFonts w:hint="eastAsia"/>
              <w:lang w:eastAsia="zh-CN"/>
            </w:rPr>
            <w:t>无</w:t>
          </w:r>
        </w:p>
      </w:sdtContent>
    </w:sdt>
    <w:p>
      <w:pPr>
        <w:ind w:right="-1594" w:rightChars="-759"/>
      </w:pPr>
    </w:p>
    <w:p>
      <w:pPr>
        <w:pStyle w:val="196"/>
        <w:numPr>
          <w:ilvl w:val="3"/>
          <w:numId w:val="81"/>
        </w:numPr>
        <w:ind w:left="426" w:hanging="426"/>
        <w:rPr>
          <w:rFonts w:ascii="宋体" w:hAnsi="宋体" w:eastAsia="宋体" w:cs="宋体"/>
          <w:kern w:val="0"/>
          <w:szCs w:val="24"/>
        </w:rPr>
      </w:pPr>
      <w:r>
        <w:rPr>
          <w:rFonts w:ascii="宋体" w:hAnsi="宋体" w:eastAsia="宋体" w:cs="宋体"/>
          <w:kern w:val="0"/>
          <w:szCs w:val="24"/>
        </w:rPr>
        <w:t>本期实际核销的</w:t>
      </w:r>
      <w:r>
        <w:rPr>
          <w:rFonts w:hint="eastAsia" w:ascii="宋体" w:hAnsi="宋体" w:eastAsia="宋体" w:cs="宋体"/>
          <w:kern w:val="0"/>
          <w:szCs w:val="24"/>
        </w:rPr>
        <w:t>长期应收款</w:t>
      </w:r>
      <w:r>
        <w:rPr>
          <w:rFonts w:ascii="宋体" w:hAnsi="宋体" w:eastAsia="宋体" w:cs="宋体"/>
          <w:kern w:val="0"/>
          <w:szCs w:val="24"/>
        </w:rPr>
        <w:t>情况</w:t>
      </w:r>
    </w:p>
    <w:sdt>
      <w:sdtPr>
        <w:alias w:val="是否适用：实际核销的情况[双击切换]"/>
        <w:tag w:val="_GBC_e9d4e4f95df144d1beb521844e7c35e7"/>
        <w:id w:val="2700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27001"/>
        <w:placeholder>
          <w:docPart w:val="GBC22222222222222222222222222222"/>
        </w:placeholder>
      </w:sdtPr>
      <w:sdtEndPr>
        <w:rPr>
          <w:rFonts w:hint="eastAsia"/>
          <w:szCs w:val="21"/>
        </w:rPr>
      </w:sdtEndPr>
      <w:sdtContent>
        <w:p>
          <w:pPr>
            <w:snapToGrid w:val="0"/>
            <w:spacing w:line="240" w:lineRule="atLeast"/>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outlineLvl w:val="9"/>
        <w:rPr>
          <w:rFonts w:hint="eastAsia"/>
          <w:szCs w:val="21"/>
        </w:rPr>
      </w:pPr>
    </w:p>
    <w:p>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27002"/>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47"/>
    <w:p>
      <w:pPr>
        <w:rPr>
          <w:szCs w:val="21"/>
        </w:rPr>
      </w:pPr>
      <w:r>
        <w:rPr>
          <w:rFonts w:hint="eastAsia"/>
          <w:szCs w:val="21"/>
        </w:rPr>
        <w:t>其他说明</w:t>
      </w:r>
    </w:p>
    <w:sdt>
      <w:sdtPr>
        <w:rPr>
          <w:szCs w:val="21"/>
        </w:rPr>
        <w:alias w:val="是否适用：长期应收款的其他说明[双击切换]"/>
        <w:tag w:val="_GBC_374ef9a861254142b9ef8519d87eb5ac"/>
        <w:id w:val="27003"/>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长期股权投资</w:t>
      </w:r>
    </w:p>
    <w:p>
      <w:pPr>
        <w:pStyle w:val="196"/>
        <w:numPr>
          <w:ilvl w:val="0"/>
          <w:numId w:val="82"/>
        </w:numPr>
      </w:pPr>
      <w:bookmarkStart w:id="248" w:name="_Hlk152856977"/>
      <w:r>
        <w:rPr>
          <w:rFonts w:hint="eastAsia"/>
        </w:rPr>
        <w:t>长期股权投资情况</w:t>
      </w:r>
    </w:p>
    <w:p>
      <w:sdt>
        <w:sdtPr>
          <w:rPr>
            <w:rFonts w:hint="eastAsia"/>
          </w:rPr>
          <w:alias w:val="是否适用：长期股权投资[双击切换]"/>
          <w:tag w:val="_GBC_94e2c461d3d34280a0a5f1e908656d3e"/>
          <w:id w:val="27004"/>
          <w:placeholder>
            <w:docPart w:val="GBC22222222222222222222222222222"/>
          </w:placeholder>
        </w:sdtPr>
        <w:sdtEndPr>
          <w:rPr>
            <w:rFonts w:hint="eastAsia"/>
          </w:rPr>
        </w:sdtEnd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szCs w:val="21"/>
        </w:rPr>
      </w:pPr>
      <w:r>
        <w:rPr>
          <w:rFonts w:hint="eastAsia"/>
          <w:szCs w:val="21"/>
        </w:rPr>
        <w:t>单位：</w:t>
      </w:r>
      <w:sdt>
        <w:sdtPr>
          <w:rPr>
            <w:rFonts w:hint="eastAsia"/>
            <w:szCs w:val="21"/>
          </w:rPr>
          <w:alias w:val="单位：财务附注：长期股权投资"/>
          <w:tag w:val="_GBC_9ef1128bd666425898c1d0386f4940f0"/>
          <w:id w:val="270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270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1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434"/>
        <w:gridCol w:w="313"/>
        <w:gridCol w:w="237"/>
        <w:gridCol w:w="651"/>
        <w:gridCol w:w="676"/>
        <w:gridCol w:w="376"/>
        <w:gridCol w:w="650"/>
        <w:gridCol w:w="326"/>
        <w:gridCol w:w="276"/>
        <w:gridCol w:w="514"/>
        <w:gridCol w:w="1042"/>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4000e8ce384d4988e09c22d5f8f725"/>
            <w:id w:val="27007"/>
          </w:sdtPr>
          <w:sdtContent>
            <w:tc>
              <w:tcPr>
                <w:tcW w:w="733"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被投资单位</w:t>
                </w:r>
              </w:p>
            </w:tc>
          </w:sdtContent>
        </w:sdt>
        <w:sdt>
          <w:sdtPr>
            <w:tag w:val="_PLD_2325481f20324f949b4d5af7cfe3ea45"/>
            <w:id w:val="27008"/>
          </w:sdtPr>
          <w:sdtContent>
            <w:tc>
              <w:tcPr>
                <w:tcW w:w="763"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62e0836260734d34965d8070b1a6f2dd"/>
            <w:id w:val="27009"/>
          </w:sdtPr>
          <w:sdtContent>
            <w:tc>
              <w:tcPr>
                <w:tcW w:w="214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tag w:val="_PLD_7b9429fc29b64f4c83eea02ed0cad7ba"/>
            <w:id w:val="27010"/>
          </w:sdtPr>
          <w:sdtContent>
            <w:tc>
              <w:tcPr>
                <w:tcW w:w="555"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9298dc466f54a239357520005d5d0d6"/>
            <w:id w:val="27011"/>
          </w:sdtPr>
          <w:sdtContent>
            <w:tc>
              <w:tcPr>
                <w:tcW w:w="807"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763"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32174384d8204c80ab4f8eb2ee1b7c00"/>
            <w:id w:val="27012"/>
          </w:sdtPr>
          <w:sdtContent>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追加投资</w:t>
                </w:r>
              </w:p>
            </w:tc>
          </w:sdtContent>
        </w:sdt>
        <w:sdt>
          <w:sdtPr>
            <w:tag w:val="_PLD_095046b604db44b8b22c0d62f18b7d7b"/>
            <w:id w:val="27013"/>
          </w:sdtPr>
          <w:sdtContent>
            <w:tc>
              <w:tcPr>
                <w:tcW w:w="12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减少投资</w:t>
                </w:r>
              </w:p>
            </w:tc>
          </w:sdtContent>
        </w:sdt>
        <w:sdt>
          <w:sdtPr>
            <w:tag w:val="_PLD_6b1aa2f12a4b43c9acfdfe03af1b69b5"/>
            <w:id w:val="27014"/>
          </w:sdtPr>
          <w:sdtContent>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权益法下确认的投资损益</w:t>
                </w:r>
              </w:p>
            </w:tc>
          </w:sdtContent>
        </w:sdt>
        <w:sdt>
          <w:sdtPr>
            <w:tag w:val="_PLD_7843f54d0d14415a8d81c3e768bcd483"/>
            <w:id w:val="27015"/>
          </w:sdtPr>
          <w:sdtContent>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其他综合收益调整</w:t>
                </w:r>
              </w:p>
            </w:tc>
          </w:sdtContent>
        </w:sdt>
        <w:sdt>
          <w:sdtPr>
            <w:tag w:val="_PLD_dd698127723b4ea0815eca9ac49240a1"/>
            <w:id w:val="27016"/>
          </w:sdtPr>
          <w:sdtContent>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其他权益变动</w:t>
                </w:r>
              </w:p>
            </w:tc>
          </w:sdtContent>
        </w:sdt>
        <w:sdt>
          <w:sdtPr>
            <w:tag w:val="_PLD_6d37a876ad014b7ba59d452d3d7f5f15"/>
            <w:id w:val="27017"/>
          </w:sdtPr>
          <w:sdtContent>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宣告发放现金股利或利润</w:t>
                </w:r>
              </w:p>
            </w:tc>
          </w:sdtContent>
        </w:sdt>
        <w:sdt>
          <w:sdtPr>
            <w:tag w:val="_PLD_050d96d5e62f42b9bb4f13a2ca047503"/>
            <w:id w:val="27018"/>
          </w:sdtPr>
          <w:sdtContent>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计提减值准备</w:t>
                </w:r>
              </w:p>
            </w:tc>
          </w:sdtContent>
        </w:sdt>
        <w:sdt>
          <w:sdtPr>
            <w:tag w:val="_PLD_add111e25b4543c48121d495919f2030"/>
            <w:id w:val="27019"/>
          </w:sdtPr>
          <w:sdtContent>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w:t>
                </w:r>
              </w:p>
            </w:tc>
          </w:sdtContent>
        </w:sdt>
        <w:tc>
          <w:tcPr>
            <w:tcW w:w="828" w:type="pct"/>
            <w:gridSpan w:val="2"/>
            <w:tcBorders>
              <w:left w:val="single" w:color="auto" w:sz="4" w:space="0"/>
              <w:right w:val="single" w:color="auto" w:sz="4" w:space="0"/>
            </w:tcBorders>
            <w:shd w:val="clear" w:color="auto" w:fill="auto"/>
            <w:vAlign w:val="center"/>
          </w:tcPr>
          <w:p>
            <w:pPr>
              <w:jc w:val="center"/>
              <w:rPr>
                <w:szCs w:val="21"/>
              </w:rPr>
            </w:pPr>
          </w:p>
        </w:tc>
        <w:tc>
          <w:tcPr>
            <w:tcW w:w="807" w:type="pct"/>
            <w:tcBorders>
              <w:left w:val="single" w:color="auto" w:sz="4" w:space="0"/>
              <w:right w:val="single" w:color="auto" w:sz="4" w:space="0"/>
            </w:tcBorders>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b755e14b594e4c91e0b7c9ecb32e60"/>
            <w:id w:val="27020"/>
          </w:sdtPr>
          <w:sdtContent>
            <w:tc>
              <w:tcPr>
                <w:tcW w:w="5000" w:type="pct"/>
                <w:gridSpan w:val="13"/>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0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c>
          <w:tcPr>
            <w:tcW w:w="76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0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小计</w:t>
            </w:r>
          </w:p>
        </w:tc>
        <w:tc>
          <w:tcPr>
            <w:tcW w:w="76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0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448562bca04f23a9ec97848768cd82"/>
            <w:id w:val="27021"/>
          </w:sdtPr>
          <w:sdtContent>
            <w:tc>
              <w:tcPr>
                <w:tcW w:w="5000" w:type="pct"/>
                <w:gridSpan w:val="13"/>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二、联营企业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t>柳州市玉洁口腔卫生用品有限责任公司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3,854,508.49</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3,854,508.49</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3,854,508.49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t>广西两面针九洲房地产开发有限公司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3,916,163.14</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3,916,163.14</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3,916,163.14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t>成都同基医药有限公司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1,652,476.44</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1,652,476.44</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1,652,476.44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t>广西亿康南药药业种植有限责任公司</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4,000,000.00</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4,000,000.00</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13,423,148.07</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1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8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13,423,148.07</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13,423,148.07</w:t>
            </w:r>
          </w:p>
        </w:tc>
      </w:tr>
      <w:bookmarkEnd w:id="248"/>
    </w:tbl>
    <w:p>
      <w:pPr>
        <w:snapToGrid w:val="0"/>
        <w:spacing w:line="240" w:lineRule="atLeast"/>
        <w:rPr>
          <w:szCs w:val="21"/>
        </w:rPr>
      </w:pPr>
    </w:p>
    <w:p>
      <w:pPr>
        <w:pStyle w:val="196"/>
        <w:numPr>
          <w:ilvl w:val="0"/>
          <w:numId w:val="82"/>
        </w:numPr>
        <w:rPr>
          <w:highlight w:val="none"/>
        </w:rPr>
      </w:pPr>
      <w:r>
        <w:rPr>
          <w:rFonts w:hint="eastAsia"/>
          <w:highlight w:val="none"/>
        </w:rPr>
        <w:t>长期股权投资的减值测试情况</w:t>
      </w:r>
    </w:p>
    <w:sdt>
      <w:sdtPr>
        <w:alias w:val="是否适用：减值测试情况[双击切换]"/>
        <w:tag w:val="_GBC_869bca5d4169451086ae6ff386220647"/>
        <w:id w:val="27022"/>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p>
      <w:pPr>
        <w:snapToGrid w:val="0"/>
        <w:spacing w:line="240" w:lineRule="atLeast"/>
        <w:rPr>
          <w:szCs w:val="21"/>
        </w:rPr>
      </w:pPr>
      <w:r>
        <w:rPr>
          <w:rFonts w:hint="eastAsia"/>
          <w:szCs w:val="21"/>
        </w:rPr>
        <w:t>其他说明</w:t>
      </w:r>
    </w:p>
    <w:p>
      <w:pPr>
        <w:snapToGrid w:val="0"/>
        <w:spacing w:line="240" w:lineRule="atLeast"/>
        <w:rPr>
          <w:szCs w:val="21"/>
        </w:rPr>
        <w:sectPr>
          <w:pgSz w:w="11906" w:h="16838"/>
          <w:pgMar w:top="1440" w:right="1797" w:bottom="1525" w:left="1276" w:header="856" w:footer="992" w:gutter="0"/>
          <w:cols w:space="425" w:num="1"/>
          <w:docGrid w:linePitch="312" w:charSpace="0"/>
        </w:sectPr>
      </w:pPr>
      <w:sdt>
        <w:sdtPr>
          <w:rPr>
            <w:szCs w:val="21"/>
          </w:rPr>
          <w:alias w:val="长期股票投资的说明"/>
          <w:tag w:val="_GBC_4023b747651f4831814ee17f68bb62d6"/>
          <w:id w:val="27023"/>
          <w:placeholder>
            <w:docPart w:val="GBC22222222222222222222222222222"/>
          </w:placeholder>
        </w:sdtPr>
        <w:sdtEndPr>
          <w:rPr>
            <w:szCs w:val="21"/>
          </w:rPr>
        </w:sdtEndPr>
        <w:sdtContent>
          <w:r>
            <w:rPr>
              <w:rFonts w:hint="eastAsia"/>
              <w:szCs w:val="21"/>
              <w:lang w:eastAsia="zh-CN"/>
            </w:rPr>
            <w:t>无</w:t>
          </w:r>
        </w:sdtContent>
      </w:sdt>
    </w:p>
    <w:p>
      <w:pPr>
        <w:snapToGrid w:val="0"/>
        <w:spacing w:line="240" w:lineRule="atLeast"/>
        <w:rPr>
          <w:szCs w:val="21"/>
        </w:rPr>
      </w:pPr>
    </w:p>
    <w:p>
      <w:pPr>
        <w:pStyle w:val="229"/>
        <w:numPr>
          <w:ilvl w:val="0"/>
          <w:numId w:val="71"/>
        </w:numPr>
        <w:tabs>
          <w:tab w:val="left" w:pos="504"/>
        </w:tabs>
        <w:rPr>
          <w:szCs w:val="21"/>
        </w:rPr>
      </w:pPr>
      <w:bookmarkStart w:id="249" w:name="_Hlk533409702"/>
      <w:bookmarkStart w:id="250" w:name="_Hlk152858292"/>
      <w:r>
        <w:rPr>
          <w:rFonts w:hint="eastAsia"/>
          <w:szCs w:val="21"/>
        </w:rPr>
        <w:t>其他权益工具投资</w:t>
      </w:r>
    </w:p>
    <w:p>
      <w:pPr>
        <w:pStyle w:val="196"/>
        <w:numPr>
          <w:ilvl w:val="3"/>
          <w:numId w:val="83"/>
        </w:numPr>
        <w:ind w:left="426" w:hanging="426"/>
      </w:pPr>
      <w:bookmarkStart w:id="251" w:name="_Hlk532994936"/>
      <w:r>
        <w:rPr>
          <w:rFonts w:hint="eastAsia"/>
        </w:rPr>
        <w:t>其他权益工具投资情况</w:t>
      </w:r>
    </w:p>
    <w:sdt>
      <w:sdtPr>
        <w:alias w:val="是否适用：其他权益工具投资情况[双击切换]"/>
        <w:tag w:val="_GBC_d086d5c38ce84090b98eac90481c97aa"/>
        <w:id w:val="27024"/>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27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270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49"/>
    <w:bookmarkEnd w:id="251"/>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568"/>
        <w:gridCol w:w="573"/>
        <w:gridCol w:w="682"/>
        <w:gridCol w:w="1104"/>
        <w:gridCol w:w="1126"/>
        <w:gridCol w:w="375"/>
        <w:gridCol w:w="1600"/>
        <w:gridCol w:w="1462"/>
        <w:gridCol w:w="938"/>
        <w:gridCol w:w="1337"/>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0f1e4cd012be4666a6aee1d8ddb3d5fc"/>
            <w:id w:val="27027"/>
          </w:sdtPr>
          <w:sdtEndPr>
            <w:rPr>
              <w:rFonts w:hint="eastAsia"/>
              <w:szCs w:val="21"/>
            </w:rPr>
          </w:sdtEndPr>
          <w:sdtContent>
            <w:tc>
              <w:tcPr>
                <w:tcW w:w="636"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rPr>
              <w:rFonts w:hint="eastAsia"/>
              <w:szCs w:val="21"/>
            </w:rPr>
            <w:tag w:val="_PLD_cd86550f752a4870b5ecfa3ace922f6d"/>
            <w:id w:val="27028"/>
          </w:sdtPr>
          <w:sdtEndPr>
            <w:rPr>
              <w:rFonts w:hint="eastAsia"/>
              <w:szCs w:val="21"/>
            </w:rPr>
          </w:sdtEndPr>
          <w:sdtContent>
            <w:tc>
              <w:tcPr>
                <w:tcW w:w="556"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rPr>
              <w:rFonts w:hint="eastAsia"/>
              <w:szCs w:val="21"/>
            </w:rPr>
            <w:tag w:val="_PLD_379e5b07c94943c082f8141e69827eb8"/>
            <w:id w:val="27029"/>
          </w:sdtPr>
          <w:sdtEndPr>
            <w:rPr>
              <w:rFonts w:hint="eastAsia"/>
              <w:szCs w:val="21"/>
            </w:rPr>
          </w:sdtEndPr>
          <w:sdtContent>
            <w:tc>
              <w:tcPr>
                <w:tcW w:w="1369"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rPr>
              <w:rFonts w:hint="eastAsia"/>
              <w:szCs w:val="21"/>
            </w:rPr>
            <w:tag w:val="_PLD_ac415aedc9c6446485bac805332ca59b"/>
            <w:id w:val="27030"/>
          </w:sdtPr>
          <w:sdtEndPr>
            <w:rPr>
              <w:rFonts w:hint="eastAsia"/>
              <w:szCs w:val="21"/>
            </w:rPr>
          </w:sdtEndPr>
          <w:sdtContent>
            <w:tc>
              <w:tcPr>
                <w:tcW w:w="567"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rPr>
              <w:rFonts w:hint="eastAsia"/>
              <w:szCs w:val="21"/>
            </w:rPr>
            <w:tag w:val="_PLD_d139f6e8adbe4eb2bd13c29bba65a2f9"/>
            <w:id w:val="27031"/>
          </w:sdtPr>
          <w:sdtEndPr>
            <w:rPr>
              <w:rFonts w:hint="eastAsia"/>
              <w:szCs w:val="21"/>
            </w:rPr>
          </w:sdtEndPr>
          <w:sdtContent>
            <w:tc>
              <w:tcPr>
                <w:tcW w:w="518"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本期确认的股利收入</w:t>
                </w:r>
              </w:p>
            </w:tc>
          </w:sdtContent>
        </w:sdt>
        <w:sdt>
          <w:sdtPr>
            <w:rPr>
              <w:rFonts w:hint="eastAsia"/>
              <w:szCs w:val="21"/>
            </w:rPr>
            <w:tag w:val="_PLD_0bed6b4465254f08b9b73b5b113c87f5"/>
            <w:id w:val="27032"/>
          </w:sdtPr>
          <w:sdtEndPr>
            <w:rPr>
              <w:rFonts w:hint="eastAsia"/>
              <w:szCs w:val="21"/>
            </w:rPr>
          </w:sdtEndPr>
          <w:sdtContent>
            <w:tc>
              <w:tcPr>
                <w:tcW w:w="332"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累计计入其他综合收益的利得</w:t>
                </w:r>
              </w:p>
            </w:tc>
          </w:sdtContent>
        </w:sdt>
        <w:sdt>
          <w:sdtPr>
            <w:rPr>
              <w:rFonts w:hint="eastAsia"/>
              <w:szCs w:val="21"/>
            </w:rPr>
            <w:tag w:val="_PLD_e1975ba88e6f4c8d8d6ca2c971af1701"/>
            <w:id w:val="27033"/>
          </w:sdtPr>
          <w:sdtEndPr>
            <w:rPr>
              <w:rFonts w:hint="eastAsia"/>
              <w:szCs w:val="21"/>
            </w:rPr>
          </w:sdtEndPr>
          <w:sdtContent>
            <w:tc>
              <w:tcPr>
                <w:tcW w:w="474"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累计计入其他综合收益的损失</w:t>
                </w:r>
              </w:p>
            </w:tc>
          </w:sdtContent>
        </w:sdt>
        <w:sdt>
          <w:sdtPr>
            <w:rPr>
              <w:rFonts w:hint="eastAsia"/>
            </w:rPr>
            <w:tag w:val="_PLD_22e80ab64b37459ebc83e5b928d25051"/>
            <w:id w:val="27034"/>
          </w:sdtPr>
          <w:sdtEndPr>
            <w:rPr>
              <w:rFonts w:hint="eastAsia"/>
            </w:rPr>
          </w:sdtEndPr>
          <w:sdtContent>
            <w:tc>
              <w:tcPr>
                <w:tcW w:w="543"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rPr>
                  <w:t>指定为以公允价值计量且其变动计入其他综合收益的原因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556"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rPr>
              <w:rFonts w:hint="eastAsia"/>
              <w:szCs w:val="21"/>
            </w:rPr>
            <w:tag w:val="_PLD_dcfe2e1d36cd40b9af799c21d5b8002d"/>
            <w:id w:val="27035"/>
          </w:sdtPr>
          <w:sdtEndPr>
            <w:rPr>
              <w:rFonts w:hint="eastAsia"/>
              <w:szCs w:val="21"/>
            </w:rPr>
          </w:sdtEndPr>
          <w:sdtContent>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追加投资</w:t>
                </w:r>
              </w:p>
            </w:tc>
          </w:sdtContent>
        </w:sdt>
        <w:sdt>
          <w:sdtPr>
            <w:rPr>
              <w:rFonts w:hint="eastAsia"/>
              <w:szCs w:val="21"/>
            </w:rPr>
            <w:tag w:val="_PLD_35b99bcd41834275ae207d04ef825953"/>
            <w:id w:val="27036"/>
          </w:sdtPr>
          <w:sdtEndPr>
            <w:rPr>
              <w:rFonts w:hint="eastAsia"/>
              <w:szCs w:val="21"/>
            </w:rPr>
          </w:sdtEndPr>
          <w:sdtContent>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减少投资</w:t>
                </w:r>
              </w:p>
            </w:tc>
          </w:sdtContent>
        </w:sdt>
        <w:sdt>
          <w:sdtPr>
            <w:rPr>
              <w:rFonts w:hint="eastAsia"/>
              <w:szCs w:val="21"/>
            </w:rPr>
            <w:tag w:val="_PLD_8a4bbeebcb134d688741468780d5bbd1"/>
            <w:id w:val="27037"/>
          </w:sdtPr>
          <w:sdtEndPr>
            <w:rPr>
              <w:rFonts w:hint="eastAsia"/>
              <w:szCs w:val="21"/>
            </w:rPr>
          </w:sdtEndPr>
          <w:sdtContent>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本期计入其他综合收益的利得</w:t>
                </w:r>
              </w:p>
            </w:tc>
          </w:sdtContent>
        </w:sdt>
        <w:sdt>
          <w:sdtPr>
            <w:rPr>
              <w:rFonts w:hint="eastAsia"/>
              <w:szCs w:val="21"/>
            </w:rPr>
            <w:tag w:val="_PLD_34c6f06bd6ce4dec84766a6723567bb2"/>
            <w:id w:val="27038"/>
          </w:sdtPr>
          <w:sdtEndPr>
            <w:rPr>
              <w:rFonts w:hint="eastAsia"/>
              <w:szCs w:val="21"/>
            </w:rPr>
          </w:sdtEndPr>
          <w:sdtContent>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本期计入其他综合收益的损失</w:t>
                </w:r>
              </w:p>
            </w:tc>
          </w:sdtContent>
        </w:sdt>
        <w:sdt>
          <w:sdtPr>
            <w:rPr>
              <w:rFonts w:hint="eastAsia"/>
              <w:szCs w:val="21"/>
            </w:rPr>
            <w:tag w:val="_PLD_10fb3a2b23634dbcb6ec64725618b767"/>
            <w:id w:val="27039"/>
          </w:sdtPr>
          <w:sdtEndPr>
            <w:rPr>
              <w:rFonts w:hint="eastAsia"/>
              <w:szCs w:val="21"/>
            </w:rPr>
          </w:sdtEndPr>
          <w:sdtContent>
            <w:tc>
              <w:tcPr>
                <w:tcW w:w="1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tc>
          <w:tcPr>
            <w:tcW w:w="567" w:type="pct"/>
            <w:vMerge w:val="continue"/>
            <w:tcBorders>
              <w:left w:val="single" w:color="auto" w:sz="4" w:space="0"/>
              <w:bottom w:val="single" w:color="auto" w:sz="4" w:space="0"/>
              <w:right w:val="single" w:color="auto" w:sz="4" w:space="0"/>
            </w:tcBorders>
            <w:shd w:val="clear" w:color="auto" w:fill="auto"/>
            <w:vAlign w:val="center"/>
          </w:tcPr>
          <w:p>
            <w:pPr>
              <w:jc w:val="center"/>
              <w:rPr>
                <w:szCs w:val="21"/>
              </w:rPr>
            </w:pPr>
          </w:p>
        </w:tc>
        <w:tc>
          <w:tcPr>
            <w:tcW w:w="518" w:type="pct"/>
            <w:vMerge w:val="continue"/>
            <w:tcBorders>
              <w:left w:val="single" w:color="auto" w:sz="4" w:space="0"/>
              <w:bottom w:val="single" w:color="auto" w:sz="4" w:space="0"/>
              <w:right w:val="single" w:color="auto" w:sz="4" w:space="0"/>
            </w:tcBorders>
          </w:tcPr>
          <w:p>
            <w:pPr>
              <w:jc w:val="center"/>
              <w:rPr>
                <w:szCs w:val="21"/>
              </w:rPr>
            </w:pPr>
          </w:p>
        </w:tc>
        <w:tc>
          <w:tcPr>
            <w:tcW w:w="332" w:type="pct"/>
            <w:vMerge w:val="continue"/>
            <w:tcBorders>
              <w:left w:val="single" w:color="auto" w:sz="4" w:space="0"/>
              <w:bottom w:val="single" w:color="auto" w:sz="4" w:space="0"/>
              <w:right w:val="single" w:color="auto" w:sz="4" w:space="0"/>
            </w:tcBorders>
          </w:tcPr>
          <w:p>
            <w:pPr>
              <w:jc w:val="center"/>
              <w:rPr>
                <w:szCs w:val="21"/>
              </w:rPr>
            </w:pPr>
          </w:p>
        </w:tc>
        <w:tc>
          <w:tcPr>
            <w:tcW w:w="474" w:type="pct"/>
            <w:vMerge w:val="continue"/>
            <w:tcBorders>
              <w:left w:val="single" w:color="auto" w:sz="4" w:space="0"/>
              <w:bottom w:val="single" w:color="auto" w:sz="4" w:space="0"/>
              <w:right w:val="single" w:color="auto" w:sz="4" w:space="0"/>
            </w:tcBorders>
          </w:tcPr>
          <w:p>
            <w:pPr>
              <w:jc w:val="center"/>
              <w:rPr>
                <w:szCs w:val="21"/>
              </w:rPr>
            </w:pPr>
          </w:p>
        </w:tc>
        <w:tc>
          <w:tcPr>
            <w:tcW w:w="543" w:type="pct"/>
            <w:vMerge w:val="continue"/>
            <w:tcBorders>
              <w:left w:val="single" w:color="auto" w:sz="4" w:space="0"/>
              <w:bottom w:val="single" w:color="auto" w:sz="4" w:space="0"/>
              <w:right w:val="single" w:color="auto" w:sz="4" w:space="0"/>
            </w:tcBorders>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柳州银行股份有限公司</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35,000,000.00</w:t>
            </w: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3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35,000,000.00</w:t>
            </w:r>
          </w:p>
        </w:tc>
        <w:tc>
          <w:tcPr>
            <w:tcW w:w="51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800,000.00</w:t>
            </w:r>
          </w:p>
        </w:tc>
        <w:tc>
          <w:tcPr>
            <w:tcW w:w="33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7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非交易性持有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广西北部湾银行股份有限公司</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257,200,000.00</w:t>
            </w: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3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257,200,000.00</w:t>
            </w:r>
          </w:p>
        </w:tc>
        <w:tc>
          <w:tcPr>
            <w:tcW w:w="51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15,400,000.00</w:t>
            </w:r>
          </w:p>
        </w:tc>
        <w:tc>
          <w:tcPr>
            <w:tcW w:w="33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7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非交易性持有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Borders>
              <w:top w:val="single" w:color="auto" w:sz="4" w:space="0"/>
              <w:left w:val="single" w:color="auto" w:sz="4" w:space="0"/>
              <w:bottom w:val="single" w:color="auto" w:sz="4" w:space="0"/>
              <w:right w:val="single" w:color="auto" w:sz="4" w:space="0"/>
            </w:tcBorders>
            <w:shd w:val="clear" w:color="auto" w:fill="auto"/>
          </w:tcPr>
          <w:p>
            <w:r>
              <w:rPr>
                <w:rFonts w:hint="eastAsia" w:cs="宋体"/>
                <w:sz w:val="21"/>
                <w:szCs w:val="24"/>
                <w:lang w:val="en-US" w:eastAsia="zh-CN" w:bidi="ar-SA"/>
              </w:rPr>
              <w:t>柳州市亿康投资发展有限责任公司</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3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p>
        </w:tc>
        <w:tc>
          <w:tcPr>
            <w:tcW w:w="51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c>
          <w:tcPr>
            <w:tcW w:w="33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47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rFonts w:hint="eastAsia" w:ascii="Times New Roman" w:hAnsi="Times New Roman" w:cs="Times New Roman"/>
              </w:rPr>
              <w:t>9,795,568.56</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r>
              <w:rPr>
                <w:rFonts w:hint="eastAsia" w:ascii="Times New Roman" w:eastAsia="宋体"/>
                <w:szCs w:val="21"/>
                <w:lang w:val="en-US" w:eastAsia="zh-CN"/>
              </w:rPr>
              <w:t>非交易性持有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tc>
          <w:tcPr>
            <w:tcW w:w="556"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eastAsia" w:ascii="Times New Roman" w:hAnsi="Times New Roman" w:cs="Times New Roman"/>
                <w:lang w:eastAsia="zh-CN"/>
              </w:rPr>
            </w:pPr>
            <w:r>
              <w:rPr>
                <w:rFonts w:hint="eastAsia" w:ascii="Times New Roman" w:hAnsi="Times New Roman" w:cs="Times New Roman"/>
                <w:lang w:eastAsia="zh-CN"/>
              </w:rPr>
              <w:t>292,200,000.00</w:t>
            </w:r>
          </w:p>
        </w:tc>
        <w:tc>
          <w:tcPr>
            <w:tcW w:w="20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24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39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39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13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p>
        </w:tc>
        <w:tc>
          <w:tcPr>
            <w:tcW w:w="56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eastAsia" w:ascii="Times New Roman" w:hAnsi="Times New Roman" w:cs="Times New Roman"/>
                <w:lang w:eastAsia="zh-CN"/>
              </w:rPr>
            </w:pPr>
            <w:r>
              <w:rPr>
                <w:rFonts w:hint="eastAsia" w:ascii="Times New Roman" w:hAnsi="Times New Roman" w:cs="Times New Roman"/>
                <w:lang w:eastAsia="zh-CN"/>
              </w:rPr>
              <w:t>292,200,000.00</w:t>
            </w:r>
          </w:p>
        </w:tc>
        <w:tc>
          <w:tcPr>
            <w:tcW w:w="518"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rPr>
            </w:pPr>
            <w:r>
              <w:rPr>
                <w:rFonts w:hint="default" w:ascii="Times New Roman" w:hAnsi="Times New Roman" w:cs="Times New Roman"/>
              </w:rPr>
              <w:t>16,200,000.00</w:t>
            </w:r>
          </w:p>
        </w:tc>
        <w:tc>
          <w:tcPr>
            <w:tcW w:w="332" w:type="pct"/>
            <w:tcBorders>
              <w:top w:val="single" w:color="auto" w:sz="4" w:space="0"/>
              <w:left w:val="single" w:color="auto" w:sz="4" w:space="0"/>
              <w:bottom w:val="single" w:color="auto" w:sz="4" w:space="0"/>
              <w:right w:val="single" w:color="auto" w:sz="4" w:space="0"/>
            </w:tcBorders>
          </w:tcPr>
          <w:p>
            <w:pPr>
              <w:jc w:val="right"/>
              <w:rPr>
                <w:szCs w:val="21"/>
              </w:rPr>
            </w:pPr>
          </w:p>
        </w:tc>
        <w:tc>
          <w:tcPr>
            <w:tcW w:w="474" w:type="pct"/>
            <w:tcBorders>
              <w:top w:val="single" w:color="auto" w:sz="4" w:space="0"/>
              <w:left w:val="single" w:color="auto" w:sz="4" w:space="0"/>
              <w:bottom w:val="single" w:color="auto" w:sz="4" w:space="0"/>
              <w:right w:val="single" w:color="auto" w:sz="4" w:space="0"/>
            </w:tcBorders>
          </w:tcPr>
          <w:p>
            <w:pPr>
              <w:jc w:val="right"/>
              <w:rPr>
                <w:szCs w:val="21"/>
              </w:rPr>
            </w:pPr>
            <w:r>
              <w:rPr>
                <w:rFonts w:hint="eastAsia" w:ascii="Times New Roman" w:hAnsi="Times New Roman" w:cs="Times New Roman"/>
              </w:rPr>
              <w:t>9,795,568.56</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w:t>
            </w:r>
          </w:p>
        </w:tc>
      </w:tr>
    </w:tbl>
    <w:p>
      <w:pPr>
        <w:pStyle w:val="298"/>
        <w:ind w:firstLine="0" w:firstLineChars="0"/>
      </w:pPr>
    </w:p>
    <w:bookmarkEnd w:id="250"/>
    <w:p>
      <w:pPr>
        <w:pStyle w:val="196"/>
        <w:numPr>
          <w:ilvl w:val="3"/>
          <w:numId w:val="83"/>
        </w:numPr>
        <w:ind w:left="426" w:hanging="426"/>
      </w:pPr>
      <w:r>
        <w:rPr>
          <w:rFonts w:hint="eastAsia"/>
        </w:rPr>
        <w:t>本期存在终止确认的情况说明</w:t>
      </w:r>
    </w:p>
    <w:sdt>
      <w:sdtPr>
        <w:alias w:val="是否适用：本期存在终止确认的情况说明[双击切换]"/>
        <w:tag w:val="_GBC_27e93a66690f439284ed9d6df3a9bd6c"/>
        <w:id w:val="27040"/>
        <w:placeholder>
          <w:docPart w:val="GBC22222222222222222222222222222"/>
        </w:placeholder>
      </w:sdtPr>
      <w:sdtContent>
        <w:p>
          <w:pPr>
            <w:pStyle w:val="264"/>
            <w:ind w:firstLine="0" w:firstLineChars="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pStyle w:val="264"/>
        <w:ind w:firstLine="0" w:firstLineChars="0"/>
        <w:outlineLvl w:val="9"/>
      </w:pPr>
    </w:p>
    <w:p>
      <w:r>
        <w:rPr>
          <w:rFonts w:hint="eastAsia"/>
        </w:rPr>
        <w:t>其他</w:t>
      </w:r>
      <w:r>
        <w:t>说明</w:t>
      </w:r>
      <w:r>
        <w:rPr>
          <w:rFonts w:hint="eastAsia"/>
        </w:rPr>
        <w:t>：</w:t>
      </w:r>
    </w:p>
    <w:sdt>
      <w:sdtPr>
        <w:alias w:val="是否适用：其他权益工具投资其他说明[双击切换]"/>
        <w:tag w:val="_GBC_217dff5073ff4a12b86d342292038452"/>
        <w:id w:val="27041"/>
        <w:placeholder>
          <w:docPart w:val="GBC22222222222222222222222222222"/>
        </w:placeholder>
      </w:sdtPr>
      <w:sdtContent>
        <w:p>
          <w:pPr>
            <w:snapToGrid w:val="0"/>
            <w:spacing w:line="240" w:lineRule="atLeast"/>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ectPr>
          <w:pgSz w:w="16838" w:h="11906" w:orient="landscape"/>
          <w:pgMar w:top="1276" w:right="1440" w:bottom="1797" w:left="1525" w:header="856" w:footer="992" w:gutter="0"/>
          <w:cols w:space="425" w:num="1"/>
          <w:docGrid w:linePitch="312" w:charSpace="0"/>
        </w:sectPr>
      </w:pPr>
    </w:p>
    <w:p>
      <w:pPr>
        <w:pStyle w:val="229"/>
        <w:numPr>
          <w:ilvl w:val="0"/>
          <w:numId w:val="71"/>
        </w:numPr>
        <w:tabs>
          <w:tab w:val="left" w:pos="504"/>
        </w:tabs>
        <w:rPr>
          <w:szCs w:val="21"/>
        </w:rPr>
      </w:pPr>
      <w:bookmarkStart w:id="252" w:name="_Hlk533409746"/>
      <w:r>
        <w:rPr>
          <w:rFonts w:hint="eastAsia"/>
          <w:szCs w:val="21"/>
        </w:rPr>
        <w:t>其他非流动金融资产</w:t>
      </w:r>
    </w:p>
    <w:sdt>
      <w:sdtPr>
        <w:alias w:val="是否适用：其他非流动金融资产[双击切换]"/>
        <w:tag w:val="_GBC_6b599068045d444b87b686a3b6690bf1"/>
        <w:id w:val="2704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252"/>
    <w:p>
      <w:r>
        <w:rPr>
          <w:rFonts w:hint="eastAsia"/>
        </w:rPr>
        <w:t>其他</w:t>
      </w:r>
      <w:r>
        <w:t>说明</w:t>
      </w:r>
      <w:r>
        <w:rPr>
          <w:rFonts w:hint="eastAsia"/>
        </w:rPr>
        <w:t>：</w:t>
      </w:r>
    </w:p>
    <w:sdt>
      <w:sdtPr>
        <w:rPr>
          <w:szCs w:val="21"/>
        </w:rPr>
        <w:alias w:val="是否适用：其他非流动金融资产其他说明[双击切换]"/>
        <w:tag w:val="_GBC_037912ebdd3b4e80b4b66cf88f8cb3e7"/>
        <w:id w:val="27043"/>
        <w:placeholder>
          <w:docPart w:val="GBC22222222222222222222222222222"/>
        </w:placeholder>
      </w:sdtPr>
      <w:sdtEndPr>
        <w:rPr>
          <w:szCs w:val="21"/>
        </w:rPr>
      </w:sdtEndPr>
      <w:sdtContent>
        <w:p>
          <w:pPr>
            <w:snapToGrid w:val="0"/>
            <w:spacing w:line="240" w:lineRule="atLeast"/>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szCs w:val="21"/>
        </w:rPr>
      </w:pPr>
    </w:p>
    <w:p>
      <w:pPr>
        <w:pStyle w:val="229"/>
        <w:numPr>
          <w:ilvl w:val="0"/>
          <w:numId w:val="71"/>
        </w:numPr>
        <w:tabs>
          <w:tab w:val="left" w:pos="504"/>
        </w:tabs>
        <w:rPr>
          <w:rFonts w:ascii="宋体" w:hAnsi="宋体"/>
          <w:szCs w:val="21"/>
        </w:rPr>
      </w:pPr>
      <w:r>
        <w:rPr>
          <w:rFonts w:hint="eastAsia" w:ascii="宋体" w:hAnsi="宋体"/>
          <w:szCs w:val="21"/>
        </w:rPr>
        <w:t>投资性房地产</w:t>
      </w:r>
    </w:p>
    <w:p>
      <w:r>
        <w:t>投资性房地产</w:t>
      </w:r>
      <w:r>
        <w:rPr>
          <w:rFonts w:hint="eastAsia"/>
        </w:rPr>
        <w:t>计量模式</w:t>
      </w:r>
    </w:p>
    <w:p>
      <w:pPr>
        <w:pStyle w:val="196"/>
        <w:numPr>
          <w:ilvl w:val="3"/>
          <w:numId w:val="84"/>
        </w:numPr>
        <w:ind w:left="426" w:hanging="426"/>
      </w:pPr>
      <w:r>
        <w:rPr>
          <w:rFonts w:hint="eastAsia"/>
        </w:rPr>
        <w:t>采用成本计量模式的投资性房地产</w:t>
      </w:r>
    </w:p>
    <w:p>
      <w:pPr>
        <w:jc w:val="right"/>
        <w:rPr>
          <w:szCs w:val="21"/>
        </w:rPr>
      </w:pPr>
      <w:r>
        <w:rPr>
          <w:rFonts w:hint="eastAsia"/>
          <w:szCs w:val="21"/>
        </w:rPr>
        <w:t>单位：</w:t>
      </w:r>
      <w:sdt>
        <w:sdtPr>
          <w:rPr>
            <w:rFonts w:hint="eastAsia"/>
            <w:szCs w:val="21"/>
          </w:rPr>
          <w:alias w:val="单位：财务附注：投资性房地产"/>
          <w:tag w:val="_GBC_eb1db4bb3f154f52938b7c4bb5edbd80"/>
          <w:id w:val="270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270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1"/>
        <w:gridCol w:w="1593"/>
        <w:gridCol w:w="1593"/>
        <w:gridCol w:w="1564"/>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hint="default" w:ascii="Times New Roman" w:hAnsi="Times New Roman" w:cs="Times New Roman"/>
              <w:sz w:val="21"/>
              <w:szCs w:val="21"/>
            </w:rPr>
            <w:tag w:val="_PLD_6c12dd4f07e84f0eb6257919933bd416"/>
            <w:id w:val="27046"/>
          </w:sdtPr>
          <w:sdtEndPr>
            <w:rPr>
              <w:rFonts w:hint="default" w:ascii="Times New Roman" w:hAnsi="Times New Roman" w:cs="Times New Roman"/>
              <w:sz w:val="21"/>
              <w:szCs w:val="21"/>
            </w:rPr>
          </w:sdtEndPr>
          <w:sdtContent>
            <w:tc>
              <w:tcPr>
                <w:tcW w:w="15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sdtContent>
        </w:sdt>
        <w:sdt>
          <w:sdtPr>
            <w:rPr>
              <w:rFonts w:hint="default" w:ascii="Times New Roman" w:hAnsi="Times New Roman" w:cs="Times New Roman"/>
              <w:sz w:val="21"/>
              <w:szCs w:val="21"/>
            </w:rPr>
            <w:tag w:val="_PLD_4d654f9f882a4621a32482a463b6b80f"/>
            <w:id w:val="27047"/>
          </w:sdtPr>
          <w:sdtEndPr>
            <w:rPr>
              <w:rFonts w:hint="default" w:ascii="Times New Roman" w:hAnsi="Times New Roman" w:cs="Times New Roman"/>
              <w:sz w:val="21"/>
              <w:szCs w:val="21"/>
            </w:rPr>
          </w:sdtEndPr>
          <w:sdtContent>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房屋、建筑物</w:t>
                </w:r>
              </w:p>
            </w:tc>
          </w:sdtContent>
        </w:sdt>
        <w:sdt>
          <w:sdtPr>
            <w:rPr>
              <w:rFonts w:hint="default" w:ascii="Times New Roman" w:hAnsi="Times New Roman" w:cs="Times New Roman"/>
              <w:sz w:val="21"/>
              <w:szCs w:val="21"/>
            </w:rPr>
            <w:tag w:val="_PLD_e67580bbd978417792c1b582fb588aa3"/>
            <w:id w:val="27048"/>
          </w:sdtPr>
          <w:sdtEndPr>
            <w:rPr>
              <w:rFonts w:hint="default" w:ascii="Times New Roman" w:hAnsi="Times New Roman" w:cs="Times New Roman"/>
              <w:sz w:val="21"/>
              <w:szCs w:val="21"/>
            </w:rPr>
          </w:sdtEndPr>
          <w:sdtContent>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土地使用权</w:t>
                </w:r>
              </w:p>
            </w:tc>
          </w:sdtContent>
        </w:sdt>
        <w:sdt>
          <w:sdtPr>
            <w:rPr>
              <w:rFonts w:hint="default" w:ascii="Times New Roman" w:hAnsi="Times New Roman" w:cs="Times New Roman"/>
              <w:sz w:val="21"/>
              <w:szCs w:val="21"/>
            </w:rPr>
            <w:tag w:val="_PLD_eb223d01b1084c2499e94e081206d3f5"/>
            <w:id w:val="27049"/>
          </w:sdtPr>
          <w:sdtEndPr>
            <w:rPr>
              <w:rFonts w:hint="default" w:ascii="Times New Roman" w:hAnsi="Times New Roman" w:cs="Times New Roman"/>
              <w:sz w:val="21"/>
              <w:szCs w:val="21"/>
            </w:rPr>
          </w:sdtEndPr>
          <w:sdtContent>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在建工程</w:t>
                </w:r>
              </w:p>
            </w:tc>
          </w:sdtContent>
        </w:sdt>
        <w:sdt>
          <w:sdtPr>
            <w:rPr>
              <w:rFonts w:hint="default" w:ascii="Times New Roman" w:hAnsi="Times New Roman" w:cs="Times New Roman"/>
              <w:sz w:val="21"/>
              <w:szCs w:val="21"/>
            </w:rPr>
            <w:tag w:val="_PLD_fd303a2077a34c63b3d342e813f2cfd7"/>
            <w:id w:val="27050"/>
          </w:sdtPr>
          <w:sdtEndPr>
            <w:rPr>
              <w:rFonts w:hint="default" w:ascii="Times New Roman" w:hAnsi="Times New Roman" w:cs="Times New Roman"/>
              <w:sz w:val="21"/>
              <w:szCs w:val="21"/>
            </w:rPr>
          </w:sdtEndPr>
          <w:sdtContent>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hint="default" w:ascii="Times New Roman" w:hAnsi="Times New Roman" w:cs="Times New Roman"/>
              <w:sz w:val="21"/>
              <w:szCs w:val="21"/>
            </w:rPr>
            <w:tag w:val="_PLD_a195350d4b924a2ab316232cbfe918bf"/>
            <w:id w:val="27051"/>
          </w:sdtPr>
          <w:sdtEndPr>
            <w:rPr>
              <w:rFonts w:hint="default" w:ascii="Times New Roman" w:hAnsi="Times New Roman" w:cs="Times New Roman"/>
              <w:sz w:val="21"/>
              <w:szCs w:val="21"/>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 w:val="21"/>
                    <w:szCs w:val="21"/>
                  </w:rPr>
                </w:pPr>
                <w:r>
                  <w:rPr>
                    <w:rFonts w:hint="default" w:ascii="Times New Roman" w:hAnsi="Times New Roman" w:cs="Times New Roman"/>
                    <w:sz w:val="21"/>
                    <w:szCs w:val="21"/>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1.期初余额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57,668,807.32 </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Times New Roman" w:hAnsi="Times New Roman" w:cs="Times New Roman"/>
                <w:sz w:val="21"/>
                <w:szCs w:val="21"/>
              </w:rPr>
            </w:pPr>
            <w:r>
              <w:rPr>
                <w:rFonts w:hint="default" w:ascii="Times New Roman" w:hAnsi="Times New Roman" w:cs="Times New Roman"/>
                <w:sz w:val="21"/>
                <w:szCs w:val="21"/>
              </w:rPr>
              <w:t xml:space="preserve">57,668,807.32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2.本期增加金额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（1）外购</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（2）存货\固定资产\在建工程转入</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（3）企业合并增加</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3.本期减少金额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（1）处置</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（2）其他转出</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4.期末余额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57,668,807.32</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57,668,807.32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hint="default" w:ascii="Times New Roman" w:hAnsi="Times New Roman" w:cs="Times New Roman"/>
              <w:sz w:val="21"/>
              <w:szCs w:val="21"/>
            </w:rPr>
            <w:tag w:val="_PLD_3940980b8e4d4252a71ae8341bbdfc46"/>
            <w:id w:val="27052"/>
          </w:sdtPr>
          <w:sdtEndPr>
            <w:rPr>
              <w:rFonts w:hint="default" w:ascii="Times New Roman" w:hAnsi="Times New Roman" w:cs="Times New Roman"/>
              <w:sz w:val="21"/>
              <w:szCs w:val="21"/>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 w:val="21"/>
                    <w:szCs w:val="21"/>
                  </w:rPr>
                </w:pPr>
                <w:r>
                  <w:rPr>
                    <w:rFonts w:hint="default" w:ascii="Times New Roman" w:hAnsi="Times New Roman" w:cs="Times New Roman"/>
                    <w:sz w:val="21"/>
                    <w:szCs w:val="21"/>
                  </w:rPr>
                  <w:t>二、累计折旧和累计摊销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1.期初余额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10,966,524.09</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10,966,524.09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2.本期增加金额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1,158,648.87 </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1,158,648.87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（1）计提或摊销</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1,158,648.87 </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1,158,648.87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3.本期减少金额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（1）处置</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（2）其他转出</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4.期末余额</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12,125,172.96</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12,125,172.96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rPr>
              <w:rFonts w:hint="default" w:ascii="Times New Roman" w:hAnsi="Times New Roman" w:cs="Times New Roman"/>
              <w:sz w:val="21"/>
              <w:szCs w:val="21"/>
            </w:rPr>
            <w:tag w:val="_PLD_c10b5aad27764e4b8d082d8300c71859"/>
            <w:id w:val="27053"/>
          </w:sdtPr>
          <w:sdtEndPr>
            <w:rPr>
              <w:rFonts w:hint="default" w:ascii="Times New Roman" w:hAnsi="Times New Roman" w:cs="Times New Roman"/>
              <w:sz w:val="21"/>
              <w:szCs w:val="21"/>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 w:val="21"/>
                    <w:szCs w:val="21"/>
                  </w:rPr>
                </w:pPr>
                <w:r>
                  <w:rPr>
                    <w:rFonts w:hint="default" w:ascii="Times New Roman" w:hAnsi="Times New Roman" w:cs="Times New Roman"/>
                    <w:sz w:val="21"/>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1.期初余额</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2.本期增加金额</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（1）计提</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3、本期减少金额</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（1）处置</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（2）其他转出</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4.期末余额</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hint="default" w:ascii="Times New Roman" w:hAnsi="Times New Roman" w:cs="Times New Roman"/>
              <w:sz w:val="21"/>
              <w:szCs w:val="21"/>
            </w:rPr>
            <w:tag w:val="_PLD_5ad25d173a164f90a33b80cf52189833"/>
            <w:id w:val="27054"/>
          </w:sdtPr>
          <w:sdtEndPr>
            <w:rPr>
              <w:rFonts w:hint="default" w:ascii="Times New Roman" w:hAnsi="Times New Roman" w:cs="Times New Roman"/>
              <w:sz w:val="21"/>
              <w:szCs w:val="21"/>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 w:val="21"/>
                    <w:szCs w:val="21"/>
                  </w:rPr>
                </w:pPr>
                <w:r>
                  <w:rPr>
                    <w:rFonts w:hint="default" w:ascii="Times New Roman" w:hAnsi="Times New Roman" w:cs="Times New Roman"/>
                    <w:sz w:val="21"/>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1.期末账面价值</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45,543,634.36 </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45,543,634.36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54"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hint="default" w:ascii="Times New Roman" w:hAnsi="Times New Roman" w:cs="Times New Roman"/>
                <w:sz w:val="21"/>
                <w:szCs w:val="21"/>
              </w:rPr>
            </w:pPr>
            <w:r>
              <w:rPr>
                <w:rFonts w:hint="default" w:ascii="Times New Roman" w:hAnsi="Times New Roman" w:cs="Times New Roman"/>
                <w:sz w:val="21"/>
                <w:szCs w:val="21"/>
              </w:rPr>
              <w:t>2.期初账面价值</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 46,702,283.23</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46,702,283.23</w:t>
            </w:r>
          </w:p>
        </w:tc>
      </w:tr>
    </w:tbl>
    <w:p>
      <w:pPr>
        <w:rPr>
          <w:rFonts w:cstheme="minorBidi"/>
          <w:kern w:val="2"/>
          <w:szCs w:val="21"/>
        </w:rPr>
      </w:pPr>
    </w:p>
    <w:p>
      <w:pPr>
        <w:pStyle w:val="196"/>
        <w:numPr>
          <w:ilvl w:val="3"/>
          <w:numId w:val="84"/>
        </w:numPr>
        <w:ind w:left="426" w:hanging="426"/>
      </w:pPr>
      <w:r>
        <w:rPr>
          <w:rFonts w:hint="eastAsia"/>
        </w:rPr>
        <w:t>未办妥产权证书的投资性房地产情况</w:t>
      </w:r>
    </w:p>
    <w:p>
      <w:sdt>
        <w:sdtPr>
          <w:alias w:val="是否适用：未办妥产权证书的投资性房地产情况[双击切换]"/>
          <w:tag w:val="_GBC_31ec2c57d73a48d2816267a8606d05e0"/>
          <w:id w:val="27055"/>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pPr>
    </w:p>
    <w:p>
      <w:pPr>
        <w:pStyle w:val="196"/>
        <w:numPr>
          <w:ilvl w:val="3"/>
          <w:numId w:val="84"/>
        </w:numPr>
        <w:ind w:left="426" w:hanging="426"/>
      </w:pPr>
      <w:bookmarkStart w:id="253" w:name="_Hlk153460290"/>
      <w:r>
        <w:rPr>
          <w:rFonts w:hint="eastAsia"/>
        </w:rPr>
        <w:t>采用成本计量模式的投资性房地产的减值测试情况</w:t>
      </w:r>
    </w:p>
    <w:sdt>
      <w:sdtPr>
        <w:alias w:val="是否适用：减值测试情况[双击切换]"/>
        <w:tag w:val="_GBC_373a9d68c3e14bb29f489d169fab52f2"/>
        <w:id w:val="27056"/>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53"/>
    <w:p>
      <w:pPr>
        <w:ind w:left="-2" w:leftChars="-21" w:hanging="42" w:hangingChars="20"/>
        <w:rPr>
          <w:szCs w:val="21"/>
        </w:rPr>
      </w:pPr>
      <w:bookmarkStart w:id="254" w:name="_Hlk152860822"/>
      <w:r>
        <w:rPr>
          <w:rFonts w:hint="eastAsia"/>
          <w:szCs w:val="21"/>
        </w:rPr>
        <w:t>其他说明</w:t>
      </w:r>
    </w:p>
    <w:sdt>
      <w:sdtPr>
        <w:rPr>
          <w:szCs w:val="21"/>
        </w:rPr>
        <w:alias w:val="是否适用：投资性房地产的说明[双击切换]"/>
        <w:tag w:val="_GBC_06b6501d8ce04b8993205409ee63cc68"/>
        <w:id w:val="2705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cstheme="minorBidi"/>
          <w:kern w:val="2"/>
          <w:szCs w:val="21"/>
        </w:rPr>
      </w:pPr>
    </w:p>
    <w:bookmarkEnd w:id="254"/>
    <w:p>
      <w:pPr>
        <w:pStyle w:val="229"/>
        <w:numPr>
          <w:ilvl w:val="0"/>
          <w:numId w:val="71"/>
        </w:numPr>
        <w:tabs>
          <w:tab w:val="left" w:pos="504"/>
        </w:tabs>
        <w:rPr>
          <w:rFonts w:ascii="宋体" w:hAnsi="宋体"/>
          <w:szCs w:val="21"/>
        </w:rPr>
      </w:pPr>
      <w:r>
        <w:rPr>
          <w:rFonts w:hint="eastAsia" w:ascii="宋体" w:hAnsi="宋体"/>
          <w:szCs w:val="21"/>
        </w:rPr>
        <w:t>固定资产</w:t>
      </w:r>
    </w:p>
    <w:p>
      <w:pPr>
        <w:pStyle w:val="196"/>
      </w:pPr>
      <w:bookmarkStart w:id="255" w:name="_Hlk532907583"/>
      <w:r>
        <w:rPr>
          <w:rFonts w:hint="eastAsia"/>
        </w:rPr>
        <w:t>项目列示</w:t>
      </w:r>
    </w:p>
    <w:sdt>
      <w:sdtPr>
        <w:alias w:val="是否适用：固定资产分类列示[双击切换]"/>
        <w:tag w:val="_GBC_aa56cf68790e4b9d866b3ea7d6d8073d"/>
        <w:id w:val="27058"/>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固定资产分类列示"/>
          <w:tag w:val="_GBC_857b5f6755c84b5aa235351580358065"/>
          <w:id w:val="270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270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16800"/>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6801"/>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a075f0130f1f4334b8370490adf71764"/>
            <w:id w:val="16802"/>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color w:val="auto"/>
              </w:rPr>
              <w:t>282,370,480.92</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color w:val="auto"/>
              </w:rPr>
              <w:t>282,722,294.49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t> </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color w:val="auto"/>
              </w:rPr>
              <w:t>282,370,480.92</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color w:val="auto"/>
              </w:rPr>
              <w:t>282,722,294.49</w:t>
            </w:r>
          </w:p>
        </w:tc>
      </w:tr>
    </w:tbl>
    <w:p/>
    <w:p>
      <w:pPr>
        <w:rPr>
          <w:b/>
        </w:rPr>
      </w:pPr>
    </w:p>
    <w:bookmarkEnd w:id="255"/>
    <w:p>
      <w:pPr>
        <w:rPr>
          <w:szCs w:val="21"/>
        </w:rPr>
      </w:pPr>
      <w:r>
        <w:rPr>
          <w:rFonts w:hint="eastAsia"/>
          <w:szCs w:val="21"/>
        </w:rPr>
        <w:t>其他说明：</w:t>
      </w:r>
    </w:p>
    <w:sdt>
      <w:sdtPr>
        <w:rPr>
          <w:szCs w:val="21"/>
        </w:rPr>
        <w:alias w:val="是否适用：固定资产分类列示其他说明[双击切换]"/>
        <w:tag w:val="_GBC_242c272ba3a1435aacea1f45ade5a2e0"/>
        <w:id w:val="2706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ind w:left="360" w:hanging="360"/>
      </w:pPr>
      <w:r>
        <w:rPr>
          <w:rFonts w:hint="eastAsia"/>
        </w:rPr>
        <w:t>固定资产</w:t>
      </w:r>
    </w:p>
    <w:p>
      <w:pPr>
        <w:pStyle w:val="203"/>
        <w:numPr>
          <w:ilvl w:val="0"/>
          <w:numId w:val="85"/>
        </w:numPr>
        <w:ind w:leftChars="0"/>
      </w:pPr>
      <w:r>
        <w:rPr>
          <w:rFonts w:hint="eastAsia"/>
        </w:rPr>
        <w:t>固定资产情况</w:t>
      </w:r>
    </w:p>
    <w:sdt>
      <w:sdtPr>
        <w:alias w:val="是否适用：固定资产情况[双击切换]"/>
        <w:tag w:val="_GBC_a44afb7019ae43b7a273970cf76154a3"/>
        <w:id w:val="27065"/>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70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270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658"/>
        <w:gridCol w:w="1539"/>
        <w:gridCol w:w="1539"/>
        <w:gridCol w:w="1329"/>
        <w:gridCol w:w="143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0431b88b9ff14ebb90e5715c273e1c1d"/>
            <w:id w:val="16913"/>
          </w:sdtPr>
          <w:sdtEndPr>
            <w:rPr>
              <w:rFonts w:ascii="Times New Roman" w:hAnsi="Times New Roman"/>
            </w:rPr>
          </w:sdtEndPr>
          <w:sdtContent>
            <w:tc>
              <w:tcPr>
                <w:tcW w:w="916" w:type="pct"/>
                <w:shd w:val="clear" w:color="auto" w:fill="auto"/>
                <w:vAlign w:val="center"/>
              </w:tcPr>
              <w:p>
                <w:pPr>
                  <w:jc w:val="center"/>
                  <w:rPr>
                    <w:rFonts w:ascii="Times New Roman" w:hAnsi="Times New Roman"/>
                  </w:rPr>
                </w:pPr>
                <w:r>
                  <w:rPr>
                    <w:rFonts w:hint="eastAsia" w:ascii="Times New Roman" w:hAnsi="Times New Roman"/>
                  </w:rPr>
                  <w:t>项目</w:t>
                </w:r>
              </w:p>
            </w:tc>
          </w:sdtContent>
        </w:sdt>
        <w:sdt>
          <w:sdtPr>
            <w:rPr>
              <w:rFonts w:hint="eastAsia" w:ascii="Times New Roman" w:hAnsi="Times New Roman"/>
            </w:rPr>
            <w:alias w:val="固定资产情况明细-项目名称"/>
            <w:tag w:val="_GBC_d421638fcfb34bbba0e548b4cb719a06"/>
            <w:id w:val="16914"/>
            <w:text/>
          </w:sdtPr>
          <w:sdtEndPr>
            <w:rPr>
              <w:rFonts w:hint="eastAsia" w:ascii="Times New Roman" w:hAnsi="Times New Roman"/>
            </w:rPr>
          </w:sdtEndPr>
          <w:sdtContent>
            <w:tc>
              <w:tcPr>
                <w:tcW w:w="849" w:type="pct"/>
                <w:shd w:val="clear" w:color="auto" w:fill="auto"/>
                <w:vAlign w:val="center"/>
              </w:tcPr>
              <w:p>
                <w:pPr>
                  <w:jc w:val="center"/>
                  <w:rPr>
                    <w:rFonts w:ascii="Times New Roman" w:hAnsi="Times New Roman"/>
                  </w:rPr>
                </w:pPr>
                <w:r>
                  <w:rPr>
                    <w:rFonts w:hint="eastAsia" w:ascii="Times New Roman" w:hAnsi="Times New Roman"/>
                  </w:rPr>
                  <w:t>房屋及建筑物</w:t>
                </w:r>
              </w:p>
            </w:tc>
          </w:sdtContent>
        </w:sdt>
        <w:sdt>
          <w:sdtPr>
            <w:rPr>
              <w:rFonts w:hint="eastAsia" w:ascii="Times New Roman" w:hAnsi="Times New Roman"/>
            </w:rPr>
            <w:alias w:val="固定资产情况明细-项目名称"/>
            <w:tag w:val="_GBC_d421638fcfb34bbba0e548b4cb719a06"/>
            <w:id w:val="16915"/>
            <w:text/>
          </w:sdtPr>
          <w:sdtEndPr>
            <w:rPr>
              <w:rFonts w:hint="eastAsia" w:ascii="Times New Roman" w:hAnsi="Times New Roman"/>
            </w:rPr>
          </w:sdtEndPr>
          <w:sdtContent>
            <w:tc>
              <w:tcPr>
                <w:tcW w:w="849" w:type="pct"/>
                <w:shd w:val="clear" w:color="auto" w:fill="auto"/>
                <w:vAlign w:val="center"/>
              </w:tcPr>
              <w:p>
                <w:pPr>
                  <w:jc w:val="center"/>
                  <w:rPr>
                    <w:rFonts w:ascii="Times New Roman" w:hAnsi="Times New Roman"/>
                  </w:rPr>
                </w:pPr>
                <w:r>
                  <w:rPr>
                    <w:rFonts w:hint="eastAsia" w:ascii="Times New Roman" w:hAnsi="Times New Roman"/>
                  </w:rPr>
                  <w:t>机器设备</w:t>
                </w:r>
              </w:p>
            </w:tc>
          </w:sdtContent>
        </w:sdt>
        <w:sdt>
          <w:sdtPr>
            <w:rPr>
              <w:rFonts w:hint="eastAsia" w:ascii="Times New Roman" w:hAnsi="Times New Roman"/>
            </w:rPr>
            <w:alias w:val="固定资产情况明细-项目名称"/>
            <w:tag w:val="_GBC_d421638fcfb34bbba0e548b4cb719a06"/>
            <w:id w:val="16916"/>
            <w:text/>
          </w:sdtPr>
          <w:sdtEndPr>
            <w:rPr>
              <w:rFonts w:hint="eastAsia" w:ascii="Times New Roman" w:hAnsi="Times New Roman"/>
            </w:rPr>
          </w:sdtEndPr>
          <w:sdtContent>
            <w:tc>
              <w:tcPr>
                <w:tcW w:w="733" w:type="pct"/>
                <w:shd w:val="clear" w:color="auto" w:fill="auto"/>
                <w:vAlign w:val="center"/>
              </w:tcPr>
              <w:p>
                <w:pPr>
                  <w:jc w:val="center"/>
                  <w:rPr>
                    <w:rFonts w:ascii="Times New Roman" w:hAnsi="Times New Roman"/>
                  </w:rPr>
                </w:pPr>
                <w:r>
                  <w:rPr>
                    <w:rFonts w:hint="eastAsia" w:ascii="Times New Roman" w:hAnsi="Times New Roman"/>
                  </w:rPr>
                  <w:t>运输工具</w:t>
                </w:r>
              </w:p>
            </w:tc>
          </w:sdtContent>
        </w:sdt>
        <w:sdt>
          <w:sdtPr>
            <w:rPr>
              <w:rFonts w:hint="eastAsia" w:ascii="Times New Roman" w:hAnsi="Times New Roman"/>
            </w:rPr>
            <w:alias w:val="固定资产情况明细-项目名称"/>
            <w:tag w:val="_GBC_d421638fcfb34bbba0e548b4cb719a06"/>
            <w:id w:val="16917"/>
            <w:text/>
          </w:sdtPr>
          <w:sdtEndPr>
            <w:rPr>
              <w:rFonts w:hint="eastAsia" w:ascii="Times New Roman" w:hAnsi="Times New Roman"/>
            </w:rPr>
          </w:sdtEndPr>
          <w:sdtContent>
            <w:tc>
              <w:tcPr>
                <w:tcW w:w="791" w:type="pct"/>
                <w:shd w:val="clear" w:color="auto" w:fill="auto"/>
                <w:vAlign w:val="center"/>
              </w:tcPr>
              <w:p>
                <w:pPr>
                  <w:jc w:val="center"/>
                  <w:rPr>
                    <w:rFonts w:ascii="Times New Roman" w:hAnsi="Times New Roman"/>
                  </w:rPr>
                </w:pPr>
                <w:r>
                  <w:rPr>
                    <w:rFonts w:hint="eastAsia" w:ascii="Times New Roman" w:hAnsi="Times New Roman" w:cs="宋体"/>
                    <w:color w:val="000000"/>
                    <w:kern w:val="0"/>
                    <w:sz w:val="18"/>
                    <w:szCs w:val="18"/>
                  </w:rPr>
                  <w:t>其他设备</w:t>
                </w:r>
              </w:p>
            </w:tc>
          </w:sdtContent>
        </w:sdt>
        <w:sdt>
          <w:sdtPr>
            <w:rPr>
              <w:rFonts w:ascii="Times New Roman" w:hAnsi="Times New Roman"/>
            </w:rPr>
            <w:tag w:val="_PLD_44989fc4cd3d46cc990c4d1941405a11"/>
            <w:id w:val="16918"/>
          </w:sdtPr>
          <w:sdtEndPr>
            <w:rPr>
              <w:rFonts w:ascii="Times New Roman" w:hAnsi="Times New Roman"/>
            </w:rPr>
          </w:sdtEndPr>
          <w:sdtContent>
            <w:tc>
              <w:tcPr>
                <w:tcW w:w="859" w:type="pct"/>
                <w:shd w:val="clear" w:color="auto" w:fill="auto"/>
                <w:vAlign w:val="center"/>
              </w:tcPr>
              <w:p>
                <w:pPr>
                  <w:jc w:val="center"/>
                  <w:rPr>
                    <w:rFonts w:ascii="Times New Roman" w:hAnsi="Times New Roman"/>
                  </w:rPr>
                </w:pPr>
                <w:r>
                  <w:rPr>
                    <w:rFonts w:hint="eastAsia" w:ascii="Times New Roman" w:hAnsi="Times New Roma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baa91289996942f0a3579319b339b24d"/>
            <w:id w:val="16919"/>
          </w:sdtPr>
          <w:sdtEndPr>
            <w:rPr>
              <w:rFonts w:ascii="Times New Roman" w:hAnsi="Times New Roman"/>
            </w:rPr>
          </w:sdtEndPr>
          <w:sdtContent>
            <w:tc>
              <w:tcPr>
                <w:tcW w:w="5000" w:type="pct"/>
                <w:gridSpan w:val="6"/>
                <w:shd w:val="clear" w:color="auto" w:fill="auto"/>
              </w:tcPr>
              <w:p>
                <w:pPr>
                  <w:rPr>
                    <w:rFonts w:ascii="Times New Roman" w:hAnsi="Times New Roman"/>
                  </w:rPr>
                </w:pPr>
                <w:r>
                  <w:rPr>
                    <w:rFonts w:hint="eastAsia" w:ascii="Times New Roman" w:hAnsi="Times New Roman"/>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ascii="Times New Roman" w:hAnsi="Times New Roman"/>
              </w:rPr>
              <w:t>1.</w:t>
            </w:r>
            <w:r>
              <w:rPr>
                <w:rFonts w:hint="eastAsia" w:ascii="Times New Roman" w:hAnsi="Times New Roman"/>
              </w:rPr>
              <w:t>期初余额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358,057,339.28</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323,461,976.84</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7,877,047.73</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17,375,842.85</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706,772,206.70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ascii="Times New Roman" w:hAnsi="Times New Roman"/>
              </w:rPr>
              <w:t>2.</w:t>
            </w:r>
            <w:r>
              <w:rPr>
                <w:rFonts w:hint="eastAsia" w:ascii="Times New Roman" w:hAnsi="Times New Roman"/>
              </w:rPr>
              <w:t>本期增加金额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1,348,862.88</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18,233,567.16</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808,692.94</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2,105,200.64</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22,496,323.62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（1）购置</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1,348,862.88</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14,255,636.11</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808,692.94</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2,105,200.64</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18,518,392.57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（2）在建工程转入</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3,977,931.05</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3,977,931.05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（3）企业合并增加</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ascii="Times New Roman" w:hAnsi="Times New Roman"/>
              </w:rPr>
            </w:pPr>
          </w:p>
        </w:tc>
        <w:tc>
          <w:tcPr>
            <w:tcW w:w="733" w:type="pct"/>
            <w:shd w:val="clear" w:color="auto" w:fill="auto"/>
            <w:vAlign w:val="center"/>
          </w:tcPr>
          <w:p>
            <w:pPr>
              <w:jc w:val="right"/>
              <w:rPr>
                <w:rFonts w:ascii="Times New Roman" w:hAnsi="Times New Roman"/>
              </w:rPr>
            </w:pPr>
          </w:p>
        </w:tc>
        <w:tc>
          <w:tcPr>
            <w:tcW w:w="791" w:type="pct"/>
            <w:shd w:val="clear" w:color="auto" w:fill="auto"/>
            <w:vAlign w:val="center"/>
          </w:tcPr>
          <w:p>
            <w:pPr>
              <w:jc w:val="right"/>
              <w:rPr>
                <w:rFonts w:ascii="Times New Roman" w:hAnsi="Times New Roman"/>
              </w:rPr>
            </w:pPr>
          </w:p>
        </w:tc>
        <w:tc>
          <w:tcPr>
            <w:tcW w:w="859" w:type="pct"/>
            <w:shd w:val="clear" w:color="auto" w:fill="auto"/>
            <w:vAlign w:val="center"/>
          </w:tcPr>
          <w:p>
            <w:pPr>
              <w:jc w:val="righ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ind w:firstLine="424" w:firstLineChars="202"/>
              <w:rPr>
                <w:rFonts w:ascii="Times New Roman" w:hAnsi="Times New Roman"/>
              </w:rPr>
            </w:pPr>
            <w:r>
              <w:rPr>
                <w:rFonts w:hint="eastAsia" w:ascii="Times New Roman" w:hAnsi="Times New Roman"/>
              </w:rPr>
              <w:t>3.本期减少金额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214,328.02</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6,985,393.83</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641,094.24</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555,294.57</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8,396,110.66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（1）处置或报废</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214,328.02</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6,985,393.83</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641,094.24</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555,294.57</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8,396,110.66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ind w:firstLine="420" w:firstLineChars="200"/>
              <w:rPr>
                <w:rFonts w:ascii="Times New Roman" w:hAnsi="Times New Roman"/>
              </w:rPr>
            </w:pPr>
            <w:r>
              <w:rPr>
                <w:rFonts w:hint="eastAsia" w:ascii="Times New Roman" w:hAnsi="Times New Roman"/>
              </w:rPr>
              <w:t>4.期末余额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359,191,874.14</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334,710,150.17</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8,044,646.43</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18,925,748.92</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720,872,419.66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default" w:ascii="Times New Roman" w:hAnsi="Times New Roman" w:cs="Times New Roman"/>
            </w:rPr>
            <w:tag w:val="_PLD_14f44e7a4341414ca27a4047f9622e44"/>
            <w:id w:val="16920"/>
          </w:sdtPr>
          <w:sdtEndPr>
            <w:rPr>
              <w:rFonts w:hint="default" w:ascii="Times New Roman" w:hAnsi="Times New Roman" w:cs="Times New Roman"/>
            </w:rPr>
          </w:sdtEndPr>
          <w:sdtContent>
            <w:tc>
              <w:tcPr>
                <w:tcW w:w="5000" w:type="pct"/>
                <w:gridSpan w:val="6"/>
                <w:shd w:val="clear" w:color="auto" w:fill="auto"/>
              </w:tcPr>
              <w:p>
                <w:pPr>
                  <w:rPr>
                    <w:rFonts w:hint="default" w:ascii="Times New Roman" w:hAnsi="Times New Roman" w:cs="Times New Roman"/>
                  </w:rPr>
                </w:pPr>
                <w:r>
                  <w:rPr>
                    <w:rFonts w:hint="default" w:ascii="Times New Roman" w:hAnsi="Times New Roman" w:cs="Times New Roman"/>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ascii="Times New Roman" w:hAnsi="Times New Roman"/>
              </w:rPr>
              <w:t>1.</w:t>
            </w:r>
            <w:r>
              <w:rPr>
                <w:rFonts w:hint="eastAsia" w:ascii="Times New Roman" w:hAnsi="Times New Roman"/>
              </w:rPr>
              <w:t>期初余额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148,005,705.66</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254,813,492.91</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6,639,666.19</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14,330,977.43</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423,789,842.19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ascii="Times New Roman" w:hAnsi="Times New Roman"/>
              </w:rPr>
              <w:t>2.</w:t>
            </w:r>
            <w:r>
              <w:rPr>
                <w:rFonts w:hint="eastAsia" w:ascii="Times New Roman" w:hAnsi="Times New Roman"/>
              </w:rPr>
              <w:t>本期增加金额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11,296,410.65</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8,719,498.66</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297,233.06</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1,479,011.93</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21,792,154.30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（1）计提</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11,296,410.65</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8,719,498.66</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297,233.06</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1,479,011.93</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21,792,154.30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3.本期减少金额</w:t>
            </w:r>
          </w:p>
        </w:tc>
        <w:tc>
          <w:tcPr>
            <w:tcW w:w="849" w:type="pct"/>
            <w:shd w:val="clear" w:color="auto" w:fill="auto"/>
            <w:vAlign w:val="center"/>
          </w:tcPr>
          <w:p>
            <w:pPr>
              <w:jc w:val="right"/>
              <w:rPr>
                <w:rFonts w:hint="default" w:ascii="Times New Roman" w:hAnsi="Times New Roman" w:cs="Times New Roman"/>
              </w:rPr>
            </w:pP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6,175,793.67</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609,039.53</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555,294.57</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7,340,127.77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（1）处置或报废</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6,175,793.67</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609,039.53</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555,294.57</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7,340,127.77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ind w:firstLine="420" w:firstLineChars="200"/>
              <w:rPr>
                <w:rFonts w:ascii="Times New Roman" w:hAnsi="Times New Roman"/>
              </w:rPr>
            </w:pPr>
            <w:r>
              <w:rPr>
                <w:rFonts w:hint="eastAsia" w:ascii="Times New Roman" w:hAnsi="Times New Roman"/>
              </w:rPr>
              <w:t>4.期末余额</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159,302,116.31</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257,357,197.90</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6,327,859.72</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15,254,694.79</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438,241,868.72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b98cd9e8075a44b28b16fc9fd4c3c81f"/>
            <w:id w:val="16921"/>
          </w:sdtPr>
          <w:sdtEndPr>
            <w:rPr>
              <w:rFonts w:ascii="Times New Roman" w:hAnsi="Times New Roman"/>
            </w:rPr>
          </w:sdtEndPr>
          <w:sdtContent>
            <w:tc>
              <w:tcPr>
                <w:tcW w:w="5000" w:type="pct"/>
                <w:gridSpan w:val="6"/>
                <w:shd w:val="clear" w:color="auto" w:fill="auto"/>
              </w:tcPr>
              <w:p>
                <w:pPr>
                  <w:rPr>
                    <w:rFonts w:ascii="Times New Roman" w:hAnsi="Times New Roman"/>
                  </w:rPr>
                </w:pPr>
                <w:r>
                  <w:rPr>
                    <w:rFonts w:hint="eastAsia" w:ascii="Times New Roman" w:hAnsi="Times New Roman"/>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ascii="Times New Roman" w:hAnsi="Times New Roman"/>
              </w:rPr>
              <w:t>1.</w:t>
            </w:r>
            <w:r>
              <w:rPr>
                <w:rFonts w:hint="eastAsia" w:ascii="Times New Roman" w:hAnsi="Times New Roman"/>
              </w:rPr>
              <w:t>期初余额</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248,793.26</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3,984.70</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7,292.06</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260,070.02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ascii="Times New Roman" w:hAnsi="Times New Roman"/>
              </w:rPr>
              <w:t>2.</w:t>
            </w:r>
            <w:r>
              <w:rPr>
                <w:rFonts w:hint="eastAsia" w:ascii="Times New Roman" w:hAnsi="Times New Roman"/>
              </w:rPr>
              <w:t>本期增加金额</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hint="default" w:ascii="Times New Roman" w:hAnsi="Times New Roman" w:cs="Times New Roman"/>
              </w:rPr>
            </w:pPr>
          </w:p>
        </w:tc>
        <w:tc>
          <w:tcPr>
            <w:tcW w:w="733" w:type="pct"/>
            <w:shd w:val="clear" w:color="auto" w:fill="auto"/>
            <w:vAlign w:val="center"/>
          </w:tcPr>
          <w:p>
            <w:pPr>
              <w:jc w:val="right"/>
              <w:rPr>
                <w:rFonts w:hint="default" w:ascii="Times New Roman" w:hAnsi="Times New Roman" w:cs="Times New Roman"/>
              </w:rPr>
            </w:pPr>
          </w:p>
        </w:tc>
        <w:tc>
          <w:tcPr>
            <w:tcW w:w="791" w:type="pct"/>
            <w:shd w:val="clear" w:color="auto" w:fill="auto"/>
            <w:vAlign w:val="center"/>
          </w:tcPr>
          <w:p>
            <w:pPr>
              <w:jc w:val="right"/>
              <w:rPr>
                <w:rFonts w:hint="default" w:ascii="Times New Roman" w:hAnsi="Times New Roman" w:cs="Times New Roman"/>
              </w:rPr>
            </w:pPr>
          </w:p>
        </w:tc>
        <w:tc>
          <w:tcPr>
            <w:tcW w:w="859"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（1）计提</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hint="default" w:ascii="Times New Roman" w:hAnsi="Times New Roman" w:cs="Times New Roman"/>
              </w:rPr>
            </w:pPr>
          </w:p>
        </w:tc>
        <w:tc>
          <w:tcPr>
            <w:tcW w:w="733" w:type="pct"/>
            <w:shd w:val="clear" w:color="auto" w:fill="auto"/>
            <w:vAlign w:val="center"/>
          </w:tcPr>
          <w:p>
            <w:pPr>
              <w:jc w:val="right"/>
              <w:rPr>
                <w:rFonts w:hint="default" w:ascii="Times New Roman" w:hAnsi="Times New Roman" w:cs="Times New Roman"/>
              </w:rPr>
            </w:pPr>
          </w:p>
        </w:tc>
        <w:tc>
          <w:tcPr>
            <w:tcW w:w="791" w:type="pct"/>
            <w:shd w:val="clear" w:color="auto" w:fill="auto"/>
            <w:vAlign w:val="center"/>
          </w:tcPr>
          <w:p>
            <w:pPr>
              <w:jc w:val="right"/>
              <w:rPr>
                <w:rFonts w:hint="default" w:ascii="Times New Roman" w:hAnsi="Times New Roman" w:cs="Times New Roman"/>
              </w:rPr>
            </w:pPr>
          </w:p>
        </w:tc>
        <w:tc>
          <w:tcPr>
            <w:tcW w:w="859"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3.本期减少金额</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hint="default" w:ascii="Times New Roman" w:hAnsi="Times New Roman" w:cs="Times New Roman"/>
              </w:rPr>
            </w:pPr>
          </w:p>
        </w:tc>
        <w:tc>
          <w:tcPr>
            <w:tcW w:w="733" w:type="pct"/>
            <w:shd w:val="clear" w:color="auto" w:fill="auto"/>
            <w:vAlign w:val="center"/>
          </w:tcPr>
          <w:p>
            <w:pPr>
              <w:jc w:val="right"/>
              <w:rPr>
                <w:rFonts w:hint="default" w:ascii="Times New Roman" w:hAnsi="Times New Roman" w:cs="Times New Roman"/>
              </w:rPr>
            </w:pPr>
          </w:p>
        </w:tc>
        <w:tc>
          <w:tcPr>
            <w:tcW w:w="791" w:type="pct"/>
            <w:shd w:val="clear" w:color="auto" w:fill="auto"/>
            <w:vAlign w:val="center"/>
          </w:tcPr>
          <w:p>
            <w:pPr>
              <w:jc w:val="right"/>
              <w:rPr>
                <w:rFonts w:hint="default" w:ascii="Times New Roman" w:hAnsi="Times New Roman" w:cs="Times New Roman"/>
              </w:rPr>
            </w:pPr>
          </w:p>
        </w:tc>
        <w:tc>
          <w:tcPr>
            <w:tcW w:w="859"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（1）处置或报废</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hint="default" w:ascii="Times New Roman" w:hAnsi="Times New Roman" w:cs="Times New Roman"/>
              </w:rPr>
            </w:pPr>
          </w:p>
        </w:tc>
        <w:tc>
          <w:tcPr>
            <w:tcW w:w="733" w:type="pct"/>
            <w:shd w:val="clear" w:color="auto" w:fill="auto"/>
            <w:vAlign w:val="center"/>
          </w:tcPr>
          <w:p>
            <w:pPr>
              <w:jc w:val="right"/>
              <w:rPr>
                <w:rFonts w:hint="default" w:ascii="Times New Roman" w:hAnsi="Times New Roman" w:cs="Times New Roman"/>
              </w:rPr>
            </w:pPr>
          </w:p>
        </w:tc>
        <w:tc>
          <w:tcPr>
            <w:tcW w:w="791" w:type="pct"/>
            <w:shd w:val="clear" w:color="auto" w:fill="auto"/>
            <w:vAlign w:val="center"/>
          </w:tcPr>
          <w:p>
            <w:pPr>
              <w:jc w:val="right"/>
              <w:rPr>
                <w:rFonts w:hint="default" w:ascii="Times New Roman" w:hAnsi="Times New Roman" w:cs="Times New Roman"/>
              </w:rPr>
            </w:pPr>
          </w:p>
        </w:tc>
        <w:tc>
          <w:tcPr>
            <w:tcW w:w="859"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4.期末余额</w:t>
            </w:r>
          </w:p>
        </w:tc>
        <w:tc>
          <w:tcPr>
            <w:tcW w:w="849" w:type="pct"/>
            <w:shd w:val="clear" w:color="auto" w:fill="auto"/>
            <w:vAlign w:val="center"/>
          </w:tcPr>
          <w:p>
            <w:pPr>
              <w:jc w:val="right"/>
              <w:rPr>
                <w:rFonts w:ascii="Times New Roman" w:hAnsi="Times New Roman"/>
              </w:rPr>
            </w:pP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248,793.26</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3,984.70</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7,292.06</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260,070.02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e1d51c426bd84ffbb9a1a19b00d3b374"/>
            <w:id w:val="16922"/>
          </w:sdtPr>
          <w:sdtEndPr>
            <w:rPr>
              <w:rFonts w:ascii="Times New Roman" w:hAnsi="Times New Roman"/>
            </w:rPr>
          </w:sdtEndPr>
          <w:sdtContent>
            <w:tc>
              <w:tcPr>
                <w:tcW w:w="5000" w:type="pct"/>
                <w:gridSpan w:val="6"/>
                <w:shd w:val="clear" w:color="auto" w:fill="auto"/>
              </w:tcPr>
              <w:p>
                <w:pPr>
                  <w:rPr>
                    <w:rFonts w:ascii="Times New Roman" w:hAnsi="Times New Roman"/>
                  </w:rPr>
                </w:pPr>
                <w:r>
                  <w:rPr>
                    <w:rFonts w:hint="eastAsia" w:ascii="Times New Roman" w:hAnsi="Times New Roman"/>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1.期末账面价值</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199,889,757.83</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77,104,159.01</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1,712,802.01</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3,663,762.07</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282,370,480.92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16" w:type="pct"/>
            <w:shd w:val="clear" w:color="auto" w:fill="auto"/>
          </w:tcPr>
          <w:p>
            <w:pPr>
              <w:rPr>
                <w:rFonts w:ascii="Times New Roman" w:hAnsi="Times New Roman"/>
              </w:rPr>
            </w:pPr>
            <w:r>
              <w:rPr>
                <w:rFonts w:hint="eastAsia" w:ascii="Times New Roman" w:hAnsi="Times New Roman"/>
              </w:rPr>
              <w:t>2.期初账面价值</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210,051,633.62</w:t>
            </w:r>
          </w:p>
        </w:tc>
        <w:tc>
          <w:tcPr>
            <w:tcW w:w="84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68,399,690.67</w:t>
            </w:r>
          </w:p>
        </w:tc>
        <w:tc>
          <w:tcPr>
            <w:tcW w:w="73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1,233,396.84</w:t>
            </w:r>
          </w:p>
        </w:tc>
        <w:tc>
          <w:tcPr>
            <w:tcW w:w="791"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3,037,573.36</w:t>
            </w:r>
          </w:p>
        </w:tc>
        <w:tc>
          <w:tcPr>
            <w:tcW w:w="85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282,722,294.49</w:t>
            </w:r>
          </w:p>
        </w:tc>
      </w:tr>
    </w:tbl>
    <w:p/>
    <w:p>
      <w:pPr>
        <w:spacing w:line="400" w:lineRule="exact"/>
        <w:ind w:firstLine="420" w:firstLineChars="200"/>
      </w:pPr>
      <w:r>
        <w:rPr>
          <w:rFonts w:hint="eastAsia" w:ascii="宋体" w:hAnsi="宋体" w:eastAsia="宋体" w:cs="宋体"/>
          <w:szCs w:val="21"/>
        </w:rPr>
        <w:t>注：固定资产抵押详见“</w:t>
      </w:r>
      <w:r>
        <w:rPr>
          <w:rFonts w:hint="eastAsia" w:ascii="宋体" w:hAnsi="宋体" w:eastAsia="宋体" w:cs="宋体"/>
          <w:szCs w:val="21"/>
          <w:highlight w:val="none"/>
        </w:rPr>
        <w:t>七、合并财务报表注释”之“</w:t>
      </w:r>
      <w:r>
        <w:rPr>
          <w:rFonts w:hint="eastAsia" w:ascii="Times New Roman" w:hAnsi="Times New Roman" w:cs="Times New Roman"/>
          <w:szCs w:val="21"/>
          <w:highlight w:val="none"/>
          <w:lang w:val="en-US" w:eastAsia="zh-CN"/>
        </w:rPr>
        <w:t>31</w:t>
      </w:r>
      <w:r>
        <w:rPr>
          <w:rFonts w:hint="eastAsia" w:ascii="宋体" w:hAnsi="宋体" w:eastAsia="宋体" w:cs="宋体"/>
          <w:szCs w:val="21"/>
          <w:highlight w:val="none"/>
        </w:rPr>
        <w:t>.所有权或使用权</w:t>
      </w:r>
      <w:r>
        <w:rPr>
          <w:rFonts w:hint="eastAsia" w:cs="宋体"/>
          <w:szCs w:val="21"/>
          <w:highlight w:val="none"/>
          <w:lang w:val="en-US" w:eastAsia="zh-CN"/>
        </w:rPr>
        <w:t>受限</w:t>
      </w:r>
      <w:r>
        <w:rPr>
          <w:rFonts w:hint="eastAsia" w:ascii="宋体" w:hAnsi="宋体" w:eastAsia="宋体" w:cs="宋体"/>
          <w:szCs w:val="21"/>
          <w:highlight w:val="none"/>
        </w:rPr>
        <w:t>资产”</w:t>
      </w:r>
      <w:r>
        <w:rPr>
          <w:rFonts w:hint="eastAsia" w:cs="宋体"/>
          <w:szCs w:val="21"/>
          <w:highlight w:val="none"/>
          <w:lang w:val="en-US" w:eastAsia="zh-CN"/>
        </w:rPr>
        <w:t>和</w:t>
      </w:r>
      <w:r>
        <w:rPr>
          <w:rFonts w:hint="eastAsia" w:ascii="宋体" w:hAnsi="宋体" w:eastAsia="宋体" w:cs="宋体"/>
          <w:szCs w:val="21"/>
          <w:highlight w:val="none"/>
        </w:rPr>
        <w:t>“</w:t>
      </w:r>
      <w:r>
        <w:rPr>
          <w:rFonts w:ascii="Times New Roman" w:hAnsi="Times New Roman" w:eastAsia="宋体" w:cs="Times New Roman"/>
          <w:szCs w:val="21"/>
          <w:highlight w:val="none"/>
        </w:rPr>
        <w:t>32</w:t>
      </w:r>
      <w:r>
        <w:rPr>
          <w:rFonts w:hint="eastAsia" w:ascii="宋体" w:hAnsi="宋体" w:eastAsia="宋体" w:cs="宋体"/>
          <w:szCs w:val="21"/>
          <w:highlight w:val="none"/>
        </w:rPr>
        <w:t>.短期借款</w:t>
      </w:r>
      <w:r>
        <w:rPr>
          <w:rFonts w:hint="eastAsia" w:cs="宋体"/>
          <w:szCs w:val="21"/>
          <w:highlight w:val="none"/>
          <w:lang w:eastAsia="zh-CN"/>
        </w:rPr>
        <w:t>”</w:t>
      </w:r>
      <w:r>
        <w:rPr>
          <w:rFonts w:hint="eastAsia" w:ascii="宋体" w:hAnsi="宋体" w:eastAsia="宋体" w:cs="宋体"/>
          <w:szCs w:val="21"/>
          <w:highlight w:val="none"/>
        </w:rPr>
        <w:t>。</w:t>
      </w:r>
    </w:p>
    <w:p>
      <w:pPr>
        <w:rPr>
          <w:szCs w:val="21"/>
        </w:rPr>
      </w:pPr>
    </w:p>
    <w:p>
      <w:pPr>
        <w:pStyle w:val="203"/>
        <w:numPr>
          <w:ilvl w:val="0"/>
          <w:numId w:val="85"/>
        </w:numPr>
        <w:ind w:leftChars="0"/>
        <w:rPr>
          <w:rFonts w:ascii="宋体" w:hAnsi="宋体" w:cs="宋体"/>
          <w:kern w:val="0"/>
          <w:szCs w:val="24"/>
        </w:rPr>
      </w:pPr>
      <w:r>
        <w:rPr>
          <w:rFonts w:hint="eastAsia" w:ascii="宋体" w:hAnsi="宋体" w:cs="宋体"/>
          <w:kern w:val="0"/>
          <w:szCs w:val="24"/>
        </w:rPr>
        <w:t>暂时闲置的固定资产情况</w:t>
      </w:r>
    </w:p>
    <w:sdt>
      <w:sdtPr>
        <w:alias w:val="是否适用：暂时闲置的固定资产情况[双击切换]"/>
        <w:tag w:val="_GBC_2fdfdf37e427442eb50e14c905c59fbe"/>
        <w:id w:val="2707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03"/>
        <w:numPr>
          <w:ilvl w:val="0"/>
          <w:numId w:val="85"/>
        </w:numPr>
        <w:ind w:leftChars="0"/>
        <w:rPr>
          <w:rFonts w:ascii="宋体" w:hAnsi="宋体" w:cs="宋体"/>
          <w:kern w:val="0"/>
          <w:szCs w:val="24"/>
        </w:rPr>
      </w:pPr>
      <w:r>
        <w:rPr>
          <w:rFonts w:hint="eastAsia" w:ascii="宋体" w:hAnsi="宋体" w:cs="宋体"/>
          <w:kern w:val="0"/>
          <w:szCs w:val="24"/>
        </w:rPr>
        <w:t>通过经营租赁租出的固定资产</w:t>
      </w:r>
    </w:p>
    <w:sdt>
      <w:sdtPr>
        <w:alias w:val="是否适用：通过经营租赁租出的固定资产[双击切换]"/>
        <w:tag w:val="_GBC_c2ddde62aad742b6997b43c9077b5c4b"/>
        <w:id w:val="2707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03"/>
        <w:numPr>
          <w:ilvl w:val="0"/>
          <w:numId w:val="85"/>
        </w:numPr>
        <w:ind w:leftChars="0"/>
        <w:rPr>
          <w:rFonts w:ascii="宋体" w:hAnsi="宋体" w:cs="宋体"/>
          <w:kern w:val="0"/>
          <w:szCs w:val="24"/>
        </w:rPr>
      </w:pPr>
      <w:r>
        <w:rPr>
          <w:rFonts w:hint="eastAsia" w:ascii="宋体" w:hAnsi="宋体" w:cs="宋体"/>
          <w:kern w:val="0"/>
          <w:szCs w:val="24"/>
        </w:rPr>
        <w:t>未办妥产权证书的固定资产情况</w:t>
      </w:r>
    </w:p>
    <w:p>
      <w:sdt>
        <w:sdtPr>
          <w:alias w:val="是否适用：未办妥产权证书的固定资产情况[双击切换]"/>
          <w:tag w:val="_GBC_46625a97c34c4326af56ee4f005058fb"/>
          <w:id w:val="27080"/>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pPr>
    </w:p>
    <w:p>
      <w:pPr>
        <w:pStyle w:val="203"/>
        <w:numPr>
          <w:ilvl w:val="0"/>
          <w:numId w:val="85"/>
        </w:numPr>
        <w:ind w:leftChars="0"/>
        <w:rPr>
          <w:rFonts w:ascii="宋体" w:hAnsi="宋体" w:cs="宋体"/>
          <w:kern w:val="0"/>
          <w:szCs w:val="24"/>
        </w:rPr>
      </w:pPr>
      <w:bookmarkStart w:id="256" w:name="_Hlk153460880"/>
      <w:r>
        <w:rPr>
          <w:rFonts w:hint="eastAsia" w:ascii="宋体" w:hAnsi="宋体" w:cs="宋体"/>
          <w:kern w:val="0"/>
          <w:szCs w:val="24"/>
        </w:rPr>
        <w:t>固定资产的减值测试情况</w:t>
      </w:r>
    </w:p>
    <w:sdt>
      <w:sdtPr>
        <w:alias w:val="是否适用：减值测试情况[双击切换]"/>
        <w:tag w:val="_GBC_d1f21a00be1347f697689e4105263cab"/>
        <w:id w:val="27081"/>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56"/>
    <w:p>
      <w:pPr>
        <w:rPr>
          <w:szCs w:val="21"/>
        </w:rPr>
      </w:pPr>
      <w:r>
        <w:rPr>
          <w:rFonts w:hint="eastAsia"/>
          <w:szCs w:val="21"/>
        </w:rPr>
        <w:t>其他说明：</w:t>
      </w:r>
    </w:p>
    <w:sdt>
      <w:sdtPr>
        <w:rPr>
          <w:szCs w:val="21"/>
        </w:rPr>
        <w:alias w:val="是否适用：固定资产的说明[双击切换]"/>
        <w:tag w:val="_GBC_a7ec4df8fd354d7d9980e0f731a85e12"/>
        <w:id w:val="2708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ind w:left="360" w:hanging="360"/>
      </w:pPr>
      <w:r>
        <w:rPr>
          <w:rFonts w:hint="eastAsia"/>
        </w:rPr>
        <w:t>固定资产清理</w:t>
      </w:r>
    </w:p>
    <w:sdt>
      <w:sdtPr>
        <w:alias w:val="是否适用：固定资产清理[双击切换]"/>
        <w:tag w:val="_GBC_e3c92a1042004e36882d16145109bd0e"/>
        <w:id w:val="27083"/>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在建工程</w:t>
      </w:r>
      <w:bookmarkStart w:id="257" w:name="_Hlk532914352"/>
    </w:p>
    <w:p>
      <w:pPr>
        <w:pStyle w:val="196"/>
        <w:rPr>
          <w:rFonts w:ascii="宋体" w:hAnsi="宋体"/>
          <w:szCs w:val="21"/>
        </w:rPr>
      </w:pPr>
      <w:r>
        <w:rPr>
          <w:rFonts w:hint="eastAsia"/>
        </w:rPr>
        <w:t>项目列示</w:t>
      </w:r>
    </w:p>
    <w:sdt>
      <w:sdtPr>
        <w:alias w:val="是否适用：在建工程分类列示[双击切换]"/>
        <w:tag w:val="_GBC_c1e2db0ea96a470497d3e7b3545f11ff"/>
        <w:id w:val="27084"/>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在建工程分类列示"/>
          <w:tag w:val="_GBC_c3fc0d9041a1447580d30c51269288ae"/>
          <w:id w:val="270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270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3fac3cdac65475ca8ba6bb772e3b841"/>
            <w:id w:val="27087"/>
          </w:sdtPr>
          <w:sdtContent>
            <w:tc>
              <w:tcPr>
                <w:tcW w:w="1764" w:type="pct"/>
                <w:vAlign w:val="center"/>
              </w:tcPr>
              <w:p>
                <w:pPr>
                  <w:jc w:val="center"/>
                  <w:rPr>
                    <w:szCs w:val="21"/>
                  </w:rPr>
                </w:pPr>
                <w:r>
                  <w:rPr>
                    <w:rFonts w:hint="eastAsia"/>
                    <w:szCs w:val="21"/>
                  </w:rPr>
                  <w:t>项目</w:t>
                </w:r>
              </w:p>
            </w:tc>
          </w:sdtContent>
        </w:sdt>
        <w:sdt>
          <w:sdtPr>
            <w:tag w:val="_PLD_4e98919cdcd84191b541b2ee895e77bf"/>
            <w:id w:val="27088"/>
          </w:sdtPr>
          <w:sdtContent>
            <w:tc>
              <w:tcPr>
                <w:tcW w:w="1622" w:type="pct"/>
                <w:vAlign w:val="center"/>
              </w:tcPr>
              <w:p>
                <w:pPr>
                  <w:jc w:val="center"/>
                  <w:rPr>
                    <w:szCs w:val="21"/>
                  </w:rPr>
                </w:pPr>
                <w:r>
                  <w:rPr>
                    <w:rFonts w:hint="eastAsia"/>
                    <w:szCs w:val="21"/>
                  </w:rPr>
                  <w:t>期末余额</w:t>
                </w:r>
              </w:p>
            </w:tc>
          </w:sdtContent>
        </w:sdt>
        <w:sdt>
          <w:sdtPr>
            <w:tag w:val="_PLD_4ce0928269bc47149a98320193bd0b0a"/>
            <w:id w:val="27089"/>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tcPr>
          <w:p>
            <w:pPr>
              <w:ind w:right="5"/>
              <w:jc w:val="right"/>
              <w:rPr>
                <w:rFonts w:hint="default" w:ascii="Times New Roman" w:hAnsi="Times New Roman" w:cs="Times New Roman"/>
                <w:szCs w:val="21"/>
              </w:rPr>
            </w:pPr>
            <w:r>
              <w:rPr>
                <w:rFonts w:hint="default" w:ascii="Times New Roman" w:hAnsi="Times New Roman" w:cs="Times New Roman"/>
              </w:rPr>
              <w:t>7,843,473.38</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6,534,079.88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tc>
          <w:tcPr>
            <w:tcW w:w="1622" w:type="pct"/>
          </w:tcPr>
          <w:p>
            <w:pPr>
              <w:ind w:right="5"/>
              <w:jc w:val="right"/>
              <w:rPr>
                <w:rFonts w:hint="default" w:ascii="Times New Roman" w:hAnsi="Times New Roman" w:cs="Times New Roman"/>
                <w:szCs w:val="21"/>
              </w:rPr>
            </w:pPr>
          </w:p>
        </w:tc>
        <w:tc>
          <w:tcPr>
            <w:tcW w:w="1614" w:type="pct"/>
          </w:tcPr>
          <w:p>
            <w:pPr>
              <w:ind w:right="5"/>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vAlign w:val="center"/>
          </w:tcPr>
          <w:p>
            <w:pPr>
              <w:autoSpaceDE w:val="0"/>
              <w:autoSpaceDN w:val="0"/>
              <w:adjustRightInd w:val="0"/>
              <w:jc w:val="center"/>
              <w:rPr>
                <w:szCs w:val="21"/>
              </w:rPr>
            </w:pPr>
            <w:r>
              <w:rPr>
                <w:rFonts w:hint="eastAsia"/>
                <w:szCs w:val="21"/>
              </w:rPr>
              <w:t>合计</w:t>
            </w:r>
          </w:p>
        </w:tc>
        <w:tc>
          <w:tcPr>
            <w:tcW w:w="1622" w:type="pct"/>
          </w:tcPr>
          <w:p>
            <w:pPr>
              <w:jc w:val="right"/>
              <w:rPr>
                <w:rFonts w:hint="default" w:ascii="Times New Roman" w:hAnsi="Times New Roman" w:cs="Times New Roman"/>
                <w:szCs w:val="21"/>
              </w:rPr>
            </w:pPr>
            <w:r>
              <w:rPr>
                <w:rFonts w:hint="default" w:ascii="Times New Roman" w:hAnsi="Times New Roman" w:cs="Times New Roman"/>
              </w:rPr>
              <w:t>7,843,473.38</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6,534,079.88</w:t>
            </w:r>
          </w:p>
        </w:tc>
      </w:tr>
    </w:tbl>
    <w:p/>
    <w:bookmarkEnd w:id="257"/>
    <w:p>
      <w:pPr>
        <w:rPr>
          <w:szCs w:val="21"/>
        </w:rPr>
      </w:pPr>
      <w:bookmarkStart w:id="258" w:name="_Hlk532915382"/>
      <w:r>
        <w:rPr>
          <w:rFonts w:hint="eastAsia"/>
          <w:szCs w:val="21"/>
        </w:rPr>
        <w:t>其他说明：</w:t>
      </w:r>
    </w:p>
    <w:sdt>
      <w:sdtPr>
        <w:rPr>
          <w:szCs w:val="21"/>
        </w:rPr>
        <w:alias w:val="是否适用：在建工程分类列示其他说明[双击切换]"/>
        <w:tag w:val="_GBC_97da24841dd24220bc5206311fc28039"/>
        <w:id w:val="27090"/>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258"/>
    <w:p>
      <w:pPr>
        <w:rPr>
          <w:szCs w:val="21"/>
        </w:rPr>
      </w:pPr>
    </w:p>
    <w:p>
      <w:pPr>
        <w:pStyle w:val="196"/>
        <w:ind w:left="360" w:hanging="360"/>
      </w:pPr>
      <w:r>
        <w:rPr>
          <w:rFonts w:hint="eastAsia"/>
        </w:rPr>
        <w:t>在建工程</w:t>
      </w:r>
    </w:p>
    <w:p>
      <w:pPr>
        <w:pStyle w:val="203"/>
        <w:numPr>
          <w:ilvl w:val="0"/>
          <w:numId w:val="86"/>
        </w:numPr>
        <w:ind w:leftChars="0"/>
      </w:pPr>
      <w:r>
        <w:rPr>
          <w:rFonts w:hint="eastAsia"/>
        </w:rPr>
        <w:t>在建工程情况</w:t>
      </w:r>
    </w:p>
    <w:sdt>
      <w:sdtPr>
        <w:alias w:val="是否适用：在建工程情况[双击切换]"/>
        <w:tag w:val="_GBC_3d1e0f4f19d8472c9f5250b0ba025185"/>
        <w:id w:val="2709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
          <w:tag w:val="_GBC_c20f70bc9d1e4476bd65c1988111664f"/>
          <w:id w:val="270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27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525"/>
        <w:gridCol w:w="650"/>
        <w:gridCol w:w="1500"/>
        <w:gridCol w:w="1325"/>
        <w:gridCol w:w="773"/>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rPr>
            <w:tag w:val="_PLD_64c6d788b0564cf39dd83135bd94fa33"/>
            <w:id w:val="16950"/>
          </w:sdtPr>
          <w:sdtEndPr>
            <w:rPr>
              <w:rFonts w:ascii="Times New Roman" w:hAnsi="Times New Roman"/>
            </w:rPr>
          </w:sdtEndPr>
          <w:sdtContent>
            <w:tc>
              <w:tcPr>
                <w:tcW w:w="1075" w:type="pct"/>
                <w:vMerge w:val="restart"/>
                <w:vAlign w:val="center"/>
              </w:tcPr>
              <w:p>
                <w:pPr>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0f8aeba685c643d8bbe995cb6221e768"/>
            <w:id w:val="16951"/>
          </w:sdtPr>
          <w:sdtEndPr>
            <w:rPr>
              <w:rFonts w:ascii="Times New Roman" w:hAnsi="Times New Roman"/>
            </w:rPr>
          </w:sdtEndPr>
          <w:sdtContent>
            <w:tc>
              <w:tcPr>
                <w:tcW w:w="2030" w:type="pct"/>
                <w:gridSpan w:val="3"/>
                <w:vAlign w:val="center"/>
              </w:tcPr>
              <w:p>
                <w:pPr>
                  <w:jc w:val="center"/>
                  <w:rPr>
                    <w:rFonts w:ascii="Times New Roman" w:hAnsi="Times New Roman"/>
                    <w:szCs w:val="21"/>
                  </w:rPr>
                </w:pPr>
                <w:r>
                  <w:rPr>
                    <w:rFonts w:hint="eastAsia" w:ascii="Times New Roman" w:hAnsi="Times New Roman"/>
                    <w:szCs w:val="21"/>
                  </w:rPr>
                  <w:t>期末余额</w:t>
                </w:r>
              </w:p>
            </w:tc>
          </w:sdtContent>
        </w:sdt>
        <w:sdt>
          <w:sdtPr>
            <w:rPr>
              <w:rFonts w:ascii="Times New Roman" w:hAnsi="Times New Roman"/>
            </w:rPr>
            <w:tag w:val="_PLD_87e3270219434e9f8494ce0079d505fd"/>
            <w:id w:val="16952"/>
          </w:sdtPr>
          <w:sdtEndPr>
            <w:rPr>
              <w:rFonts w:ascii="Times New Roman" w:hAnsi="Times New Roman"/>
            </w:rPr>
          </w:sdtEndPr>
          <w:sdtContent>
            <w:tc>
              <w:tcPr>
                <w:tcW w:w="1893" w:type="pct"/>
                <w:gridSpan w:val="3"/>
                <w:vAlign w:val="center"/>
              </w:tcPr>
              <w:p>
                <w:pPr>
                  <w:jc w:val="center"/>
                  <w:rPr>
                    <w:rFonts w:ascii="Times New Roman" w:hAnsi="Times New Roman"/>
                    <w:szCs w:val="21"/>
                  </w:rPr>
                </w:pPr>
                <w:r>
                  <w:rPr>
                    <w:rFonts w:hint="eastAsia" w:ascii="Times New Roman" w:hAnsi="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vMerge w:val="continue"/>
            <w:vAlign w:val="center"/>
          </w:tcPr>
          <w:p>
            <w:pPr>
              <w:tabs>
                <w:tab w:val="left" w:pos="420"/>
              </w:tabs>
              <w:ind w:left="420" w:hanging="420"/>
              <w:jc w:val="center"/>
              <w:rPr>
                <w:rFonts w:ascii="Times New Roman" w:hAnsi="Times New Roman"/>
                <w:szCs w:val="21"/>
              </w:rPr>
            </w:pPr>
          </w:p>
        </w:tc>
        <w:sdt>
          <w:sdtPr>
            <w:rPr>
              <w:rFonts w:ascii="Times New Roman" w:hAnsi="Times New Roman"/>
            </w:rPr>
            <w:tag w:val="_PLD_38fd2fe6396a41ae994e421a6ad8573a"/>
            <w:id w:val="16953"/>
          </w:sdtPr>
          <w:sdtEndPr>
            <w:rPr>
              <w:rFonts w:ascii="Times New Roman" w:hAnsi="Times New Roman"/>
            </w:rPr>
          </w:sdtEndPr>
          <w:sdtContent>
            <w:tc>
              <w:tcPr>
                <w:tcW w:w="842" w:type="pct"/>
                <w:vAlign w:val="center"/>
              </w:tcPr>
              <w:p>
                <w:pPr>
                  <w:tabs>
                    <w:tab w:val="left" w:pos="420"/>
                  </w:tabs>
                  <w:ind w:left="420" w:hanging="420"/>
                  <w:jc w:val="center"/>
                  <w:rPr>
                    <w:rFonts w:ascii="Times New Roman" w:hAnsi="Times New Roman"/>
                    <w:szCs w:val="21"/>
                  </w:rPr>
                </w:pPr>
                <w:r>
                  <w:rPr>
                    <w:rFonts w:hint="eastAsia" w:ascii="Times New Roman" w:hAnsi="Times New Roman"/>
                    <w:szCs w:val="21"/>
                  </w:rPr>
                  <w:t>账面余额</w:t>
                </w:r>
              </w:p>
            </w:tc>
          </w:sdtContent>
        </w:sdt>
        <w:sdt>
          <w:sdtPr>
            <w:rPr>
              <w:rFonts w:ascii="Times New Roman" w:hAnsi="Times New Roman"/>
            </w:rPr>
            <w:tag w:val="_PLD_efb5f565ae7d43338576e6ba69d207b2"/>
            <w:id w:val="16954"/>
          </w:sdtPr>
          <w:sdtEndPr>
            <w:rPr>
              <w:rFonts w:ascii="Times New Roman" w:hAnsi="Times New Roman"/>
            </w:rPr>
          </w:sdtEndPr>
          <w:sdtContent>
            <w:tc>
              <w:tcPr>
                <w:tcW w:w="359" w:type="pct"/>
                <w:vAlign w:val="center"/>
              </w:tcPr>
              <w:p>
                <w:pPr>
                  <w:pStyle w:val="27"/>
                  <w:spacing w:line="240" w:lineRule="auto"/>
                  <w:jc w:val="center"/>
                  <w:rPr>
                    <w:rFonts w:ascii="Times New Roman" w:hAnsi="Times New Roman"/>
                  </w:rPr>
                </w:pPr>
                <w:r>
                  <w:rPr>
                    <w:rFonts w:hint="eastAsia" w:ascii="Times New Roman" w:hAnsi="Times New Roman"/>
                  </w:rPr>
                  <w:t>减值准备</w:t>
                </w:r>
              </w:p>
            </w:tc>
          </w:sdtContent>
        </w:sdt>
        <w:sdt>
          <w:sdtPr>
            <w:rPr>
              <w:rFonts w:ascii="Times New Roman" w:hAnsi="Times New Roman"/>
            </w:rPr>
            <w:tag w:val="_PLD_74e2fff2faeb4e10b56ba612a8b3b4e8"/>
            <w:id w:val="16955"/>
          </w:sdtPr>
          <w:sdtEndPr>
            <w:rPr>
              <w:rFonts w:ascii="Times New Roman" w:hAnsi="Times New Roman"/>
            </w:rPr>
          </w:sdtEndPr>
          <w:sdtContent>
            <w:tc>
              <w:tcPr>
                <w:tcW w:w="828" w:type="pct"/>
                <w:vAlign w:val="center"/>
              </w:tcPr>
              <w:p>
                <w:pPr>
                  <w:pStyle w:val="27"/>
                  <w:spacing w:line="240" w:lineRule="auto"/>
                  <w:jc w:val="center"/>
                  <w:rPr>
                    <w:rFonts w:ascii="Times New Roman" w:hAnsi="Times New Roman"/>
                  </w:rPr>
                </w:pPr>
                <w:r>
                  <w:rPr>
                    <w:rFonts w:hint="eastAsia" w:ascii="Times New Roman" w:hAnsi="Times New Roman"/>
                  </w:rPr>
                  <w:t>账面价值</w:t>
                </w:r>
              </w:p>
            </w:tc>
          </w:sdtContent>
        </w:sdt>
        <w:sdt>
          <w:sdtPr>
            <w:rPr>
              <w:rFonts w:ascii="Times New Roman" w:hAnsi="Times New Roman"/>
            </w:rPr>
            <w:tag w:val="_PLD_320b5c6e751a40cb8f8d6cb989669680"/>
            <w:id w:val="16956"/>
          </w:sdtPr>
          <w:sdtEndPr>
            <w:rPr>
              <w:rFonts w:ascii="Times New Roman" w:hAnsi="Times New Roman"/>
            </w:rPr>
          </w:sdtEndPr>
          <w:sdtContent>
            <w:tc>
              <w:tcPr>
                <w:tcW w:w="732" w:type="pct"/>
                <w:vAlign w:val="center"/>
              </w:tcPr>
              <w:p>
                <w:pPr>
                  <w:tabs>
                    <w:tab w:val="left" w:pos="420"/>
                  </w:tabs>
                  <w:ind w:left="420" w:hanging="420"/>
                  <w:jc w:val="center"/>
                  <w:rPr>
                    <w:rFonts w:ascii="Times New Roman" w:hAnsi="Times New Roman"/>
                    <w:szCs w:val="21"/>
                  </w:rPr>
                </w:pPr>
                <w:r>
                  <w:rPr>
                    <w:rFonts w:hint="eastAsia" w:ascii="Times New Roman" w:hAnsi="Times New Roman"/>
                    <w:szCs w:val="21"/>
                  </w:rPr>
                  <w:t>账面余额</w:t>
                </w:r>
              </w:p>
            </w:tc>
          </w:sdtContent>
        </w:sdt>
        <w:sdt>
          <w:sdtPr>
            <w:rPr>
              <w:rFonts w:ascii="Times New Roman" w:hAnsi="Times New Roman"/>
            </w:rPr>
            <w:tag w:val="_PLD_887f924a18a14763b7d38b336e4eca91"/>
            <w:id w:val="16957"/>
          </w:sdtPr>
          <w:sdtEndPr>
            <w:rPr>
              <w:rFonts w:ascii="Times New Roman" w:hAnsi="Times New Roman"/>
            </w:rPr>
          </w:sdtEndPr>
          <w:sdtContent>
            <w:tc>
              <w:tcPr>
                <w:tcW w:w="427" w:type="pct"/>
                <w:vAlign w:val="center"/>
              </w:tcPr>
              <w:p>
                <w:pPr>
                  <w:pStyle w:val="27"/>
                  <w:spacing w:line="240" w:lineRule="auto"/>
                  <w:jc w:val="center"/>
                  <w:rPr>
                    <w:rFonts w:ascii="Times New Roman" w:hAnsi="Times New Roman"/>
                  </w:rPr>
                </w:pPr>
                <w:r>
                  <w:rPr>
                    <w:rFonts w:hint="eastAsia" w:ascii="Times New Roman" w:hAnsi="Times New Roman"/>
                  </w:rPr>
                  <w:t>减值准备</w:t>
                </w:r>
              </w:p>
            </w:tc>
          </w:sdtContent>
        </w:sdt>
        <w:sdt>
          <w:sdtPr>
            <w:rPr>
              <w:rFonts w:ascii="Times New Roman" w:hAnsi="Times New Roman"/>
            </w:rPr>
            <w:tag w:val="_PLD_56d3163c60044998bf2f3d80a83c26a6"/>
            <w:id w:val="16958"/>
          </w:sdtPr>
          <w:sdtEndPr>
            <w:rPr>
              <w:rFonts w:ascii="Times New Roman" w:hAnsi="Times New Roman"/>
            </w:rPr>
          </w:sdtEndPr>
          <w:sdtContent>
            <w:tc>
              <w:tcPr>
                <w:tcW w:w="734" w:type="pct"/>
                <w:vAlign w:val="center"/>
              </w:tcPr>
              <w:p>
                <w:pPr>
                  <w:pStyle w:val="27"/>
                  <w:spacing w:line="240" w:lineRule="auto"/>
                  <w:jc w:val="center"/>
                  <w:rPr>
                    <w:rFonts w:ascii="Times New Roman" w:hAnsi="Times New Roman"/>
                  </w:rPr>
                </w:pPr>
                <w:r>
                  <w:rPr>
                    <w:rFonts w:hint="eastAsia" w:ascii="Times New Roman" w:hAnsi="Times New Roman"/>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牙膏车间改造项目</w:t>
            </w:r>
          </w:p>
        </w:tc>
        <w:tc>
          <w:tcPr>
            <w:tcW w:w="842" w:type="pct"/>
            <w:vAlign w:val="center"/>
          </w:tcPr>
          <w:p>
            <w:pPr>
              <w:ind w:right="105"/>
              <w:jc w:val="right"/>
              <w:rPr>
                <w:rFonts w:hint="default" w:ascii="Times New Roman" w:hAnsi="Times New Roman" w:cs="Times New Roman"/>
                <w:szCs w:val="21"/>
              </w:rPr>
            </w:pPr>
            <w:r>
              <w:rPr>
                <w:rFonts w:hint="default" w:ascii="Times New Roman" w:hAnsi="Times New Roman" w:cs="Times New Roman"/>
                <w:color w:val="auto"/>
              </w:rPr>
              <w:t>3,364,572.41</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3,364,572.41</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36,177.48</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36,177.48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柳石厂区供电改造</w:t>
            </w:r>
          </w:p>
        </w:tc>
        <w:tc>
          <w:tcPr>
            <w:tcW w:w="842" w:type="pct"/>
            <w:vAlign w:val="center"/>
          </w:tcPr>
          <w:p>
            <w:pPr>
              <w:ind w:right="105"/>
              <w:jc w:val="right"/>
              <w:rPr>
                <w:rFonts w:hint="default" w:ascii="Times New Roman" w:hAnsi="Times New Roman" w:cs="Times New Roman"/>
                <w:szCs w:val="21"/>
              </w:rPr>
            </w:pPr>
            <w:r>
              <w:rPr>
                <w:rFonts w:hint="default" w:ascii="Times New Roman" w:hAnsi="Times New Roman" w:cs="Times New Roman"/>
                <w:color w:val="auto"/>
              </w:rPr>
              <w:t>1,578,808.82</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1,578,808.82</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1,456,656.45</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1,456,656.45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制管车间二楼彩钢板整改项目</w:t>
            </w:r>
          </w:p>
        </w:tc>
        <w:tc>
          <w:tcPr>
            <w:tcW w:w="842" w:type="pct"/>
            <w:vAlign w:val="center"/>
          </w:tcPr>
          <w:p>
            <w:pPr>
              <w:ind w:right="105"/>
              <w:jc w:val="right"/>
              <w:rPr>
                <w:rFonts w:hint="default" w:ascii="Times New Roman" w:hAnsi="Times New Roman" w:cs="Times New Roman"/>
                <w:szCs w:val="21"/>
              </w:rPr>
            </w:pPr>
            <w:r>
              <w:rPr>
                <w:rFonts w:hint="default" w:ascii="Times New Roman" w:hAnsi="Times New Roman" w:cs="Times New Roman"/>
                <w:color w:val="auto"/>
              </w:rPr>
              <w:t>1,294,738.68</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1,294,738.68</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376,107.60</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376,107.60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075" w:type="pct"/>
          </w:tcPr>
          <w:p>
            <w:pPr>
              <w:rPr>
                <w:rFonts w:ascii="Times New Roman" w:hAnsi="Times New Roman"/>
                <w:szCs w:val="21"/>
              </w:rPr>
            </w:pPr>
            <w:r>
              <w:rPr>
                <w:rFonts w:ascii="Times New Roman" w:hAnsi="Times New Roman"/>
              </w:rPr>
              <w:t>洗涤车间改造项目</w:t>
            </w:r>
          </w:p>
        </w:tc>
        <w:tc>
          <w:tcPr>
            <w:tcW w:w="842" w:type="pct"/>
            <w:vAlign w:val="center"/>
          </w:tcPr>
          <w:p>
            <w:pPr>
              <w:ind w:right="105"/>
              <w:jc w:val="right"/>
              <w:rPr>
                <w:rFonts w:hint="default" w:ascii="Times New Roman" w:hAnsi="Times New Roman" w:cs="Times New Roman"/>
                <w:szCs w:val="21"/>
              </w:rPr>
            </w:pPr>
            <w:r>
              <w:rPr>
                <w:rFonts w:hint="default" w:ascii="Times New Roman" w:hAnsi="Times New Roman" w:cs="Times New Roman"/>
                <w:color w:val="auto"/>
              </w:rPr>
              <w:t>1,049,062.24</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1,049,062.24</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模具</w:t>
            </w:r>
          </w:p>
        </w:tc>
        <w:tc>
          <w:tcPr>
            <w:tcW w:w="842" w:type="pct"/>
            <w:vAlign w:val="center"/>
          </w:tcPr>
          <w:p>
            <w:pPr>
              <w:ind w:right="105"/>
              <w:jc w:val="right"/>
              <w:rPr>
                <w:rFonts w:hint="default" w:ascii="Times New Roman" w:hAnsi="Times New Roman" w:cs="Times New Roman"/>
                <w:szCs w:val="21"/>
              </w:rPr>
            </w:pPr>
            <w:r>
              <w:rPr>
                <w:rFonts w:hint="default" w:ascii="Times New Roman" w:hAnsi="Times New Roman" w:cs="Times New Roman"/>
                <w:color w:val="auto"/>
              </w:rPr>
              <w:t>556,291.23</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556,291.23</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245,985.42</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245,985.42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075" w:type="pct"/>
          </w:tcPr>
          <w:p>
            <w:pPr>
              <w:rPr>
                <w:rFonts w:ascii="Times New Roman" w:hAnsi="Times New Roman"/>
                <w:szCs w:val="21"/>
              </w:rPr>
            </w:pPr>
            <w:r>
              <w:rPr>
                <w:rFonts w:ascii="Times New Roman" w:hAnsi="Times New Roman"/>
              </w:rPr>
              <w:t>灌包装线技改项目</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1,909,954.18</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1,909,954.18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牙膏技改制膏系统</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758,552.91</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758,552.91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牙膏技改灌包装线</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558,096.52</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558,096.52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扬州厂兰轻香皂生产线等项目</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113,454.87</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113,454.87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四轴机器人+理板机</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374,513.27</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374,513.27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szCs w:val="21"/>
              </w:rPr>
            </w:pPr>
            <w:r>
              <w:rPr>
                <w:rFonts w:ascii="Times New Roman" w:hAnsi="Times New Roman"/>
              </w:rPr>
              <w:t>注胶机</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693,805.31</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693,805.31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tcPr>
          <w:p>
            <w:pPr>
              <w:rPr>
                <w:rFonts w:ascii="Times New Roman" w:hAnsi="Times New Roman"/>
              </w:rPr>
            </w:pPr>
            <w:r>
              <w:rPr>
                <w:rFonts w:ascii="Times New Roman" w:hAnsi="Times New Roman"/>
              </w:rPr>
              <w:t>其他</w:t>
            </w:r>
          </w:p>
        </w:tc>
        <w:tc>
          <w:tcPr>
            <w:tcW w:w="842" w:type="pct"/>
            <w:vAlign w:val="center"/>
          </w:tcPr>
          <w:p>
            <w:pPr>
              <w:ind w:right="105"/>
              <w:jc w:val="right"/>
              <w:rPr>
                <w:rFonts w:hint="default" w:ascii="Times New Roman" w:hAnsi="Times New Roman" w:cs="Times New Roman"/>
                <w:szCs w:val="21"/>
              </w:rPr>
            </w:pPr>
            <w:r>
              <w:rPr>
                <w:rFonts w:ascii="Times New Roman" w:hAnsi="Times New Roman"/>
              </w:rPr>
              <w:t> </w:t>
            </w:r>
          </w:p>
        </w:tc>
        <w:tc>
          <w:tcPr>
            <w:tcW w:w="359"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828" w:type="pct"/>
            <w:vAlign w:val="center"/>
          </w:tcPr>
          <w:p>
            <w:pPr>
              <w:ind w:right="73"/>
              <w:jc w:val="right"/>
              <w:rPr>
                <w:rFonts w:hint="default" w:ascii="Times New Roman" w:hAnsi="Times New Roman" w:cs="Times New Roman"/>
                <w:szCs w:val="21"/>
              </w:rPr>
            </w:pPr>
            <w:r>
              <w:rPr>
                <w:rFonts w:ascii="Times New Roman" w:hAnsi="Times New Roman"/>
              </w:rPr>
              <w:t> </w:t>
            </w:r>
          </w:p>
        </w:tc>
        <w:tc>
          <w:tcPr>
            <w:tcW w:w="732" w:type="pct"/>
            <w:vAlign w:val="center"/>
          </w:tcPr>
          <w:p>
            <w:pPr>
              <w:jc w:val="right"/>
              <w:rPr>
                <w:rFonts w:hint="default" w:ascii="Times New Roman" w:hAnsi="Times New Roman" w:cs="Times New Roman"/>
              </w:rPr>
            </w:pPr>
            <w:r>
              <w:rPr>
                <w:rFonts w:ascii="Times New Roman" w:hAnsi="Times New Roman"/>
              </w:rPr>
              <w:t>10,775.87</w:t>
            </w:r>
          </w:p>
        </w:tc>
        <w:tc>
          <w:tcPr>
            <w:tcW w:w="427" w:type="pct"/>
            <w:vAlign w:val="center"/>
          </w:tcPr>
          <w:p>
            <w:pPr>
              <w:jc w:val="right"/>
              <w:rPr>
                <w:rFonts w:hint="default" w:ascii="Times New Roman" w:hAnsi="Times New Roman" w:cs="Times New Roman"/>
              </w:rPr>
            </w:pPr>
            <w:r>
              <w:rPr>
                <w:rFonts w:ascii="Times New Roman" w:hAnsi="Times New Roman"/>
              </w:rPr>
              <w:t> </w:t>
            </w:r>
          </w:p>
        </w:tc>
        <w:tc>
          <w:tcPr>
            <w:tcW w:w="734" w:type="pct"/>
            <w:vAlign w:val="center"/>
          </w:tcPr>
          <w:p>
            <w:pPr>
              <w:jc w:val="right"/>
              <w:rPr>
                <w:rFonts w:hint="default" w:ascii="Times New Roman" w:hAnsi="Times New Roman" w:cs="Times New Roman"/>
              </w:rPr>
            </w:pPr>
            <w:r>
              <w:rPr>
                <w:rFonts w:ascii="Times New Roman" w:hAnsi="Times New Roman"/>
              </w:rPr>
              <w:t>10,775.87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75" w:type="pct"/>
            <w:vAlign w:val="center"/>
          </w:tcPr>
          <w:p>
            <w:pPr>
              <w:jc w:val="center"/>
              <w:rPr>
                <w:rFonts w:ascii="Times New Roman" w:hAnsi="Times New Roman"/>
                <w:szCs w:val="21"/>
              </w:rPr>
            </w:pPr>
            <w:r>
              <w:rPr>
                <w:rFonts w:hint="eastAsia" w:ascii="Times New Roman" w:hAnsi="Times New Roman"/>
                <w:szCs w:val="21"/>
              </w:rPr>
              <w:t>合计</w:t>
            </w:r>
          </w:p>
        </w:tc>
        <w:tc>
          <w:tcPr>
            <w:tcW w:w="842" w:type="pct"/>
            <w:vAlign w:val="center"/>
          </w:tcPr>
          <w:p>
            <w:pPr>
              <w:ind w:right="105"/>
              <w:jc w:val="right"/>
              <w:rPr>
                <w:rFonts w:hint="default" w:ascii="Times New Roman" w:hAnsi="Times New Roman" w:cs="Times New Roman"/>
                <w:szCs w:val="21"/>
              </w:rPr>
            </w:pPr>
            <w:r>
              <w:rPr>
                <w:rFonts w:hint="default" w:ascii="Times New Roman" w:hAnsi="Times New Roman" w:cs="Times New Roman"/>
                <w:color w:val="auto"/>
              </w:rPr>
              <w:t>7,843,473.38</w:t>
            </w:r>
          </w:p>
        </w:tc>
        <w:tc>
          <w:tcPr>
            <w:tcW w:w="359"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 </w:t>
            </w:r>
          </w:p>
        </w:tc>
        <w:tc>
          <w:tcPr>
            <w:tcW w:w="828"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7,843,473.38</w:t>
            </w:r>
          </w:p>
        </w:tc>
        <w:tc>
          <w:tcPr>
            <w:tcW w:w="73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6,534,079.88</w:t>
            </w:r>
          </w:p>
        </w:tc>
        <w:tc>
          <w:tcPr>
            <w:tcW w:w="4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734"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6,534,079.88</w:t>
            </w:r>
          </w:p>
        </w:tc>
      </w:tr>
    </w:tbl>
    <w:p/>
    <w:p/>
    <w:p/>
    <w:p>
      <w:pPr>
        <w:pStyle w:val="36"/>
        <w:ind w:left="0" w:leftChars="0" w:firstLine="0" w:firstLineChars="0"/>
      </w:pPr>
    </w:p>
    <w:p>
      <w:pPr>
        <w:pStyle w:val="36"/>
      </w:pPr>
    </w:p>
    <w:p>
      <w:pPr>
        <w:pStyle w:val="36"/>
      </w:pPr>
    </w:p>
    <w:p>
      <w:pPr>
        <w:pStyle w:val="36"/>
        <w:sectPr>
          <w:pgSz w:w="11906" w:h="16838"/>
          <w:pgMar w:top="1440" w:right="1797" w:bottom="1525" w:left="1276" w:header="856" w:footer="992" w:gutter="0"/>
          <w:cols w:space="425" w:num="1"/>
          <w:docGrid w:linePitch="312" w:charSpace="0"/>
        </w:sectPr>
      </w:pPr>
    </w:p>
    <w:p>
      <w:pPr>
        <w:pStyle w:val="203"/>
        <w:numPr>
          <w:ilvl w:val="0"/>
          <w:numId w:val="86"/>
        </w:numPr>
        <w:ind w:leftChars="0"/>
        <w:rPr>
          <w:rFonts w:ascii="宋体" w:hAnsi="宋体" w:cs="宋体"/>
          <w:kern w:val="0"/>
          <w:szCs w:val="24"/>
        </w:rPr>
      </w:pPr>
      <w:r>
        <w:rPr>
          <w:rFonts w:hint="eastAsia" w:ascii="宋体" w:hAnsi="宋体" w:cs="宋体"/>
          <w:kern w:val="0"/>
          <w:szCs w:val="24"/>
        </w:rPr>
        <w:t>重要在建工程项目本期变动情况</w:t>
      </w:r>
    </w:p>
    <w:sdt>
      <w:sdtPr>
        <w:alias w:val="是否适用：重要在建工程项目本期变动情况[双击切换]"/>
        <w:tag w:val="_GBC_964f4529e8234c358a8541e8c4754ec8"/>
        <w:id w:val="2710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271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27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284"/>
        <w:gridCol w:w="1496"/>
        <w:gridCol w:w="1636"/>
        <w:gridCol w:w="1555"/>
        <w:gridCol w:w="627"/>
        <w:gridCol w:w="1473"/>
        <w:gridCol w:w="1023"/>
        <w:gridCol w:w="722"/>
        <w:gridCol w:w="546"/>
        <w:gridCol w:w="709"/>
        <w:gridCol w:w="75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072ffbc51294cefbe17dde844d0e5ed"/>
            <w:id w:val="17024"/>
          </w:sdtPr>
          <w:sdtContent>
            <w:tc>
              <w:tcPr>
                <w:tcW w:w="492" w:type="pct"/>
                <w:shd w:val="clear" w:color="auto" w:fill="auto"/>
                <w:vAlign w:val="center"/>
              </w:tcPr>
              <w:p>
                <w:pPr>
                  <w:jc w:val="center"/>
                  <w:rPr>
                    <w:szCs w:val="21"/>
                  </w:rPr>
                </w:pPr>
                <w:r>
                  <w:rPr>
                    <w:rFonts w:hint="eastAsia"/>
                    <w:szCs w:val="21"/>
                  </w:rPr>
                  <w:t>项目名称</w:t>
                </w:r>
              </w:p>
            </w:tc>
          </w:sdtContent>
        </w:sdt>
        <w:sdt>
          <w:sdtPr>
            <w:tag w:val="_PLD_6349ea6a696f4d27b00b071275a38ea5"/>
            <w:id w:val="17025"/>
          </w:sdtPr>
          <w:sdtContent>
            <w:tc>
              <w:tcPr>
                <w:tcW w:w="455" w:type="pct"/>
                <w:shd w:val="clear" w:color="auto" w:fill="auto"/>
                <w:vAlign w:val="center"/>
              </w:tcPr>
              <w:p>
                <w:pPr>
                  <w:jc w:val="center"/>
                  <w:rPr>
                    <w:szCs w:val="21"/>
                  </w:rPr>
                </w:pPr>
                <w:r>
                  <w:rPr>
                    <w:rFonts w:hint="eastAsia"/>
                    <w:szCs w:val="21"/>
                  </w:rPr>
                  <w:t>预算数</w:t>
                </w:r>
              </w:p>
            </w:tc>
          </w:sdtContent>
        </w:sdt>
        <w:sdt>
          <w:sdtPr>
            <w:tag w:val="_PLD_392420deb7e94f0a8026947a325da4f4"/>
            <w:id w:val="17026"/>
          </w:sdtPr>
          <w:sdtContent>
            <w:tc>
              <w:tcPr>
                <w:tcW w:w="530" w:type="pct"/>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de4faed3465b4da6b8ac35d7e677431c"/>
            <w:id w:val="17027"/>
          </w:sdtPr>
          <w:sdtContent>
            <w:tc>
              <w:tcPr>
                <w:tcW w:w="580" w:type="pct"/>
                <w:shd w:val="clear" w:color="auto" w:fill="auto"/>
                <w:vAlign w:val="center"/>
              </w:tcPr>
              <w:p>
                <w:pPr>
                  <w:jc w:val="center"/>
                  <w:rPr>
                    <w:szCs w:val="21"/>
                  </w:rPr>
                </w:pPr>
                <w:r>
                  <w:rPr>
                    <w:rFonts w:hint="eastAsia"/>
                    <w:szCs w:val="21"/>
                  </w:rPr>
                  <w:t>本期增加金额</w:t>
                </w:r>
              </w:p>
            </w:tc>
          </w:sdtContent>
        </w:sdt>
        <w:sdt>
          <w:sdtPr>
            <w:tag w:val="_PLD_51ce4224316b4f4b99a8fb0c8e4500a5"/>
            <w:id w:val="17028"/>
          </w:sdtPr>
          <w:sdtContent>
            <w:tc>
              <w:tcPr>
                <w:tcW w:w="551" w:type="pct"/>
                <w:shd w:val="clear" w:color="auto" w:fill="auto"/>
                <w:vAlign w:val="center"/>
              </w:tcPr>
              <w:p>
                <w:pPr>
                  <w:jc w:val="center"/>
                  <w:rPr>
                    <w:szCs w:val="21"/>
                  </w:rPr>
                </w:pPr>
                <w:r>
                  <w:rPr>
                    <w:rFonts w:hint="eastAsia"/>
                    <w:szCs w:val="21"/>
                  </w:rPr>
                  <w:t>本期转入固定资产金额</w:t>
                </w:r>
              </w:p>
            </w:tc>
          </w:sdtContent>
        </w:sdt>
        <w:sdt>
          <w:sdtPr>
            <w:tag w:val="_PLD_d80ffbe10b944f57a31723041ffbcbdf"/>
            <w:id w:val="17029"/>
          </w:sdtPr>
          <w:sdtContent>
            <w:tc>
              <w:tcPr>
                <w:tcW w:w="222" w:type="pct"/>
                <w:shd w:val="clear" w:color="auto" w:fill="auto"/>
                <w:vAlign w:val="center"/>
              </w:tcPr>
              <w:p>
                <w:pPr>
                  <w:jc w:val="center"/>
                  <w:rPr>
                    <w:szCs w:val="21"/>
                  </w:rPr>
                </w:pPr>
                <w:r>
                  <w:rPr>
                    <w:rFonts w:hint="eastAsia"/>
                    <w:szCs w:val="21"/>
                  </w:rPr>
                  <w:t>本期其他减少金额</w:t>
                </w:r>
              </w:p>
            </w:tc>
          </w:sdtContent>
        </w:sdt>
        <w:sdt>
          <w:sdtPr>
            <w:tag w:val="_PLD_c8b617c64ad64a03834695d9bc0b8d2f"/>
            <w:id w:val="17030"/>
          </w:sdtPr>
          <w:sdtContent>
            <w:tc>
              <w:tcPr>
                <w:tcW w:w="522" w:type="pct"/>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38551d97ef741f093f852402c423e47"/>
            <w:id w:val="17031"/>
          </w:sdtPr>
          <w:sdtContent>
            <w:tc>
              <w:tcPr>
                <w:tcW w:w="363" w:type="pct"/>
                <w:shd w:val="clear" w:color="auto" w:fill="auto"/>
                <w:vAlign w:val="center"/>
              </w:tcPr>
              <w:p>
                <w:pPr>
                  <w:jc w:val="center"/>
                  <w:rPr>
                    <w:szCs w:val="21"/>
                  </w:rPr>
                </w:pPr>
                <w:r>
                  <w:rPr>
                    <w:rFonts w:hint="eastAsia"/>
                    <w:szCs w:val="21"/>
                  </w:rPr>
                  <w:t>工程累计投入占预算比例(%)</w:t>
                </w:r>
              </w:p>
            </w:tc>
          </w:sdtContent>
        </w:sdt>
        <w:sdt>
          <w:sdtPr>
            <w:tag w:val="_PLD_0f7f749f98e74f33ae9032c17002d136"/>
            <w:id w:val="17032"/>
          </w:sdtPr>
          <w:sdtContent>
            <w:tc>
              <w:tcPr>
                <w:tcW w:w="256" w:type="pct"/>
                <w:shd w:val="clear" w:color="auto" w:fill="auto"/>
                <w:vAlign w:val="center"/>
              </w:tcPr>
              <w:p>
                <w:pPr>
                  <w:jc w:val="center"/>
                  <w:rPr>
                    <w:szCs w:val="21"/>
                  </w:rPr>
                </w:pPr>
                <w:r>
                  <w:rPr>
                    <w:rFonts w:hint="eastAsia"/>
                    <w:szCs w:val="21"/>
                  </w:rPr>
                  <w:t>工程进度</w:t>
                </w:r>
              </w:p>
            </w:tc>
          </w:sdtContent>
        </w:sdt>
        <w:sdt>
          <w:sdtPr>
            <w:tag w:val="_PLD_0b58d44121d2475586a13d1ce8eaed0a"/>
            <w:id w:val="17033"/>
          </w:sdtPr>
          <w:sdtContent>
            <w:tc>
              <w:tcPr>
                <w:tcW w:w="193" w:type="pct"/>
                <w:shd w:val="clear" w:color="auto" w:fill="auto"/>
                <w:vAlign w:val="center"/>
              </w:tcPr>
              <w:p>
                <w:pPr>
                  <w:jc w:val="center"/>
                  <w:rPr>
                    <w:szCs w:val="21"/>
                  </w:rPr>
                </w:pPr>
                <w:r>
                  <w:rPr>
                    <w:rFonts w:hint="eastAsia"/>
                    <w:szCs w:val="21"/>
                  </w:rPr>
                  <w:t>利息资本化累计金额</w:t>
                </w:r>
              </w:p>
            </w:tc>
          </w:sdtContent>
        </w:sdt>
        <w:sdt>
          <w:sdtPr>
            <w:tag w:val="_PLD_2250f692e957437687c2cafcae1d7f81"/>
            <w:id w:val="17034"/>
          </w:sdtPr>
          <w:sdtContent>
            <w:tc>
              <w:tcPr>
                <w:tcW w:w="251" w:type="pct"/>
                <w:shd w:val="clear" w:color="auto" w:fill="auto"/>
                <w:vAlign w:val="center"/>
              </w:tcPr>
              <w:p>
                <w:pPr>
                  <w:jc w:val="center"/>
                  <w:rPr>
                    <w:szCs w:val="21"/>
                  </w:rPr>
                </w:pPr>
                <w:r>
                  <w:rPr>
                    <w:rFonts w:hint="eastAsia"/>
                    <w:szCs w:val="21"/>
                  </w:rPr>
                  <w:t>其中：本期利息资本化金额</w:t>
                </w:r>
              </w:p>
            </w:tc>
          </w:sdtContent>
        </w:sdt>
        <w:sdt>
          <w:sdtPr>
            <w:tag w:val="_PLD_7a9834f354d948e19f071bbf4b5baafe"/>
            <w:id w:val="17035"/>
          </w:sdtPr>
          <w:sdtContent>
            <w:tc>
              <w:tcPr>
                <w:tcW w:w="266" w:type="pct"/>
                <w:shd w:val="clear" w:color="auto" w:fill="auto"/>
                <w:vAlign w:val="center"/>
              </w:tcPr>
              <w:p>
                <w:pPr>
                  <w:jc w:val="center"/>
                  <w:rPr>
                    <w:szCs w:val="21"/>
                  </w:rPr>
                </w:pPr>
                <w:r>
                  <w:rPr>
                    <w:rFonts w:hint="eastAsia"/>
                    <w:szCs w:val="21"/>
                  </w:rPr>
                  <w:t>本期利息资本化率(%)</w:t>
                </w:r>
              </w:p>
            </w:tc>
          </w:sdtContent>
        </w:sdt>
        <w:sdt>
          <w:sdtPr>
            <w:tag w:val="_PLD_6015e39597424a7ea59d45da3ff56e99"/>
            <w:id w:val="17036"/>
          </w:sdtPr>
          <w:sdtContent>
            <w:tc>
              <w:tcPr>
                <w:tcW w:w="312" w:type="pct"/>
                <w:shd w:val="clear" w:color="auto" w:fill="auto"/>
                <w:vAlign w:val="center"/>
              </w:tcPr>
              <w:p>
                <w:pPr>
                  <w:jc w:val="center"/>
                  <w:rPr>
                    <w:szCs w:val="21"/>
                  </w:rPr>
                </w:pPr>
                <w:r>
                  <w:rPr>
                    <w:rFonts w:hint="eastAsia"/>
                    <w:szCs w:val="21"/>
                  </w:rPr>
                  <w:t>资金来源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2" w:type="pct"/>
            <w:shd w:val="clear" w:color="auto" w:fill="auto"/>
          </w:tcPr>
          <w:p>
            <w:pPr>
              <w:rPr>
                <w:szCs w:val="21"/>
              </w:rPr>
            </w:pPr>
            <w:r>
              <w:t>牙膏车间改造项目</w:t>
            </w:r>
          </w:p>
        </w:tc>
        <w:tc>
          <w:tcPr>
            <w:tcW w:w="455" w:type="pct"/>
            <w:shd w:val="clear" w:color="auto" w:fill="auto"/>
            <w:vAlign w:val="center"/>
          </w:tcPr>
          <w:p>
            <w:pPr>
              <w:jc w:val="right"/>
              <w:rPr>
                <w:rFonts w:hint="default" w:ascii="Times New Roman" w:hAnsi="Times New Roman" w:eastAsia="宋体" w:cs="Times New Roman"/>
                <w:szCs w:val="21"/>
                <w:lang w:val="en-US" w:eastAsia="zh-CN"/>
              </w:rPr>
            </w:pPr>
            <w:r>
              <w:rPr>
                <w:rFonts w:hint="default" w:ascii="Times New Roman" w:hAnsi="Times New Roman" w:cs="Times New Roman"/>
                <w:lang w:eastAsia="zh-CN"/>
              </w:rPr>
              <w:t>9,520,000</w:t>
            </w:r>
          </w:p>
        </w:tc>
        <w:tc>
          <w:tcPr>
            <w:tcW w:w="53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36,177.48</w:t>
            </w:r>
          </w:p>
        </w:tc>
        <w:tc>
          <w:tcPr>
            <w:tcW w:w="58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3,328,394.93</w:t>
            </w:r>
          </w:p>
        </w:tc>
        <w:tc>
          <w:tcPr>
            <w:tcW w:w="551" w:type="pct"/>
            <w:shd w:val="clear" w:color="auto" w:fill="auto"/>
            <w:vAlign w:val="center"/>
          </w:tcPr>
          <w:p>
            <w:pPr>
              <w:jc w:val="right"/>
              <w:rPr>
                <w:rFonts w:hint="default" w:ascii="Times New Roman" w:hAnsi="Times New Roman" w:cs="Times New Roman"/>
                <w:szCs w:val="21"/>
              </w:rPr>
            </w:pPr>
          </w:p>
        </w:tc>
        <w:tc>
          <w:tcPr>
            <w:tcW w:w="222" w:type="pct"/>
            <w:shd w:val="clear" w:color="auto" w:fill="auto"/>
            <w:vAlign w:val="center"/>
          </w:tcPr>
          <w:p>
            <w:pPr>
              <w:jc w:val="right"/>
              <w:rPr>
                <w:rFonts w:hint="default" w:ascii="Times New Roman" w:hAnsi="Times New Roman" w:cs="Times New Roman"/>
                <w:szCs w:val="21"/>
              </w:rPr>
            </w:pPr>
          </w:p>
        </w:tc>
        <w:tc>
          <w:tcPr>
            <w:tcW w:w="52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3,364,572.41</w:t>
            </w:r>
          </w:p>
        </w:tc>
        <w:tc>
          <w:tcPr>
            <w:tcW w:w="36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50.02</w:t>
            </w:r>
          </w:p>
        </w:tc>
        <w:tc>
          <w:tcPr>
            <w:tcW w:w="25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75</w:t>
            </w:r>
          </w:p>
        </w:tc>
        <w:tc>
          <w:tcPr>
            <w:tcW w:w="193" w:type="pct"/>
            <w:shd w:val="clear" w:color="auto" w:fill="auto"/>
            <w:vAlign w:val="center"/>
          </w:tcPr>
          <w:p>
            <w:pPr>
              <w:jc w:val="right"/>
              <w:rPr>
                <w:rFonts w:hint="default" w:ascii="Times New Roman" w:hAnsi="Times New Roman" w:cs="Times New Roman"/>
                <w:szCs w:val="21"/>
              </w:rPr>
            </w:pPr>
          </w:p>
        </w:tc>
        <w:tc>
          <w:tcPr>
            <w:tcW w:w="251" w:type="pct"/>
            <w:shd w:val="clear" w:color="auto" w:fill="auto"/>
          </w:tcPr>
          <w:p>
            <w:pPr>
              <w:jc w:val="right"/>
              <w:rPr>
                <w:szCs w:val="21"/>
              </w:rPr>
            </w:pPr>
          </w:p>
        </w:tc>
        <w:tc>
          <w:tcPr>
            <w:tcW w:w="266" w:type="pct"/>
            <w:shd w:val="clear" w:color="auto" w:fill="auto"/>
          </w:tcPr>
          <w:p>
            <w:pPr>
              <w:jc w:val="right"/>
              <w:rPr>
                <w:szCs w:val="21"/>
              </w:rPr>
            </w:pPr>
          </w:p>
        </w:tc>
        <w:tc>
          <w:tcPr>
            <w:tcW w:w="312" w:type="pct"/>
            <w:shd w:val="clear" w:color="auto" w:fill="auto"/>
          </w:tcPr>
          <w:p>
            <w:pPr>
              <w:rPr>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2" w:type="pct"/>
            <w:shd w:val="clear" w:color="auto" w:fill="auto"/>
          </w:tcPr>
          <w:p>
            <w:pPr>
              <w:rPr>
                <w:szCs w:val="21"/>
              </w:rPr>
            </w:pPr>
            <w:r>
              <w:t>柳石厂区供电改造</w:t>
            </w:r>
          </w:p>
        </w:tc>
        <w:tc>
          <w:tcPr>
            <w:tcW w:w="455" w:type="pct"/>
            <w:shd w:val="clear" w:color="auto" w:fill="auto"/>
            <w:vAlign w:val="center"/>
          </w:tcPr>
          <w:p>
            <w:pPr>
              <w:jc w:val="right"/>
              <w:rPr>
                <w:rFonts w:hint="default" w:ascii="Times New Roman" w:hAnsi="Times New Roman" w:eastAsia="宋体" w:cs="Times New Roman"/>
                <w:szCs w:val="21"/>
                <w:lang w:val="en-US" w:eastAsia="zh-CN"/>
              </w:rPr>
            </w:pPr>
            <w:r>
              <w:rPr>
                <w:rFonts w:hint="default" w:ascii="Times New Roman" w:hAnsi="Times New Roman" w:cs="Times New Roman"/>
                <w:lang w:eastAsia="zh-CN"/>
              </w:rPr>
              <w:t>1,631,000</w:t>
            </w:r>
          </w:p>
        </w:tc>
        <w:tc>
          <w:tcPr>
            <w:tcW w:w="53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1,456,656.45</w:t>
            </w:r>
          </w:p>
        </w:tc>
        <w:tc>
          <w:tcPr>
            <w:tcW w:w="58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122,152.37</w:t>
            </w:r>
          </w:p>
        </w:tc>
        <w:tc>
          <w:tcPr>
            <w:tcW w:w="55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222" w:type="pct"/>
            <w:shd w:val="clear" w:color="auto" w:fill="auto"/>
            <w:vAlign w:val="center"/>
          </w:tcPr>
          <w:p>
            <w:pPr>
              <w:jc w:val="right"/>
              <w:rPr>
                <w:rFonts w:hint="default" w:ascii="Times New Roman" w:hAnsi="Times New Roman" w:cs="Times New Roman"/>
                <w:szCs w:val="21"/>
              </w:rPr>
            </w:pPr>
          </w:p>
        </w:tc>
        <w:tc>
          <w:tcPr>
            <w:tcW w:w="52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1,578,808.82</w:t>
            </w:r>
          </w:p>
        </w:tc>
        <w:tc>
          <w:tcPr>
            <w:tcW w:w="36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89.31</w:t>
            </w:r>
          </w:p>
        </w:tc>
        <w:tc>
          <w:tcPr>
            <w:tcW w:w="25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95</w:t>
            </w:r>
          </w:p>
        </w:tc>
        <w:tc>
          <w:tcPr>
            <w:tcW w:w="193" w:type="pct"/>
            <w:shd w:val="clear" w:color="auto" w:fill="auto"/>
            <w:vAlign w:val="center"/>
          </w:tcPr>
          <w:p>
            <w:pPr>
              <w:jc w:val="right"/>
              <w:rPr>
                <w:rFonts w:hint="default" w:ascii="Times New Roman" w:hAnsi="Times New Roman" w:cs="Times New Roman"/>
                <w:szCs w:val="21"/>
              </w:rPr>
            </w:pPr>
          </w:p>
        </w:tc>
        <w:tc>
          <w:tcPr>
            <w:tcW w:w="251" w:type="pct"/>
            <w:shd w:val="clear" w:color="auto" w:fill="auto"/>
          </w:tcPr>
          <w:p>
            <w:pPr>
              <w:jc w:val="right"/>
              <w:rPr>
                <w:szCs w:val="21"/>
              </w:rPr>
            </w:pPr>
          </w:p>
        </w:tc>
        <w:tc>
          <w:tcPr>
            <w:tcW w:w="266" w:type="pct"/>
            <w:shd w:val="clear" w:color="auto" w:fill="auto"/>
          </w:tcPr>
          <w:p>
            <w:pPr>
              <w:jc w:val="right"/>
              <w:rPr>
                <w:szCs w:val="21"/>
              </w:rPr>
            </w:pPr>
          </w:p>
        </w:tc>
        <w:tc>
          <w:tcPr>
            <w:tcW w:w="312" w:type="pct"/>
            <w:shd w:val="clear" w:color="auto" w:fill="auto"/>
          </w:tcPr>
          <w:p>
            <w:pPr>
              <w:rPr>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2" w:type="pct"/>
            <w:shd w:val="clear" w:color="auto" w:fill="auto"/>
          </w:tcPr>
          <w:p>
            <w:pPr>
              <w:rPr>
                <w:szCs w:val="21"/>
              </w:rPr>
            </w:pPr>
            <w:r>
              <w:t>制管车间二楼彩钢板整改项目</w:t>
            </w:r>
          </w:p>
        </w:tc>
        <w:tc>
          <w:tcPr>
            <w:tcW w:w="455" w:type="pct"/>
            <w:shd w:val="clear" w:color="auto" w:fill="auto"/>
            <w:vAlign w:val="center"/>
          </w:tcPr>
          <w:p>
            <w:pPr>
              <w:jc w:val="right"/>
              <w:rPr>
                <w:rFonts w:hint="default" w:ascii="Times New Roman" w:hAnsi="Times New Roman" w:eastAsia="宋体" w:cs="Times New Roman"/>
                <w:szCs w:val="21"/>
                <w:lang w:val="en-US" w:eastAsia="zh-CN"/>
              </w:rPr>
            </w:pPr>
            <w:r>
              <w:rPr>
                <w:rFonts w:hint="default" w:ascii="Times New Roman" w:hAnsi="Times New Roman" w:cs="Times New Roman"/>
                <w:lang w:eastAsia="zh-CN"/>
              </w:rPr>
              <w:t>1,630,000</w:t>
            </w:r>
          </w:p>
        </w:tc>
        <w:tc>
          <w:tcPr>
            <w:tcW w:w="53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376,107.60</w:t>
            </w:r>
          </w:p>
        </w:tc>
        <w:tc>
          <w:tcPr>
            <w:tcW w:w="58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918,631.08</w:t>
            </w:r>
          </w:p>
        </w:tc>
        <w:tc>
          <w:tcPr>
            <w:tcW w:w="55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222" w:type="pct"/>
            <w:shd w:val="clear" w:color="auto" w:fill="auto"/>
            <w:vAlign w:val="center"/>
          </w:tcPr>
          <w:p>
            <w:pPr>
              <w:jc w:val="right"/>
              <w:rPr>
                <w:rFonts w:hint="default" w:ascii="Times New Roman" w:hAnsi="Times New Roman" w:cs="Times New Roman"/>
                <w:szCs w:val="21"/>
              </w:rPr>
            </w:pPr>
          </w:p>
        </w:tc>
        <w:tc>
          <w:tcPr>
            <w:tcW w:w="52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1,294,738.68</w:t>
            </w:r>
          </w:p>
        </w:tc>
        <w:tc>
          <w:tcPr>
            <w:tcW w:w="36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84.04</w:t>
            </w:r>
          </w:p>
        </w:tc>
        <w:tc>
          <w:tcPr>
            <w:tcW w:w="25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95</w:t>
            </w:r>
          </w:p>
        </w:tc>
        <w:tc>
          <w:tcPr>
            <w:tcW w:w="193" w:type="pct"/>
            <w:shd w:val="clear" w:color="auto" w:fill="auto"/>
            <w:vAlign w:val="center"/>
          </w:tcPr>
          <w:p>
            <w:pPr>
              <w:jc w:val="right"/>
              <w:rPr>
                <w:rFonts w:hint="default" w:ascii="Times New Roman" w:hAnsi="Times New Roman" w:cs="Times New Roman"/>
                <w:szCs w:val="21"/>
              </w:rPr>
            </w:pPr>
          </w:p>
        </w:tc>
        <w:tc>
          <w:tcPr>
            <w:tcW w:w="251" w:type="pct"/>
            <w:shd w:val="clear" w:color="auto" w:fill="auto"/>
          </w:tcPr>
          <w:p>
            <w:pPr>
              <w:jc w:val="right"/>
              <w:rPr>
                <w:szCs w:val="21"/>
              </w:rPr>
            </w:pPr>
          </w:p>
        </w:tc>
        <w:tc>
          <w:tcPr>
            <w:tcW w:w="266" w:type="pct"/>
            <w:shd w:val="clear" w:color="auto" w:fill="auto"/>
          </w:tcPr>
          <w:p>
            <w:pPr>
              <w:jc w:val="right"/>
              <w:rPr>
                <w:szCs w:val="21"/>
              </w:rPr>
            </w:pPr>
          </w:p>
        </w:tc>
        <w:tc>
          <w:tcPr>
            <w:tcW w:w="312" w:type="pct"/>
            <w:shd w:val="clear" w:color="auto" w:fill="auto"/>
          </w:tcPr>
          <w:p>
            <w:pPr>
              <w:rPr>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2" w:type="pct"/>
            <w:shd w:val="clear" w:color="auto" w:fill="auto"/>
          </w:tcPr>
          <w:p>
            <w:pPr>
              <w:rPr>
                <w:szCs w:val="21"/>
              </w:rPr>
            </w:pPr>
            <w:r>
              <w:t>洗涤车间改造项目</w:t>
            </w:r>
          </w:p>
        </w:tc>
        <w:tc>
          <w:tcPr>
            <w:tcW w:w="455" w:type="pct"/>
            <w:shd w:val="clear" w:color="auto" w:fill="auto"/>
            <w:vAlign w:val="center"/>
          </w:tcPr>
          <w:p>
            <w:pPr>
              <w:jc w:val="right"/>
              <w:rPr>
                <w:rFonts w:hint="default" w:ascii="Times New Roman" w:hAnsi="Times New Roman" w:eastAsia="宋体" w:cs="Times New Roman"/>
                <w:szCs w:val="21"/>
                <w:lang w:val="en-US" w:eastAsia="zh-CN"/>
              </w:rPr>
            </w:pPr>
            <w:r>
              <w:rPr>
                <w:rFonts w:hint="default" w:ascii="Times New Roman" w:hAnsi="Times New Roman" w:cs="Times New Roman"/>
                <w:lang w:eastAsia="zh-CN"/>
              </w:rPr>
              <w:t>2,890,000</w:t>
            </w:r>
          </w:p>
        </w:tc>
        <w:tc>
          <w:tcPr>
            <w:tcW w:w="53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58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1,049,062.24</w:t>
            </w:r>
          </w:p>
        </w:tc>
        <w:tc>
          <w:tcPr>
            <w:tcW w:w="55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222" w:type="pct"/>
            <w:shd w:val="clear" w:color="auto" w:fill="auto"/>
            <w:vAlign w:val="center"/>
          </w:tcPr>
          <w:p>
            <w:pPr>
              <w:jc w:val="right"/>
              <w:rPr>
                <w:rFonts w:hint="default" w:ascii="Times New Roman" w:hAnsi="Times New Roman" w:cs="Times New Roman"/>
                <w:szCs w:val="21"/>
              </w:rPr>
            </w:pPr>
          </w:p>
        </w:tc>
        <w:tc>
          <w:tcPr>
            <w:tcW w:w="52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1,049,062.24</w:t>
            </w:r>
          </w:p>
        </w:tc>
        <w:tc>
          <w:tcPr>
            <w:tcW w:w="36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54.02</w:t>
            </w:r>
          </w:p>
        </w:tc>
        <w:tc>
          <w:tcPr>
            <w:tcW w:w="25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95</w:t>
            </w:r>
          </w:p>
        </w:tc>
        <w:tc>
          <w:tcPr>
            <w:tcW w:w="193" w:type="pct"/>
            <w:shd w:val="clear" w:color="auto" w:fill="auto"/>
            <w:vAlign w:val="center"/>
          </w:tcPr>
          <w:p>
            <w:pPr>
              <w:jc w:val="right"/>
              <w:rPr>
                <w:rFonts w:hint="default" w:ascii="Times New Roman" w:hAnsi="Times New Roman" w:cs="Times New Roman"/>
                <w:szCs w:val="21"/>
              </w:rPr>
            </w:pPr>
          </w:p>
        </w:tc>
        <w:tc>
          <w:tcPr>
            <w:tcW w:w="251" w:type="pct"/>
            <w:shd w:val="clear" w:color="auto" w:fill="auto"/>
          </w:tcPr>
          <w:p>
            <w:pPr>
              <w:jc w:val="right"/>
              <w:rPr>
                <w:szCs w:val="21"/>
              </w:rPr>
            </w:pPr>
          </w:p>
        </w:tc>
        <w:tc>
          <w:tcPr>
            <w:tcW w:w="266" w:type="pct"/>
            <w:shd w:val="clear" w:color="auto" w:fill="auto"/>
          </w:tcPr>
          <w:p>
            <w:pPr>
              <w:jc w:val="right"/>
              <w:rPr>
                <w:szCs w:val="21"/>
              </w:rPr>
            </w:pPr>
          </w:p>
        </w:tc>
        <w:tc>
          <w:tcPr>
            <w:tcW w:w="312" w:type="pct"/>
            <w:shd w:val="clear" w:color="auto" w:fill="auto"/>
          </w:tcPr>
          <w:p>
            <w:pPr>
              <w:rPr>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2" w:type="pct"/>
            <w:shd w:val="clear" w:color="auto" w:fill="auto"/>
          </w:tcPr>
          <w:p>
            <w:pPr>
              <w:rPr>
                <w:szCs w:val="21"/>
              </w:rPr>
            </w:pPr>
            <w:r>
              <w:t>灌包装线技改项目</w:t>
            </w:r>
          </w:p>
        </w:tc>
        <w:tc>
          <w:tcPr>
            <w:tcW w:w="455" w:type="pct"/>
            <w:shd w:val="clear" w:color="auto" w:fill="auto"/>
            <w:vAlign w:val="center"/>
          </w:tcPr>
          <w:p>
            <w:pPr>
              <w:jc w:val="right"/>
              <w:rPr>
                <w:rFonts w:hint="default" w:ascii="Times New Roman" w:hAnsi="Times New Roman" w:eastAsia="宋体" w:cs="Times New Roman"/>
                <w:szCs w:val="21"/>
                <w:lang w:val="en-US" w:eastAsia="zh-CN"/>
              </w:rPr>
            </w:pPr>
            <w:r>
              <w:rPr>
                <w:rFonts w:hint="default" w:ascii="Times New Roman" w:hAnsi="Times New Roman" w:cs="Times New Roman"/>
                <w:lang w:eastAsia="zh-CN"/>
              </w:rPr>
              <w:t>2,230,000</w:t>
            </w:r>
          </w:p>
        </w:tc>
        <w:tc>
          <w:tcPr>
            <w:tcW w:w="53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1,909,954.18</w:t>
            </w:r>
          </w:p>
        </w:tc>
        <w:tc>
          <w:tcPr>
            <w:tcW w:w="58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55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1,909,954.18</w:t>
            </w:r>
          </w:p>
        </w:tc>
        <w:tc>
          <w:tcPr>
            <w:tcW w:w="222" w:type="pct"/>
            <w:shd w:val="clear" w:color="auto" w:fill="auto"/>
            <w:vAlign w:val="center"/>
          </w:tcPr>
          <w:p>
            <w:pPr>
              <w:jc w:val="right"/>
              <w:rPr>
                <w:rFonts w:hint="default" w:ascii="Times New Roman" w:hAnsi="Times New Roman" w:cs="Times New Roman"/>
                <w:szCs w:val="21"/>
              </w:rPr>
            </w:pPr>
          </w:p>
        </w:tc>
        <w:tc>
          <w:tcPr>
            <w:tcW w:w="52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36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97.78</w:t>
            </w:r>
          </w:p>
        </w:tc>
        <w:tc>
          <w:tcPr>
            <w:tcW w:w="25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100</w:t>
            </w:r>
          </w:p>
        </w:tc>
        <w:tc>
          <w:tcPr>
            <w:tcW w:w="193" w:type="pct"/>
            <w:shd w:val="clear" w:color="auto" w:fill="auto"/>
            <w:vAlign w:val="center"/>
          </w:tcPr>
          <w:p>
            <w:pPr>
              <w:jc w:val="right"/>
              <w:rPr>
                <w:rFonts w:hint="default" w:ascii="Times New Roman" w:hAnsi="Times New Roman" w:cs="Times New Roman"/>
                <w:szCs w:val="21"/>
              </w:rPr>
            </w:pPr>
          </w:p>
        </w:tc>
        <w:tc>
          <w:tcPr>
            <w:tcW w:w="251" w:type="pct"/>
            <w:shd w:val="clear" w:color="auto" w:fill="auto"/>
          </w:tcPr>
          <w:p>
            <w:pPr>
              <w:jc w:val="right"/>
              <w:rPr>
                <w:szCs w:val="21"/>
              </w:rPr>
            </w:pPr>
          </w:p>
        </w:tc>
        <w:tc>
          <w:tcPr>
            <w:tcW w:w="266" w:type="pct"/>
            <w:shd w:val="clear" w:color="auto" w:fill="auto"/>
          </w:tcPr>
          <w:p>
            <w:pPr>
              <w:jc w:val="right"/>
              <w:rPr>
                <w:szCs w:val="21"/>
              </w:rPr>
            </w:pPr>
          </w:p>
        </w:tc>
        <w:tc>
          <w:tcPr>
            <w:tcW w:w="312" w:type="pct"/>
            <w:shd w:val="clear" w:color="auto" w:fill="auto"/>
          </w:tcPr>
          <w:p>
            <w:pPr>
              <w:rPr>
                <w:szCs w:val="21"/>
              </w:rPr>
            </w:pPr>
            <w:r>
              <w:t>自有资金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2" w:type="pct"/>
            <w:shd w:val="clear" w:color="auto" w:fill="auto"/>
            <w:vAlign w:val="center"/>
          </w:tcPr>
          <w:p>
            <w:pPr>
              <w:jc w:val="center"/>
              <w:rPr>
                <w:szCs w:val="21"/>
              </w:rPr>
            </w:pPr>
            <w:r>
              <w:rPr>
                <w:rFonts w:hint="eastAsia"/>
                <w:szCs w:val="21"/>
              </w:rPr>
              <w:t>合计</w:t>
            </w:r>
          </w:p>
        </w:tc>
        <w:tc>
          <w:tcPr>
            <w:tcW w:w="455" w:type="pct"/>
            <w:shd w:val="clear" w:color="auto" w:fill="auto"/>
            <w:vAlign w:val="center"/>
          </w:tcPr>
          <w:p>
            <w:pPr>
              <w:jc w:val="right"/>
              <w:rPr>
                <w:rFonts w:hint="default" w:ascii="Times New Roman" w:hAnsi="Times New Roman" w:cs="Times New Roman"/>
                <w:lang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7,</w:t>
            </w:r>
            <w:r>
              <w:rPr>
                <w:rFonts w:hint="default" w:ascii="Times New Roman" w:hAnsi="Times New Roman" w:cs="Times New Roman"/>
                <w:lang w:val="en-US" w:eastAsia="zh-CN"/>
              </w:rPr>
              <w:t>9</w:t>
            </w:r>
            <w:r>
              <w:rPr>
                <w:rFonts w:hint="eastAsia" w:ascii="Times New Roman" w:hAnsi="Times New Roman" w:cs="Times New Roman"/>
                <w:lang w:val="en-US" w:eastAsia="zh-CN"/>
              </w:rPr>
              <w:t>01,</w:t>
            </w:r>
            <w:r>
              <w:rPr>
                <w:rFonts w:hint="default" w:ascii="Times New Roman" w:hAnsi="Times New Roman" w:cs="Times New Roman"/>
                <w:lang w:val="en-US" w:eastAsia="zh-CN"/>
              </w:rPr>
              <w:t>000</w:t>
            </w:r>
          </w:p>
        </w:tc>
        <w:tc>
          <w:tcPr>
            <w:tcW w:w="530" w:type="pct"/>
            <w:shd w:val="clear" w:color="auto" w:fill="auto"/>
            <w:vAlign w:val="center"/>
          </w:tcPr>
          <w:p>
            <w:pPr>
              <w:jc w:val="right"/>
              <w:rPr>
                <w:rFonts w:hint="default" w:ascii="Times New Roman" w:hAnsi="Times New Roman" w:cs="Times New Roman"/>
                <w:lang w:eastAsia="zh-CN"/>
              </w:rPr>
            </w:pPr>
            <w:r>
              <w:rPr>
                <w:rFonts w:hint="default" w:ascii="Times New Roman" w:hAnsi="Times New Roman" w:cs="Times New Roman"/>
                <w:lang w:eastAsia="zh-CN"/>
              </w:rPr>
              <w:t>3,778,895.71</w:t>
            </w:r>
          </w:p>
        </w:tc>
        <w:tc>
          <w:tcPr>
            <w:tcW w:w="580" w:type="pct"/>
            <w:shd w:val="clear" w:color="auto" w:fill="auto"/>
            <w:vAlign w:val="center"/>
          </w:tcPr>
          <w:p>
            <w:pPr>
              <w:jc w:val="right"/>
              <w:rPr>
                <w:rFonts w:hint="default" w:ascii="Times New Roman" w:hAnsi="Times New Roman" w:cs="Times New Roman"/>
                <w:lang w:eastAsia="zh-CN"/>
              </w:rPr>
            </w:pPr>
            <w:r>
              <w:rPr>
                <w:rFonts w:hint="default" w:ascii="Times New Roman" w:hAnsi="Times New Roman" w:cs="Times New Roman"/>
                <w:lang w:eastAsia="zh-CN"/>
              </w:rPr>
              <w:t>5,418,240.62</w:t>
            </w:r>
          </w:p>
        </w:tc>
        <w:tc>
          <w:tcPr>
            <w:tcW w:w="551" w:type="pct"/>
            <w:shd w:val="clear" w:color="auto" w:fill="auto"/>
            <w:vAlign w:val="center"/>
          </w:tcPr>
          <w:p>
            <w:pPr>
              <w:jc w:val="right"/>
              <w:rPr>
                <w:rFonts w:hint="default" w:ascii="Times New Roman" w:hAnsi="Times New Roman" w:cs="Times New Roman"/>
                <w:lang w:eastAsia="zh-CN"/>
              </w:rPr>
            </w:pPr>
            <w:r>
              <w:rPr>
                <w:rFonts w:hint="default" w:ascii="Times New Roman" w:hAnsi="Times New Roman" w:cs="Times New Roman"/>
                <w:lang w:eastAsia="zh-CN"/>
              </w:rPr>
              <w:t>1,909,954.18</w:t>
            </w:r>
          </w:p>
        </w:tc>
        <w:tc>
          <w:tcPr>
            <w:tcW w:w="222" w:type="pct"/>
            <w:shd w:val="clear" w:color="auto" w:fill="auto"/>
            <w:vAlign w:val="center"/>
          </w:tcPr>
          <w:p>
            <w:pPr>
              <w:jc w:val="right"/>
              <w:rPr>
                <w:rFonts w:hint="default" w:ascii="Times New Roman" w:hAnsi="Times New Roman" w:cs="Times New Roman"/>
                <w:lang w:eastAsia="zh-CN"/>
              </w:rPr>
            </w:pPr>
          </w:p>
        </w:tc>
        <w:tc>
          <w:tcPr>
            <w:tcW w:w="522" w:type="pct"/>
            <w:vAlign w:val="center"/>
          </w:tcPr>
          <w:p>
            <w:pPr>
              <w:jc w:val="right"/>
              <w:rPr>
                <w:rFonts w:hint="default" w:ascii="Times New Roman" w:hAnsi="Times New Roman" w:cs="Times New Roman"/>
                <w:lang w:eastAsia="zh-CN"/>
              </w:rPr>
            </w:pPr>
            <w:r>
              <w:rPr>
                <w:rFonts w:hint="default" w:ascii="Times New Roman" w:hAnsi="Times New Roman" w:cs="Times New Roman"/>
                <w:lang w:eastAsia="zh-CN"/>
              </w:rPr>
              <w:t>7,287,182.15</w:t>
            </w:r>
          </w:p>
        </w:tc>
        <w:tc>
          <w:tcPr>
            <w:tcW w:w="36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25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c>
          <w:tcPr>
            <w:tcW w:w="193" w:type="pct"/>
            <w:shd w:val="clear" w:color="auto" w:fill="auto"/>
            <w:vAlign w:val="center"/>
          </w:tcPr>
          <w:p>
            <w:pPr>
              <w:jc w:val="right"/>
              <w:rPr>
                <w:rFonts w:hint="default" w:ascii="Times New Roman" w:hAnsi="Times New Roman" w:cs="Times New Roman"/>
                <w:szCs w:val="21"/>
              </w:rPr>
            </w:pPr>
          </w:p>
        </w:tc>
        <w:tc>
          <w:tcPr>
            <w:tcW w:w="251" w:type="pct"/>
            <w:shd w:val="clear" w:color="auto" w:fill="auto"/>
          </w:tcPr>
          <w:p>
            <w:pPr>
              <w:jc w:val="right"/>
              <w:rPr>
                <w:szCs w:val="21"/>
              </w:rPr>
            </w:pPr>
          </w:p>
        </w:tc>
        <w:tc>
          <w:tcPr>
            <w:tcW w:w="266" w:type="pct"/>
            <w:shd w:val="clear" w:color="auto" w:fill="auto"/>
          </w:tcPr>
          <w:p>
            <w:pPr>
              <w:jc w:val="center"/>
              <w:rPr>
                <w:szCs w:val="21"/>
              </w:rPr>
            </w:pPr>
            <w:r>
              <w:rPr>
                <w:szCs w:val="21"/>
              </w:rPr>
              <w:t>/</w:t>
            </w:r>
          </w:p>
        </w:tc>
        <w:tc>
          <w:tcPr>
            <w:tcW w:w="312" w:type="pct"/>
            <w:shd w:val="clear" w:color="auto" w:fill="auto"/>
          </w:tcPr>
          <w:p>
            <w:pPr>
              <w:jc w:val="center"/>
              <w:rPr>
                <w:szCs w:val="21"/>
              </w:rPr>
            </w:pPr>
            <w:r>
              <w:rPr>
                <w:szCs w:val="21"/>
              </w:rPr>
              <w:t>/</w:t>
            </w:r>
          </w:p>
        </w:tc>
      </w:tr>
    </w:tbl>
    <w:p/>
    <w:p/>
    <w:p/>
    <w:p>
      <w:pPr>
        <w:sectPr>
          <w:pgSz w:w="16838" w:h="11906" w:orient="landscape"/>
          <w:pgMar w:top="1276" w:right="1440" w:bottom="1797" w:left="1525" w:header="856" w:footer="992" w:gutter="0"/>
          <w:cols w:space="425" w:num="1"/>
          <w:docGrid w:linePitch="312" w:charSpace="0"/>
        </w:sectPr>
      </w:pPr>
    </w:p>
    <w:p>
      <w:pPr>
        <w:pStyle w:val="203"/>
        <w:numPr>
          <w:ilvl w:val="0"/>
          <w:numId w:val="86"/>
        </w:numPr>
        <w:ind w:leftChars="0"/>
        <w:rPr>
          <w:rFonts w:ascii="宋体" w:hAnsi="宋体" w:cs="宋体"/>
          <w:kern w:val="0"/>
          <w:szCs w:val="24"/>
        </w:rPr>
      </w:pPr>
      <w:r>
        <w:rPr>
          <w:rFonts w:hint="eastAsia" w:ascii="宋体" w:hAnsi="宋体" w:cs="宋体"/>
          <w:kern w:val="0"/>
          <w:szCs w:val="24"/>
        </w:rPr>
        <w:t>本期计提在建工程减值准备情况</w:t>
      </w:r>
    </w:p>
    <w:sdt>
      <w:sdtPr>
        <w:alias w:val="是否适用：本期计提在建工程减值准备情况[双击切换]"/>
        <w:tag w:val="_GBC_f0a78e682a314d34a7b55dd88c219307"/>
        <w:id w:val="2711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03"/>
        <w:numPr>
          <w:ilvl w:val="0"/>
          <w:numId w:val="86"/>
        </w:numPr>
        <w:ind w:leftChars="0"/>
        <w:rPr>
          <w:rFonts w:ascii="宋体" w:hAnsi="宋体" w:cs="宋体"/>
          <w:kern w:val="0"/>
          <w:szCs w:val="24"/>
        </w:rPr>
      </w:pPr>
      <w:bookmarkStart w:id="259" w:name="_Hlk153461314"/>
      <w:r>
        <w:rPr>
          <w:rFonts w:hint="eastAsia" w:ascii="宋体" w:hAnsi="宋体" w:cs="宋体"/>
          <w:kern w:val="0"/>
          <w:szCs w:val="24"/>
        </w:rPr>
        <w:t>在建工程的减值测试情况</w:t>
      </w:r>
    </w:p>
    <w:sdt>
      <w:sdtPr>
        <w:alias w:val="是否适用：减值测试情况[双击切换]"/>
        <w:tag w:val="_GBC_d3e3ceb3450d42e8a3d61da2c2d7d3cb"/>
        <w:id w:val="27120"/>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59"/>
    <w:p>
      <w:pPr>
        <w:rPr>
          <w:szCs w:val="21"/>
        </w:rPr>
      </w:pPr>
      <w:r>
        <w:rPr>
          <w:rFonts w:hint="eastAsia"/>
          <w:szCs w:val="21"/>
        </w:rPr>
        <w:t>其他说明</w:t>
      </w:r>
    </w:p>
    <w:sdt>
      <w:sdtPr>
        <w:rPr>
          <w:szCs w:val="21"/>
        </w:rPr>
        <w:alias w:val="是否适用：在建工程的说明[双击切换]"/>
        <w:tag w:val="_GBC_e6220a45d928426882f5c3ad23ff2098"/>
        <w:id w:val="27121"/>
        <w:placeholder>
          <w:docPart w:val="GBC22222222222222222222222222222"/>
        </w:placeholder>
      </w:sdtPr>
      <w:sdtEndPr>
        <w:rPr>
          <w:szCs w:val="21"/>
        </w:rPr>
      </w:sdtEndPr>
      <w:sdtContent>
        <w:p>
          <w:pPr>
            <w:outlineLvl w:val="9"/>
            <w:rPr>
              <w:color w:val="FF0000"/>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ind w:left="360" w:hanging="360"/>
      </w:pPr>
      <w:bookmarkStart w:id="260" w:name="_Hlk532903321"/>
      <w:r>
        <w:rPr>
          <w:rFonts w:hint="eastAsia"/>
        </w:rPr>
        <w:t>工程物资</w:t>
      </w:r>
    </w:p>
    <w:p>
      <w:pPr>
        <w:pStyle w:val="203"/>
        <w:numPr>
          <w:ilvl w:val="0"/>
          <w:numId w:val="86"/>
        </w:numPr>
        <w:ind w:leftChars="0"/>
      </w:pPr>
      <w:r>
        <w:rPr>
          <w:rFonts w:hint="eastAsia"/>
        </w:rPr>
        <w:t>工程物资情况</w:t>
      </w:r>
    </w:p>
    <w:sdt>
      <w:sdtPr>
        <w:alias w:val="是否适用：工程物资[双击切换]"/>
        <w:tag w:val="_GBC_91916c11fa864423a1c0e6a4024fdda5"/>
        <w:id w:val="27122"/>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theme="minorBidi"/>
          <w:szCs w:val="21"/>
        </w:rPr>
      </w:pPr>
    </w:p>
    <w:bookmarkEnd w:id="260"/>
    <w:p>
      <w:pPr>
        <w:pStyle w:val="229"/>
        <w:numPr>
          <w:ilvl w:val="0"/>
          <w:numId w:val="71"/>
        </w:numPr>
        <w:tabs>
          <w:tab w:val="left" w:pos="504"/>
        </w:tabs>
        <w:rPr>
          <w:rFonts w:ascii="宋体" w:hAnsi="宋体"/>
          <w:szCs w:val="21"/>
        </w:rPr>
      </w:pPr>
      <w:r>
        <w:rPr>
          <w:rFonts w:hint="eastAsia" w:ascii="宋体" w:hAnsi="宋体"/>
          <w:szCs w:val="21"/>
        </w:rPr>
        <w:t>生产性生物资产</w:t>
      </w:r>
    </w:p>
    <w:p>
      <w:pPr>
        <w:pStyle w:val="196"/>
        <w:numPr>
          <w:ilvl w:val="3"/>
          <w:numId w:val="87"/>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27123"/>
        <w:placeholder>
          <w:docPart w:val="GBC22222222222222222222222222222"/>
        </w:placeholder>
      </w:sdtPr>
      <w:sdtEndPr>
        <w:rPr>
          <w:rFonts w:hint="eastAsia"/>
          <w:szCs w:val="21"/>
        </w:rPr>
      </w:sdtEndPr>
      <w:sdtContent>
        <w:p>
          <w:pPr>
            <w:ind w:right="210" w:rightChars="100"/>
            <w:rPr>
              <w:rFonts w:hint="eastAsia"/>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ind w:right="210" w:rightChars="100"/>
        <w:outlineLvl w:val="9"/>
        <w:rPr>
          <w:rFonts w:hint="eastAsia"/>
          <w:szCs w:val="21"/>
        </w:rPr>
      </w:pPr>
    </w:p>
    <w:p>
      <w:pPr>
        <w:pStyle w:val="196"/>
        <w:numPr>
          <w:ilvl w:val="3"/>
          <w:numId w:val="87"/>
        </w:numPr>
        <w:ind w:left="426" w:hanging="426"/>
        <w:rPr>
          <w:rFonts w:ascii="宋体" w:hAnsi="宋体" w:eastAsia="宋体" w:cstheme="minorBidi"/>
          <w:kern w:val="0"/>
          <w:szCs w:val="24"/>
        </w:rPr>
      </w:pPr>
      <w:bookmarkStart w:id="261" w:name="_Hlk153461442"/>
      <w:r>
        <w:rPr>
          <w:rFonts w:hint="eastAsia" w:ascii="宋体" w:hAnsi="宋体" w:eastAsia="宋体" w:cstheme="minorBidi"/>
          <w:kern w:val="0"/>
          <w:szCs w:val="24"/>
        </w:rPr>
        <w:t>采用成本计量模式的生产性生物资产的减值测试情况</w:t>
      </w:r>
    </w:p>
    <w:sdt>
      <w:sdtPr>
        <w:alias w:val="是否适用：减值测试情况[双击切换]"/>
        <w:tag w:val="_GBC_1463ca9b414a4cb28d5d13fd1d3b8486"/>
        <w:id w:val="27124"/>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61"/>
    <w:p>
      <w:pPr>
        <w:pStyle w:val="196"/>
        <w:numPr>
          <w:ilvl w:val="3"/>
          <w:numId w:val="87"/>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27125"/>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27126"/>
        <w:placeholder>
          <w:docPart w:val="GBC22222222222222222222222222222"/>
        </w:placeholder>
      </w:sdtPr>
      <w:sdtEndPr>
        <w:rPr>
          <w:szCs w:val="21"/>
        </w:rPr>
      </w:sdtEndPr>
      <w:sdtContent>
        <w:p>
          <w:pPr>
            <w:autoSpaceDE w:val="0"/>
            <w:autoSpaceDN w:val="0"/>
            <w:adjustRightInd w:val="0"/>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油气资产</w:t>
      </w:r>
    </w:p>
    <w:p>
      <w:pPr>
        <w:pStyle w:val="196"/>
        <w:numPr>
          <w:ilvl w:val="0"/>
          <w:numId w:val="88"/>
        </w:numPr>
        <w:ind w:left="450" w:hanging="450"/>
      </w:pPr>
      <w:r>
        <w:rPr>
          <w:rFonts w:hint="eastAsia"/>
        </w:rPr>
        <w:t>油气资产情况</w:t>
      </w:r>
    </w:p>
    <w:sdt>
      <w:sdtPr>
        <w:alias w:val="是否适用：油气资产[双击切换]"/>
        <w:tag w:val="_GBC_a587239cd6ac4d96b99f6fe496e97c34"/>
        <w:id w:val="27127"/>
        <w:placeholder>
          <w:docPart w:val="GBC22222222222222222222222222222"/>
        </w:placeholder>
      </w:sdtPr>
      <w:sdtContent>
        <w:p>
          <w:pPr>
            <w:autoSpaceDE w:val="0"/>
            <w:autoSpaceDN w:val="0"/>
            <w:adjustRightInd w:val="0"/>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outlineLvl w:val="9"/>
      </w:pPr>
    </w:p>
    <w:p>
      <w:pPr>
        <w:pStyle w:val="196"/>
        <w:numPr>
          <w:ilvl w:val="0"/>
          <w:numId w:val="88"/>
        </w:numPr>
        <w:ind w:left="450" w:hanging="450"/>
      </w:pPr>
      <w:bookmarkStart w:id="262" w:name="_Hlk153461604"/>
      <w:r>
        <w:rPr>
          <w:rFonts w:hint="eastAsia"/>
        </w:rPr>
        <w:t>油气资产的减值测试情况</w:t>
      </w:r>
    </w:p>
    <w:sdt>
      <w:sdtPr>
        <w:alias w:val="是否适用：减值测试情况[双击切换]"/>
        <w:tag w:val="_GBC_c658db7dbb96462dbe4ab745ca73e3ca"/>
        <w:id w:val="27128"/>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62"/>
    <w:p>
      <w:pPr>
        <w:autoSpaceDE w:val="0"/>
        <w:autoSpaceDN w:val="0"/>
        <w:adjustRightInd w:val="0"/>
        <w:rPr>
          <w:szCs w:val="21"/>
        </w:rPr>
      </w:pPr>
      <w:bookmarkStart w:id="263" w:name="_Hlk152863119"/>
      <w:r>
        <w:rPr>
          <w:rFonts w:hint="eastAsia"/>
          <w:szCs w:val="21"/>
        </w:rPr>
        <w:t>其他说明：</w:t>
      </w:r>
    </w:p>
    <w:p>
      <w:pPr>
        <w:rPr>
          <w:szCs w:val="21"/>
        </w:rPr>
      </w:pPr>
      <w:sdt>
        <w:sdtPr>
          <w:rPr>
            <w:szCs w:val="21"/>
          </w:rPr>
          <w:alias w:val="油气资产的说明"/>
          <w:tag w:val="_GBC_4766b2b071af48e7aaf22a35a082671e"/>
          <w:id w:val="27129"/>
          <w:placeholder>
            <w:docPart w:val="GBC22222222222222222222222222222"/>
          </w:placeholder>
        </w:sdtPr>
        <w:sdtEndPr>
          <w:rPr>
            <w:szCs w:val="21"/>
          </w:rPr>
        </w:sdtEndPr>
        <w:sdtContent>
          <w:r>
            <w:rPr>
              <w:rFonts w:hint="eastAsia"/>
              <w:szCs w:val="21"/>
              <w:lang w:eastAsia="zh-CN"/>
            </w:rPr>
            <w:t>无</w:t>
          </w:r>
        </w:sdtContent>
      </w:sdt>
    </w:p>
    <w:bookmarkEnd w:id="263"/>
    <w:p>
      <w:pPr>
        <w:rPr>
          <w:szCs w:val="21"/>
        </w:rPr>
      </w:pPr>
    </w:p>
    <w:sdt>
      <w:sdtPr>
        <w:rPr>
          <w:rFonts w:hint="eastAsia" w:ascii="宋体" w:hAnsi="宋体" w:cs="宋体"/>
          <w:b w:val="0"/>
          <w:bCs w:val="0"/>
          <w:kern w:val="0"/>
          <w:szCs w:val="21"/>
        </w:rPr>
        <w:alias w:val="模块:使用权资产"/>
        <w:tag w:val="_SEC_56ef077439914c3f97ba31c1af9eef32"/>
        <w:id w:val="27130"/>
        <w:placeholder>
          <w:docPart w:val="GBC22222222222222222222222222222"/>
        </w:placeholder>
      </w:sdtPr>
      <w:sdtEndPr>
        <w:rPr>
          <w:rFonts w:hint="eastAsia" w:ascii="宋体" w:hAnsi="宋体" w:cs="宋体"/>
          <w:b w:val="0"/>
          <w:bCs w:val="0"/>
          <w:kern w:val="0"/>
          <w:szCs w:val="24"/>
        </w:rPr>
      </w:sdtEndPr>
      <w:sdtContent>
        <w:p>
          <w:pPr>
            <w:pStyle w:val="4"/>
            <w:numPr>
              <w:ilvl w:val="0"/>
              <w:numId w:val="71"/>
            </w:numPr>
            <w:tabs>
              <w:tab w:val="left" w:pos="504"/>
            </w:tabs>
            <w:rPr>
              <w:szCs w:val="21"/>
            </w:rPr>
          </w:pPr>
          <w:bookmarkStart w:id="264" w:name="_Hlk24026112"/>
          <w:r>
            <w:rPr>
              <w:rFonts w:hint="eastAsia"/>
              <w:szCs w:val="21"/>
            </w:rPr>
            <w:t>使用权资产</w:t>
          </w:r>
        </w:p>
        <w:p>
          <w:pPr>
            <w:pStyle w:val="5"/>
            <w:numPr>
              <w:ilvl w:val="0"/>
              <w:numId w:val="89"/>
            </w:numPr>
            <w:ind w:left="450" w:hanging="450"/>
          </w:pPr>
          <w:r>
            <w:rPr>
              <w:rFonts w:hint="eastAsia"/>
            </w:rPr>
            <w:t>使用权资产情况</w:t>
          </w:r>
        </w:p>
        <w:sdt>
          <w:sdtPr>
            <w:alias w:val="是否适用：使用权资产[双击切换]"/>
            <w:tag w:val="_GBC_0d86ed9789d84ef592fcb1556e3f676f"/>
            <w:id w:val="-818801923"/>
            <w:placeholder>
              <w:docPart w:val="GBC33333333333333333333333333333"/>
            </w:placeholder>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placeholder>
                <w:docPart w:val="GBC3333333333333333333333333333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placeholder>
                <w:docPart w:val="GBC33333333333333333333333333333"/>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722"/>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6e52ac1447e040bbbee6d5db3fc1c995"/>
                <w:id w:val="7821"/>
              </w:sdtPr>
              <w:sdtEndPr>
                <w:rPr>
                  <w:rFonts w:ascii="Times New Roman" w:hAnsi="Times New Roman"/>
                </w:rPr>
              </w:sdtEndPr>
              <w:sdtContent>
                <w:tc>
                  <w:tcPr>
                    <w:tcW w:w="1878" w:type="pct"/>
                    <w:shd w:val="clear" w:color="auto" w:fill="auto"/>
                    <w:vAlign w:val="center"/>
                  </w:tcPr>
                  <w:p>
                    <w:pPr>
                      <w:spacing w:line="240" w:lineRule="atLeast"/>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szCs w:val="21"/>
                </w:rPr>
                <w:alias w:val="使用权资产明细-项目"/>
                <w:tag w:val="_GBC_8854a3b92dce426b81aa78cb836a99cd"/>
                <w:id w:val="7822"/>
                <w:placeholder>
                  <w:docPart w:val="GBC33333333333333333333333333333"/>
                </w:placeholder>
              </w:sdtPr>
              <w:sdtEndPr>
                <w:rPr>
                  <w:rFonts w:ascii="Times New Roman" w:hAnsi="Times New Roman"/>
                  <w:szCs w:val="21"/>
                </w:rPr>
              </w:sdtEndPr>
              <w:sdtContent>
                <w:tc>
                  <w:tcPr>
                    <w:tcW w:w="1504" w:type="pct"/>
                    <w:shd w:val="clear" w:color="auto" w:fill="auto"/>
                    <w:vAlign w:val="center"/>
                  </w:tcPr>
                  <w:p>
                    <w:pPr>
                      <w:spacing w:line="240" w:lineRule="atLeast"/>
                      <w:jc w:val="center"/>
                      <w:rPr>
                        <w:rFonts w:ascii="Times New Roman" w:hAnsi="Times New Roman"/>
                        <w:szCs w:val="21"/>
                      </w:rPr>
                    </w:pPr>
                    <w:r>
                      <w:rPr>
                        <w:rFonts w:ascii="Times New Roman" w:hAnsi="Times New Roman"/>
                        <w:szCs w:val="21"/>
                      </w:rPr>
                      <w:t>房屋及建筑</w:t>
                    </w:r>
                  </w:p>
                </w:tc>
              </w:sdtContent>
            </w:sdt>
            <w:sdt>
              <w:sdtPr>
                <w:rPr>
                  <w:rFonts w:ascii="Times New Roman" w:hAnsi="Times New Roman"/>
                </w:rPr>
                <w:tag w:val="_PLD_9c5be9b6ed044311be8a2370c18f35f0"/>
                <w:id w:val="7823"/>
              </w:sdtPr>
              <w:sdtEndPr>
                <w:rPr>
                  <w:rFonts w:ascii="Times New Roman" w:hAnsi="Times New Roman"/>
                </w:rPr>
              </w:sdtEndPr>
              <w:sdtContent>
                <w:tc>
                  <w:tcPr>
                    <w:tcW w:w="1617" w:type="pct"/>
                    <w:shd w:val="clear" w:color="auto" w:fill="auto"/>
                    <w:vAlign w:val="center"/>
                  </w:tcPr>
                  <w:p>
                    <w:pPr>
                      <w:spacing w:line="240" w:lineRule="atLeast"/>
                      <w:jc w:val="center"/>
                      <w:rPr>
                        <w:rFonts w:ascii="Times New Roman" w:hAnsi="Times New Roman"/>
                        <w:szCs w:val="21"/>
                      </w:rPr>
                    </w:pPr>
                    <w:r>
                      <w:rPr>
                        <w:rFonts w:ascii="Times New Roman" w:hAnsi="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3548dba12ab44fffb8352baf0a2432b0"/>
                <w:id w:val="7824"/>
              </w:sdtPr>
              <w:sdtEndPr>
                <w:rPr>
                  <w:rFonts w:ascii="Times New Roman" w:hAnsi="Times New Roman"/>
                </w:rPr>
              </w:sdtEndPr>
              <w:sdtContent>
                <w:tc>
                  <w:tcPr>
                    <w:tcW w:w="5000" w:type="pct"/>
                    <w:gridSpan w:val="3"/>
                    <w:shd w:val="clear" w:color="auto" w:fill="auto"/>
                    <w:vAlign w:val="center"/>
                  </w:tcPr>
                  <w:p>
                    <w:pPr>
                      <w:spacing w:line="240" w:lineRule="atLeast"/>
                      <w:rPr>
                        <w:rFonts w:ascii="Times New Roman" w:hAnsi="Times New Roman"/>
                        <w:szCs w:val="21"/>
                      </w:rPr>
                    </w:pPr>
                    <w:r>
                      <w:rPr>
                        <w:rFonts w:ascii="Times New Roman" w:hAnsi="Times New Roman"/>
                        <w:szCs w:val="21"/>
                      </w:rPr>
                      <w:t>一、</w:t>
                    </w:r>
                    <w:r>
                      <w:rPr>
                        <w:rFonts w:hint="eastAsia" w:ascii="Times New Roman" w:hAnsi="Times New Roman"/>
                        <w:szCs w:val="21"/>
                      </w:rPr>
                      <w:t>账面</w:t>
                    </w:r>
                    <w:r>
                      <w:rPr>
                        <w:rFonts w:ascii="Times New Roman" w:hAnsi="Times New Roman"/>
                        <w:szCs w:val="21"/>
                      </w:rPr>
                      <w:t>原</w:t>
                    </w:r>
                    <w:r>
                      <w:rPr>
                        <w:rFonts w:hint="eastAsia" w:ascii="Times New Roman" w:hAnsi="Times New Roman"/>
                        <w:szCs w:val="21"/>
                      </w:rPr>
                      <w:t>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d9e4985b1f214dbdbea8088f5cdc4d6f"/>
                <w:id w:val="7825"/>
              </w:sdtPr>
              <w:sdtEndPr>
                <w:rPr>
                  <w:rFonts w:ascii="Times New Roman" w:hAnsi="Times New Roman"/>
                </w:rPr>
              </w:sdtEndPr>
              <w:sdtContent>
                <w:tc>
                  <w:tcPr>
                    <w:tcW w:w="1878" w:type="pct"/>
                    <w:shd w:val="clear" w:color="auto" w:fill="auto"/>
                    <w:vAlign w:val="center"/>
                  </w:tcPr>
                  <w:p>
                    <w:pPr>
                      <w:spacing w:line="240" w:lineRule="atLeast"/>
                      <w:rPr>
                        <w:rFonts w:ascii="Times New Roman" w:hAnsi="Times New Roman"/>
                        <w:szCs w:val="21"/>
                      </w:rPr>
                    </w:pPr>
                    <w:r>
                      <w:rPr>
                        <w:rFonts w:ascii="Times New Roman" w:hAnsi="Times New Roman"/>
                        <w:szCs w:val="21"/>
                      </w:rPr>
                      <w:t xml:space="preserve">    1.</w:t>
                    </w:r>
                    <w:r>
                      <w:rPr>
                        <w:rFonts w:hint="eastAsia" w:ascii="Times New Roman" w:hAnsi="Times New Roman"/>
                        <w:szCs w:val="21"/>
                      </w:rPr>
                      <w:t>期</w:t>
                    </w:r>
                    <w:r>
                      <w:rPr>
                        <w:rFonts w:ascii="Times New Roman" w:hAnsi="Times New Roman"/>
                        <w:szCs w:val="21"/>
                      </w:rPr>
                      <w:t>初余额</w:t>
                    </w:r>
                  </w:p>
                </w:tc>
              </w:sdtContent>
            </w:sdt>
            <w:sdt>
              <w:sdtPr>
                <w:rPr>
                  <w:rFonts w:ascii="Times New Roman" w:hAnsi="Times New Roman"/>
                  <w:szCs w:val="21"/>
                </w:rPr>
                <w:alias w:val="使用权资产明细-账面原值"/>
                <w:tag w:val="_GBC_0ab2785ed046482fa0286c95c6b706fc"/>
                <w:id w:val="7826"/>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ind w:firstLine="420" w:firstLineChars="200"/>
                      <w:jc w:val="right"/>
                      <w:rPr>
                        <w:rFonts w:ascii="Times New Roman" w:hAnsi="Times New Roman"/>
                        <w:szCs w:val="21"/>
                      </w:rPr>
                    </w:pPr>
                    <w:r>
                      <w:rPr>
                        <w:rFonts w:ascii="Times New Roman" w:hAnsi="Times New Roman"/>
                        <w:szCs w:val="21"/>
                      </w:rPr>
                      <w:t>5,697,230.38</w:t>
                    </w:r>
                  </w:p>
                </w:tc>
              </w:sdtContent>
            </w:sdt>
            <w:sdt>
              <w:sdtPr>
                <w:rPr>
                  <w:rFonts w:ascii="Times New Roman" w:hAnsi="Times New Roman"/>
                  <w:szCs w:val="21"/>
                </w:rPr>
                <w:alias w:val="使用权资产账面原值"/>
                <w:tag w:val="_GBC_e1728fe2e2ff4db3beabf7b697c2ebea"/>
                <w:id w:val="7827"/>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5,697,230.38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rPr>
                  <w:rFonts w:ascii="Times New Roman" w:hAnsi="Times New Roman"/>
                </w:rPr>
                <w:tag w:val="_PLD_1fa797c470714bedadbd87ce828adb8e"/>
                <w:id w:val="7828"/>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ascii="Times New Roman" w:hAnsi="Times New Roman"/>
                        <w:szCs w:val="21"/>
                      </w:rPr>
                      <w:t>2.本期增加</w:t>
                    </w:r>
                    <w:r>
                      <w:rPr>
                        <w:rFonts w:hint="eastAsia" w:ascii="Times New Roman" w:hAnsi="Times New Roman"/>
                        <w:szCs w:val="21"/>
                      </w:rPr>
                      <w:t>金额</w:t>
                    </w:r>
                  </w:p>
                </w:tc>
              </w:sdtContent>
            </w:sdt>
            <w:sdt>
              <w:sdtPr>
                <w:rPr>
                  <w:rFonts w:ascii="Times New Roman" w:hAnsi="Times New Roman"/>
                  <w:szCs w:val="21"/>
                </w:rPr>
                <w:alias w:val="使用权资产明细-账面原值增加"/>
                <w:tag w:val="_GBC_fdfc534ed7cd4a5788dbae6b00e9f811"/>
                <w:id w:val="7829"/>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szCs w:val="21"/>
                      </w:rPr>
                      <w:t>3,825,094.55</w:t>
                    </w:r>
                  </w:p>
                </w:tc>
              </w:sdtContent>
            </w:sdt>
            <w:sdt>
              <w:sdtPr>
                <w:rPr>
                  <w:rFonts w:ascii="Times New Roman" w:hAnsi="Times New Roman"/>
                  <w:szCs w:val="21"/>
                </w:rPr>
                <w:alias w:val="使用权资产账面原值增加"/>
                <w:tag w:val="_GBC_8dc66ccaf0474de3be47227a8882d40b"/>
                <w:id w:val="7830"/>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3,825,094.55</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szCs w:val="21"/>
                </w:rPr>
                <w:alias w:val="使用权资产账面原值增加项目名称"/>
                <w:tag w:val="_GBC_c40e073bcdd34746b4a5bc73f48f0f07"/>
                <w:id w:val="7831"/>
              </w:sdtPr>
              <w:sdtEndPr>
                <w:rPr>
                  <w:rFonts w:ascii="Times New Roman" w:hAnsi="Times New Roman"/>
                  <w:szCs w:val="21"/>
                </w:rPr>
              </w:sdtEndPr>
              <w:sdtContent>
                <w:tc>
                  <w:tcPr>
                    <w:tcW w:w="1878" w:type="pct"/>
                    <w:shd w:val="clear" w:color="auto" w:fill="auto"/>
                  </w:tcPr>
                  <w:p>
                    <w:pPr>
                      <w:spacing w:line="240" w:lineRule="atLeast"/>
                      <w:ind w:firstLine="630" w:firstLineChars="300"/>
                      <w:rPr>
                        <w:rFonts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1</w:t>
                    </w:r>
                    <w:r>
                      <w:rPr>
                        <w:rFonts w:hint="eastAsia" w:ascii="Times New Roman" w:hAnsi="Times New Roman"/>
                        <w:szCs w:val="21"/>
                        <w:lang w:eastAsia="zh-CN"/>
                      </w:rPr>
                      <w:t>）</w:t>
                    </w:r>
                    <w:r>
                      <w:rPr>
                        <w:rFonts w:hint="eastAsia" w:ascii="Times New Roman" w:hAnsi="Times New Roman"/>
                        <w:szCs w:val="21"/>
                        <w:lang w:val="en-US" w:eastAsia="zh-CN"/>
                      </w:rPr>
                      <w:t>租入</w:t>
                    </w:r>
                  </w:p>
                </w:tc>
              </w:sdtContent>
            </w:sdt>
            <w:sdt>
              <w:sdtPr>
                <w:rPr>
                  <w:rFonts w:ascii="Times New Roman" w:hAnsi="Times New Roman"/>
                  <w:szCs w:val="21"/>
                </w:rPr>
                <w:alias w:val="使用权资产账面原值增加项目金额"/>
                <w:tag w:val="_GBC_9c5b429873dc41e0ae54f3d9be24e561"/>
                <w:id w:val="7832"/>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color w:val="auto"/>
                        <w:szCs w:val="21"/>
                      </w:rPr>
                      <w:t>3,825,094.55</w:t>
                    </w:r>
                  </w:p>
                </w:tc>
              </w:sdtContent>
            </w:sdt>
            <w:sdt>
              <w:sdtPr>
                <w:rPr>
                  <w:rFonts w:ascii="Times New Roman" w:hAnsi="Times New Roman"/>
                  <w:szCs w:val="21"/>
                </w:rPr>
                <w:alias w:val="使用权资产账面原值增加项目合计金额"/>
                <w:tag w:val="_GBC_3be6b1e2202b489da7293037f9306a9f"/>
                <w:id w:val="7833"/>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color w:val="auto"/>
                        <w:szCs w:val="21"/>
                      </w:rPr>
                      <w:t>3,825,094.55</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108835bc70f94655846132849651bf9f"/>
                <w:id w:val="7837"/>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ascii="Times New Roman" w:hAnsi="Times New Roman"/>
                        <w:szCs w:val="21"/>
                      </w:rPr>
                      <w:t>3.本期减少</w:t>
                    </w:r>
                    <w:r>
                      <w:rPr>
                        <w:rFonts w:hint="eastAsia" w:ascii="Times New Roman" w:hAnsi="Times New Roman"/>
                        <w:szCs w:val="21"/>
                      </w:rPr>
                      <w:t>金额</w:t>
                    </w:r>
                  </w:p>
                </w:tc>
              </w:sdtContent>
            </w:sdt>
            <w:sdt>
              <w:sdtPr>
                <w:rPr>
                  <w:rFonts w:ascii="Times New Roman" w:hAnsi="Times New Roman"/>
                  <w:szCs w:val="21"/>
                </w:rPr>
                <w:alias w:val="使用权资产明细-账面原值减少"/>
                <w:tag w:val="_GBC_ea4470b5df63450a9f56f9f0d45d74ea"/>
                <w:id w:val="7838"/>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账面原值减少"/>
                <w:tag w:val="_GBC_d49e7be6d5cf4a7ba881458b87648d6f"/>
                <w:id w:val="7839"/>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195c5de53c024ce09b278402caf2f69a"/>
                <w:id w:val="7846"/>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ascii="Times New Roman" w:hAnsi="Times New Roman"/>
                        <w:szCs w:val="21"/>
                      </w:rPr>
                      <w:t>4.期末余额</w:t>
                    </w:r>
                  </w:p>
                </w:tc>
              </w:sdtContent>
            </w:sdt>
            <w:sdt>
              <w:sdtPr>
                <w:rPr>
                  <w:rFonts w:ascii="Times New Roman" w:hAnsi="Times New Roman"/>
                  <w:szCs w:val="21"/>
                </w:rPr>
                <w:alias w:val="使用权资产明细-账面原值"/>
                <w:tag w:val="_GBC_90832b9a42eb461789cbbc0727760beb"/>
                <w:id w:val="7847"/>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szCs w:val="21"/>
                      </w:rPr>
                      <w:t>9,522,324.93</w:t>
                    </w:r>
                  </w:p>
                </w:tc>
              </w:sdtContent>
            </w:sdt>
            <w:sdt>
              <w:sdtPr>
                <w:rPr>
                  <w:rFonts w:ascii="Times New Roman" w:hAnsi="Times New Roman"/>
                  <w:szCs w:val="21"/>
                </w:rPr>
                <w:alias w:val="使用权资产账面原值"/>
                <w:tag w:val="_GBC_1b5f210a8f144e478396479b23b0d941"/>
                <w:id w:val="7848"/>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9,522,324.93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39b1174f077e44e0af9583631dcb785f"/>
                <w:id w:val="7849"/>
              </w:sdtPr>
              <w:sdtEndPr>
                <w:rPr>
                  <w:rFonts w:ascii="Times New Roman" w:hAnsi="Times New Roman"/>
                </w:rPr>
              </w:sdtEndPr>
              <w:sdtContent>
                <w:tc>
                  <w:tcPr>
                    <w:tcW w:w="5000" w:type="pct"/>
                    <w:gridSpan w:val="3"/>
                    <w:shd w:val="clear" w:color="auto" w:fill="auto"/>
                    <w:vAlign w:val="center"/>
                  </w:tcPr>
                  <w:p>
                    <w:pPr>
                      <w:spacing w:line="240" w:lineRule="atLeast"/>
                      <w:rPr>
                        <w:rFonts w:ascii="Times New Roman" w:hAnsi="Times New Roman"/>
                        <w:szCs w:val="21"/>
                      </w:rPr>
                    </w:pPr>
                    <w:r>
                      <w:rPr>
                        <w:rFonts w:ascii="Times New Roman" w:hAnsi="Times New Roman"/>
                        <w:szCs w:val="21"/>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cc2df6f51cd84805a89f2c118eadcb65"/>
                <w:id w:val="7850"/>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hint="eastAsia" w:ascii="Times New Roman" w:hAnsi="Times New Roman"/>
                        <w:szCs w:val="21"/>
                      </w:rPr>
                      <w:t>1.期</w:t>
                    </w:r>
                    <w:r>
                      <w:rPr>
                        <w:rFonts w:ascii="Times New Roman" w:hAnsi="Times New Roman"/>
                        <w:szCs w:val="21"/>
                      </w:rPr>
                      <w:t>初余额</w:t>
                    </w:r>
                  </w:p>
                </w:tc>
              </w:sdtContent>
            </w:sdt>
            <w:sdt>
              <w:sdtPr>
                <w:rPr>
                  <w:rFonts w:ascii="Times New Roman" w:hAnsi="Times New Roman"/>
                  <w:szCs w:val="21"/>
                </w:rPr>
                <w:alias w:val="使用权资产明细-累计折旧"/>
                <w:tag w:val="_GBC_aef537751ddc4173aeac4cf14710f7c8"/>
                <w:id w:val="7851"/>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szCs w:val="21"/>
                      </w:rPr>
                      <w:t>4,372,209.44</w:t>
                    </w:r>
                  </w:p>
                </w:tc>
              </w:sdtContent>
            </w:sdt>
            <w:sdt>
              <w:sdtPr>
                <w:rPr>
                  <w:rFonts w:ascii="Times New Roman" w:hAnsi="Times New Roman"/>
                  <w:szCs w:val="21"/>
                </w:rPr>
                <w:alias w:val="使用权资产累计折旧"/>
                <w:tag w:val="_GBC_870cd3aa94674cd4a6d4be1a197ab18c"/>
                <w:id w:val="7852"/>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4,372,209.44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a678535377134b91a0f9295c145e89b9"/>
                <w:id w:val="7853"/>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ascii="Times New Roman" w:hAnsi="Times New Roman"/>
                        <w:szCs w:val="21"/>
                      </w:rPr>
                      <w:t>2.本期增加</w:t>
                    </w:r>
                    <w:r>
                      <w:rPr>
                        <w:rFonts w:hint="eastAsia" w:ascii="Times New Roman" w:hAnsi="Times New Roman"/>
                        <w:szCs w:val="21"/>
                      </w:rPr>
                      <w:t>金额</w:t>
                    </w:r>
                  </w:p>
                </w:tc>
              </w:sdtContent>
            </w:sdt>
            <w:sdt>
              <w:sdtPr>
                <w:rPr>
                  <w:rFonts w:ascii="Times New Roman" w:hAnsi="Times New Roman"/>
                  <w:szCs w:val="21"/>
                </w:rPr>
                <w:alias w:val="使用权资产明细-累计折旧增加"/>
                <w:tag w:val="_GBC_44dcec9586be4faa99cd83a4b974c335"/>
                <w:id w:val="7854"/>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szCs w:val="21"/>
                      </w:rPr>
                      <w:t>1,095,932.72</w:t>
                    </w:r>
                  </w:p>
                </w:tc>
              </w:sdtContent>
            </w:sdt>
            <w:sdt>
              <w:sdtPr>
                <w:rPr>
                  <w:rFonts w:ascii="Times New Roman" w:hAnsi="Times New Roman"/>
                  <w:szCs w:val="21"/>
                </w:rPr>
                <w:alias w:val="使用权资产累计折旧增加"/>
                <w:tag w:val="_GBC_617c4ee85811439fadff818806f2c50c"/>
                <w:id w:val="7855"/>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1,095,932.72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706704748f2e4193adef0f2bd0232889"/>
                <w:id w:val="7856"/>
              </w:sdtPr>
              <w:sdtEndPr>
                <w:rPr>
                  <w:rFonts w:ascii="Times New Roman" w:hAnsi="Times New Roman"/>
                </w:rPr>
              </w:sdtEndPr>
              <w:sdtContent>
                <w:tc>
                  <w:tcPr>
                    <w:tcW w:w="1878" w:type="pct"/>
                    <w:shd w:val="clear" w:color="auto" w:fill="auto"/>
                    <w:vAlign w:val="center"/>
                  </w:tcPr>
                  <w:p>
                    <w:pPr>
                      <w:spacing w:line="240" w:lineRule="atLeast"/>
                      <w:ind w:firstLine="630" w:firstLineChars="300"/>
                      <w:rPr>
                        <w:rFonts w:ascii="Times New Roman" w:hAnsi="Times New Roman"/>
                        <w:szCs w:val="21"/>
                      </w:rPr>
                    </w:pPr>
                    <w:r>
                      <w:rPr>
                        <w:rFonts w:ascii="Times New Roman" w:hAnsi="Times New Roman"/>
                        <w:szCs w:val="21"/>
                      </w:rPr>
                      <w:t>(1)计提</w:t>
                    </w:r>
                  </w:p>
                </w:tc>
              </w:sdtContent>
            </w:sdt>
            <w:sdt>
              <w:sdtPr>
                <w:rPr>
                  <w:rFonts w:ascii="Times New Roman" w:hAnsi="Times New Roman"/>
                  <w:szCs w:val="21"/>
                </w:rPr>
                <w:alias w:val="使用权资产明细-计提导致的累计折旧增加"/>
                <w:tag w:val="_GBC_efd1bdb8e7c048ab8f42b7f800346fa8"/>
                <w:id w:val="7857"/>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szCs w:val="21"/>
                      </w:rPr>
                      <w:t>1,095,932.72</w:t>
                    </w:r>
                  </w:p>
                </w:tc>
              </w:sdtContent>
            </w:sdt>
            <w:sdt>
              <w:sdtPr>
                <w:rPr>
                  <w:rFonts w:ascii="Times New Roman" w:hAnsi="Times New Roman"/>
                  <w:szCs w:val="21"/>
                </w:rPr>
                <w:alias w:val="使用权资产计提导致的累计折旧增加"/>
                <w:tag w:val="_GBC_b3661903116f4de9b98cf810a4ea1fb5"/>
                <w:id w:val="7858"/>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1,095,932.72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f2eebf1aedbe4ea4abe3183a11bec5d1"/>
                <w:id w:val="7865"/>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hint="eastAsia" w:ascii="Times New Roman" w:hAnsi="Times New Roman"/>
                        <w:szCs w:val="21"/>
                      </w:rPr>
                      <w:t>3.</w:t>
                    </w:r>
                    <w:r>
                      <w:rPr>
                        <w:rFonts w:ascii="Times New Roman" w:hAnsi="Times New Roman"/>
                        <w:szCs w:val="21"/>
                      </w:rPr>
                      <w:t>本期减少</w:t>
                    </w:r>
                    <w:r>
                      <w:rPr>
                        <w:rFonts w:hint="eastAsia" w:ascii="Times New Roman" w:hAnsi="Times New Roman"/>
                        <w:szCs w:val="21"/>
                      </w:rPr>
                      <w:t>金额</w:t>
                    </w:r>
                  </w:p>
                </w:tc>
              </w:sdtContent>
            </w:sdt>
            <w:sdt>
              <w:sdtPr>
                <w:rPr>
                  <w:rFonts w:ascii="Times New Roman" w:hAnsi="Times New Roman"/>
                  <w:szCs w:val="21"/>
                </w:rPr>
                <w:alias w:val="使用权资产明细-累计折旧减少"/>
                <w:tag w:val="_GBC_e2ef0a3cb82e4a6ea7ad6837db07ee0a"/>
                <w:id w:val="7866"/>
                <w:placeholder>
                  <w:docPart w:val="GBC33333333333333333333333333333"/>
                </w:placeholder>
                <w:showingPlcHd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累计折旧减少"/>
                <w:tag w:val="_GBC_5c1741ec6d6749fdb04311d780de1628"/>
                <w:id w:val="7867"/>
                <w:showingPlcHd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ae5964fc5a2a43cd841fd16ac1d5d30a"/>
                <w:id w:val="7868"/>
              </w:sdtPr>
              <w:sdtEndPr>
                <w:rPr>
                  <w:rFonts w:ascii="Times New Roman" w:hAnsi="Times New Roman"/>
                </w:rPr>
              </w:sdtEndPr>
              <w:sdtContent>
                <w:tc>
                  <w:tcPr>
                    <w:tcW w:w="1878" w:type="pct"/>
                    <w:shd w:val="clear" w:color="auto" w:fill="auto"/>
                    <w:vAlign w:val="center"/>
                  </w:tcPr>
                  <w:p>
                    <w:pPr>
                      <w:spacing w:line="240" w:lineRule="atLeast"/>
                      <w:ind w:firstLine="630" w:firstLineChars="300"/>
                      <w:rPr>
                        <w:rFonts w:ascii="Times New Roman" w:hAnsi="Times New Roman"/>
                        <w:szCs w:val="21"/>
                      </w:rPr>
                    </w:pPr>
                    <w:r>
                      <w:rPr>
                        <w:rFonts w:ascii="Times New Roman" w:hAnsi="Times New Roman"/>
                        <w:szCs w:val="21"/>
                      </w:rPr>
                      <w:t>(1)</w:t>
                    </w:r>
                    <w:r>
                      <w:rPr>
                        <w:rFonts w:hint="eastAsia" w:ascii="Times New Roman" w:hAnsi="Times New Roman"/>
                        <w:szCs w:val="21"/>
                      </w:rPr>
                      <w:t>处置</w:t>
                    </w:r>
                  </w:p>
                </w:tc>
              </w:sdtContent>
            </w:sdt>
            <w:sdt>
              <w:sdtPr>
                <w:rPr>
                  <w:rFonts w:ascii="Times New Roman" w:hAnsi="Times New Roman"/>
                  <w:szCs w:val="21"/>
                </w:rPr>
                <w:alias w:val="使用权资产明细-处置导致的累计折旧减少"/>
                <w:tag w:val="_GBC_e716051cd4af4006af3bcbbb70a5e02b"/>
                <w:id w:val="7869"/>
                <w:showingPlcHd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处置导致的累计折旧减少"/>
                <w:tag w:val="_GBC_d08bcdb3fd6f46f2af5927674d755256"/>
                <w:id w:val="7870"/>
                <w:showingPlcHd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79567bd0b797412896b3df2b101d8dd7"/>
                <w:id w:val="7877"/>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hint="eastAsia" w:ascii="Times New Roman" w:hAnsi="Times New Roman"/>
                        <w:szCs w:val="21"/>
                      </w:rPr>
                      <w:t>4.</w:t>
                    </w:r>
                    <w:r>
                      <w:rPr>
                        <w:rFonts w:ascii="Times New Roman" w:hAnsi="Times New Roman"/>
                        <w:szCs w:val="21"/>
                      </w:rPr>
                      <w:t>期末余额</w:t>
                    </w:r>
                  </w:p>
                </w:tc>
              </w:sdtContent>
            </w:sdt>
            <w:sdt>
              <w:sdtPr>
                <w:rPr>
                  <w:rFonts w:ascii="Times New Roman" w:hAnsi="Times New Roman"/>
                  <w:szCs w:val="21"/>
                </w:rPr>
                <w:alias w:val="使用权资产明细-累计折旧"/>
                <w:tag w:val="_GBC_a77fb6c1cfca49759dec668e26296ff4"/>
                <w:id w:val="7878"/>
                <w:placeholder>
                  <w:docPart w:val="GBC33333333333333333333333333333"/>
                </w:placeholde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ascii="Times New Roman" w:hAnsi="Times New Roman"/>
                        <w:szCs w:val="21"/>
                      </w:rPr>
                      <w:t>5,468,142.16</w:t>
                    </w:r>
                  </w:p>
                </w:tc>
              </w:sdtContent>
            </w:sdt>
            <w:sdt>
              <w:sdtPr>
                <w:rPr>
                  <w:rFonts w:ascii="Times New Roman" w:hAnsi="Times New Roman"/>
                  <w:szCs w:val="21"/>
                </w:rPr>
                <w:alias w:val="使用权资产累计折旧"/>
                <w:tag w:val="_GBC_0752071ca86f40d997c453d76ec5f1db"/>
                <w:id w:val="7879"/>
                <w:placeholder>
                  <w:docPart w:val="GBC33333333333333333333333333333"/>
                </w:placeholde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5,468,142.16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a32c53282c7a49e1a1747c76e44e7471"/>
                <w:id w:val="7880"/>
              </w:sdtPr>
              <w:sdtEndPr>
                <w:rPr>
                  <w:rFonts w:ascii="Times New Roman" w:hAnsi="Times New Roman"/>
                </w:rPr>
              </w:sdtEndPr>
              <w:sdtContent>
                <w:tc>
                  <w:tcPr>
                    <w:tcW w:w="5000" w:type="pct"/>
                    <w:gridSpan w:val="3"/>
                    <w:shd w:val="clear" w:color="auto" w:fill="auto"/>
                    <w:vAlign w:val="center"/>
                  </w:tcPr>
                  <w:p>
                    <w:pPr>
                      <w:spacing w:line="240" w:lineRule="atLeast"/>
                      <w:rPr>
                        <w:rFonts w:ascii="Times New Roman" w:hAnsi="Times New Roman"/>
                        <w:szCs w:val="21"/>
                      </w:rPr>
                    </w:pPr>
                    <w:r>
                      <w:rPr>
                        <w:rFonts w:ascii="Times New Roman" w:hAnsi="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c525722dd32447e7b903d6dfb9a3e95e"/>
                <w:id w:val="7881"/>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hint="eastAsia" w:ascii="Times New Roman" w:hAnsi="Times New Roman"/>
                        <w:szCs w:val="21"/>
                      </w:rPr>
                      <w:t>1.期</w:t>
                    </w:r>
                    <w:r>
                      <w:rPr>
                        <w:rFonts w:ascii="Times New Roman" w:hAnsi="Times New Roman"/>
                        <w:szCs w:val="21"/>
                      </w:rPr>
                      <w:t>初余额</w:t>
                    </w:r>
                  </w:p>
                </w:tc>
              </w:sdtContent>
            </w:sdt>
            <w:sdt>
              <w:sdtPr>
                <w:rPr>
                  <w:rFonts w:ascii="Times New Roman" w:hAnsi="Times New Roman"/>
                  <w:szCs w:val="21"/>
                </w:rPr>
                <w:alias w:val="使用权资产明细-减值准备"/>
                <w:tag w:val="_GBC_879ef9206a9d4d5c9d4259f630ca6076"/>
                <w:id w:val="7882"/>
                <w:showingPlcHd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减值准备"/>
                <w:tag w:val="_GBC_3fada38a1dba4837be935c7e5d414e8b"/>
                <w:id w:val="7883"/>
                <w:showingPlcHd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1326d35dee514a94975331999134ee01"/>
                <w:id w:val="7884"/>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ascii="Times New Roman" w:hAnsi="Times New Roman"/>
                        <w:szCs w:val="21"/>
                      </w:rPr>
                      <w:t>2.本期增加</w:t>
                    </w:r>
                    <w:r>
                      <w:rPr>
                        <w:rFonts w:hint="eastAsia" w:ascii="Times New Roman" w:hAnsi="Times New Roman"/>
                        <w:szCs w:val="21"/>
                      </w:rPr>
                      <w:t>金额</w:t>
                    </w:r>
                  </w:p>
                </w:tc>
              </w:sdtContent>
            </w:sdt>
            <w:sdt>
              <w:sdtPr>
                <w:rPr>
                  <w:rFonts w:ascii="Times New Roman" w:hAnsi="Times New Roman"/>
                  <w:szCs w:val="21"/>
                </w:rPr>
                <w:alias w:val="使用权资产明细-减值准备增加"/>
                <w:tag w:val="_GBC_3b26ec4d090d4b14bd96faa96fe9aa1f"/>
                <w:id w:val="7885"/>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减值准备增加"/>
                <w:tag w:val="_GBC_5ab7ef2a8a114820a648dada24eb333f"/>
                <w:id w:val="7886"/>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b940c183adbb49e38f890af4f7a0809b"/>
                <w:id w:val="7887"/>
              </w:sdtPr>
              <w:sdtEndPr>
                <w:rPr>
                  <w:rFonts w:ascii="Times New Roman" w:hAnsi="Times New Roman"/>
                </w:rPr>
              </w:sdtEndPr>
              <w:sdtContent>
                <w:tc>
                  <w:tcPr>
                    <w:tcW w:w="1878" w:type="pct"/>
                    <w:shd w:val="clear" w:color="auto" w:fill="auto"/>
                    <w:vAlign w:val="center"/>
                  </w:tcPr>
                  <w:p>
                    <w:pPr>
                      <w:spacing w:line="240" w:lineRule="atLeast"/>
                      <w:ind w:firstLine="630" w:firstLineChars="300"/>
                      <w:rPr>
                        <w:rFonts w:ascii="Times New Roman" w:hAnsi="Times New Roman"/>
                        <w:szCs w:val="21"/>
                      </w:rPr>
                    </w:pPr>
                    <w:r>
                      <w:rPr>
                        <w:rFonts w:ascii="Times New Roman" w:hAnsi="Times New Roman"/>
                        <w:szCs w:val="21"/>
                      </w:rPr>
                      <w:t>(1)计提</w:t>
                    </w:r>
                  </w:p>
                </w:tc>
              </w:sdtContent>
            </w:sdt>
            <w:sdt>
              <w:sdtPr>
                <w:rPr>
                  <w:rFonts w:ascii="Times New Roman" w:hAnsi="Times New Roman"/>
                  <w:szCs w:val="21"/>
                </w:rPr>
                <w:alias w:val="使用权资产明细-计提导致的减值准备增加"/>
                <w:tag w:val="_GBC_36607329e17f4fec8911a23f3d8701ea"/>
                <w:id w:val="7888"/>
                <w:showingPlcHd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计提导致的减值准备增加"/>
                <w:tag w:val="_GBC_b4a109238ec044dd949662d90a0ef64c"/>
                <w:id w:val="7889"/>
                <w:showingPlcHd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163a7584d25d44a58678bd5bf64e847e"/>
                <w:id w:val="7896"/>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hint="eastAsia" w:ascii="Times New Roman" w:hAnsi="Times New Roman"/>
                        <w:szCs w:val="21"/>
                      </w:rPr>
                      <w:t>3.</w:t>
                    </w:r>
                    <w:r>
                      <w:rPr>
                        <w:rFonts w:ascii="Times New Roman" w:hAnsi="Times New Roman"/>
                        <w:szCs w:val="21"/>
                      </w:rPr>
                      <w:t>本期减少</w:t>
                    </w:r>
                    <w:r>
                      <w:rPr>
                        <w:rFonts w:hint="eastAsia" w:ascii="Times New Roman" w:hAnsi="Times New Roman"/>
                        <w:szCs w:val="21"/>
                      </w:rPr>
                      <w:t>金额</w:t>
                    </w:r>
                  </w:p>
                </w:tc>
              </w:sdtContent>
            </w:sdt>
            <w:sdt>
              <w:sdtPr>
                <w:rPr>
                  <w:rFonts w:ascii="Times New Roman" w:hAnsi="Times New Roman"/>
                  <w:szCs w:val="21"/>
                </w:rPr>
                <w:alias w:val="使用权资产明细-减值准备减少"/>
                <w:tag w:val="_GBC_a1eaf6a6ed064fd88327ce07f0754825"/>
                <w:id w:val="7897"/>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减值准备减少"/>
                <w:tag w:val="_GBC_d6a780b237f349d6b6207f0f2149a58a"/>
                <w:id w:val="7898"/>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c50144b0223b4e5ab6e27836b807987c"/>
                <w:id w:val="7899"/>
              </w:sdtPr>
              <w:sdtEndPr>
                <w:rPr>
                  <w:rFonts w:ascii="Times New Roman" w:hAnsi="Times New Roman"/>
                </w:rPr>
              </w:sdtEndPr>
              <w:sdtContent>
                <w:tc>
                  <w:tcPr>
                    <w:tcW w:w="1878" w:type="pct"/>
                    <w:shd w:val="clear" w:color="auto" w:fill="auto"/>
                    <w:vAlign w:val="center"/>
                  </w:tcPr>
                  <w:p>
                    <w:pPr>
                      <w:spacing w:line="240" w:lineRule="atLeast"/>
                      <w:ind w:firstLine="630" w:firstLineChars="300"/>
                      <w:rPr>
                        <w:rFonts w:ascii="Times New Roman" w:hAnsi="Times New Roman"/>
                        <w:szCs w:val="21"/>
                      </w:rPr>
                    </w:pPr>
                    <w:r>
                      <w:rPr>
                        <w:rFonts w:ascii="Times New Roman" w:hAnsi="Times New Roman"/>
                        <w:szCs w:val="21"/>
                      </w:rPr>
                      <w:t>(1)</w:t>
                    </w:r>
                    <w:r>
                      <w:rPr>
                        <w:rFonts w:hint="eastAsia" w:ascii="Times New Roman" w:hAnsi="Times New Roman"/>
                        <w:szCs w:val="21"/>
                      </w:rPr>
                      <w:t>处置</w:t>
                    </w:r>
                  </w:p>
                </w:tc>
              </w:sdtContent>
            </w:sdt>
            <w:sdt>
              <w:sdtPr>
                <w:rPr>
                  <w:rFonts w:ascii="Times New Roman" w:hAnsi="Times New Roman"/>
                  <w:szCs w:val="21"/>
                </w:rPr>
                <w:alias w:val="使用权资产明细-处置导致的减值准备减少"/>
                <w:tag w:val="_GBC_74eeec7ae9cf4a10b92130bef99a5d2f"/>
                <w:id w:val="7900"/>
                <w:showingPlcHdr/>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处置导致的减值准备减少"/>
                <w:tag w:val="_GBC_811b556691394c7cb6dbb7b5868509dc"/>
                <w:id w:val="7901"/>
                <w:showingPlcHdr/>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066290f5449b443993c412f700441a12"/>
                <w:id w:val="7908"/>
              </w:sdtPr>
              <w:sdtEndPr>
                <w:rPr>
                  <w:rFonts w:ascii="Times New Roman" w:hAnsi="Times New Roman"/>
                </w:rPr>
              </w:sdtEndPr>
              <w:sdtContent>
                <w:tc>
                  <w:tcPr>
                    <w:tcW w:w="1878" w:type="pct"/>
                    <w:shd w:val="clear" w:color="auto" w:fill="auto"/>
                    <w:vAlign w:val="center"/>
                  </w:tcPr>
                  <w:p>
                    <w:pPr>
                      <w:spacing w:line="240" w:lineRule="atLeast"/>
                      <w:ind w:firstLine="420" w:firstLineChars="200"/>
                      <w:rPr>
                        <w:rFonts w:ascii="Times New Roman" w:hAnsi="Times New Roman"/>
                        <w:szCs w:val="21"/>
                      </w:rPr>
                    </w:pPr>
                    <w:r>
                      <w:rPr>
                        <w:rFonts w:hint="eastAsia" w:ascii="Times New Roman" w:hAnsi="Times New Roman"/>
                        <w:szCs w:val="21"/>
                      </w:rPr>
                      <w:t>4.</w:t>
                    </w:r>
                    <w:r>
                      <w:rPr>
                        <w:rFonts w:ascii="Times New Roman" w:hAnsi="Times New Roman"/>
                        <w:szCs w:val="21"/>
                      </w:rPr>
                      <w:t>期末余额</w:t>
                    </w:r>
                  </w:p>
                </w:tc>
              </w:sdtContent>
            </w:sdt>
            <w:sdt>
              <w:sdtPr>
                <w:rPr>
                  <w:rFonts w:ascii="Times New Roman" w:hAnsi="Times New Roman"/>
                  <w:szCs w:val="21"/>
                </w:rPr>
                <w:alias w:val="使用权资产明细-减值准备"/>
                <w:tag w:val="_GBC_7e6b69be7ade49e19fc07edd7814fefc"/>
                <w:id w:val="7909"/>
              </w:sdtPr>
              <w:sdtEndPr>
                <w:rPr>
                  <w:rFonts w:ascii="Times New Roman" w:hAnsi="Times New Roman"/>
                  <w:szCs w:val="21"/>
                </w:rPr>
              </w:sdtEndPr>
              <w:sdtContent>
                <w:tc>
                  <w:tcPr>
                    <w:tcW w:w="1504" w:type="pct"/>
                    <w:shd w:val="clear" w:color="auto" w:fill="auto"/>
                  </w:tcPr>
                  <w:p>
                    <w:pPr>
                      <w:spacing w:line="240" w:lineRule="atLeast"/>
                      <w:jc w:val="right"/>
                      <w:rPr>
                        <w:rFonts w:ascii="Times New Roman" w:hAnsi="Times New Roman"/>
                        <w:szCs w:val="21"/>
                      </w:rPr>
                    </w:pPr>
                    <w:r>
                      <w:rPr>
                        <w:rFonts w:hint="eastAsia" w:ascii="Times New Roman" w:hAnsi="Times New Roman"/>
                      </w:rPr>
                      <w:t>　</w:t>
                    </w:r>
                  </w:p>
                </w:tc>
              </w:sdtContent>
            </w:sdt>
            <w:sdt>
              <w:sdtPr>
                <w:rPr>
                  <w:rFonts w:ascii="Times New Roman" w:hAnsi="Times New Roman"/>
                  <w:szCs w:val="21"/>
                </w:rPr>
                <w:alias w:val="使用权资产减值准备"/>
                <w:tag w:val="_GBC_c32c0b426f8840cdb2c4ed783c65d536"/>
                <w:id w:val="7910"/>
              </w:sdtPr>
              <w:sdtEndPr>
                <w:rPr>
                  <w:rFonts w:ascii="Times New Roman" w:hAnsi="Times New Roman"/>
                  <w:szCs w:val="21"/>
                </w:rPr>
              </w:sdtEndPr>
              <w:sdtContent>
                <w:tc>
                  <w:tcPr>
                    <w:tcW w:w="1617" w:type="pct"/>
                    <w:shd w:val="clear" w:color="auto" w:fill="auto"/>
                  </w:tcPr>
                  <w:p>
                    <w:pPr>
                      <w:spacing w:line="240" w:lineRule="atLeast"/>
                      <w:jc w:val="right"/>
                      <w:rPr>
                        <w:rFonts w:ascii="Times New Roman" w:hAnsi="Times New Roman"/>
                        <w:szCs w:val="21"/>
                      </w:rPr>
                    </w:pPr>
                    <w:r>
                      <w:rPr>
                        <w:rFonts w:ascii="Times New Roman" w:hAnsi="Times New Roman"/>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11c4f53648e149a88b6ff0ef5ef90dc8"/>
                <w:id w:val="7911"/>
              </w:sdtPr>
              <w:sdtEndPr>
                <w:rPr>
                  <w:rFonts w:ascii="Times New Roman" w:hAnsi="Times New Roman"/>
                </w:rPr>
              </w:sdtEndPr>
              <w:sdtContent>
                <w:tc>
                  <w:tcPr>
                    <w:tcW w:w="5000" w:type="pct"/>
                    <w:gridSpan w:val="3"/>
                    <w:shd w:val="clear" w:color="auto" w:fill="auto"/>
                    <w:vAlign w:val="center"/>
                  </w:tcPr>
                  <w:p>
                    <w:pPr>
                      <w:spacing w:line="240" w:lineRule="atLeast"/>
                      <w:rPr>
                        <w:rFonts w:ascii="Times New Roman" w:hAnsi="Times New Roman"/>
                        <w:szCs w:val="21"/>
                      </w:rPr>
                    </w:pPr>
                    <w:r>
                      <w:rPr>
                        <w:rFonts w:ascii="Times New Roman" w:hAnsi="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f93f7bc9d80c4cb2892143080a094eff"/>
                <w:id w:val="7912"/>
              </w:sdtPr>
              <w:sdtEndPr>
                <w:rPr>
                  <w:rFonts w:ascii="Times New Roman" w:hAnsi="Times New Roman"/>
                </w:rPr>
              </w:sdtEndPr>
              <w:sdtContent>
                <w:tc>
                  <w:tcPr>
                    <w:tcW w:w="1878" w:type="pct"/>
                    <w:shd w:val="clear" w:color="auto" w:fill="auto"/>
                    <w:vAlign w:val="center"/>
                  </w:tcPr>
                  <w:p>
                    <w:pPr>
                      <w:spacing w:line="240" w:lineRule="atLeast"/>
                      <w:rPr>
                        <w:rFonts w:ascii="Times New Roman" w:hAnsi="Times New Roman"/>
                        <w:szCs w:val="21"/>
                      </w:rPr>
                    </w:pPr>
                    <w:r>
                      <w:rPr>
                        <w:rFonts w:ascii="Times New Roman" w:hAnsi="Times New Roman"/>
                        <w:szCs w:val="21"/>
                      </w:rPr>
                      <w:t xml:space="preserve">    1.期末账面价值</w:t>
                    </w:r>
                  </w:p>
                </w:tc>
              </w:sdtContent>
            </w:sdt>
            <w:sdt>
              <w:sdtPr>
                <w:rPr>
                  <w:rFonts w:ascii="Times New Roman" w:hAnsi="Times New Roman"/>
                  <w:szCs w:val="21"/>
                </w:rPr>
                <w:alias w:val="使用权资产明细-账面价值"/>
                <w:tag w:val="_GBC_941da60e08f04bcd9a1eb75e917c0ed1"/>
                <w:id w:val="7913"/>
                <w:placeholder>
                  <w:docPart w:val="GBC33333333333333333333333333333"/>
                </w:placeholder>
              </w:sdtPr>
              <w:sdtEndPr>
                <w:rPr>
                  <w:rFonts w:ascii="Times New Roman" w:hAnsi="Times New Roman"/>
                  <w:szCs w:val="21"/>
                </w:rPr>
              </w:sdtEndPr>
              <w:sdtContent>
                <w:tc>
                  <w:tcPr>
                    <w:tcW w:w="1504" w:type="pct"/>
                    <w:shd w:val="clear" w:color="auto" w:fill="auto"/>
                    <w:vAlign w:val="center"/>
                  </w:tcPr>
                  <w:p>
                    <w:pPr>
                      <w:spacing w:line="240" w:lineRule="atLeast"/>
                      <w:jc w:val="right"/>
                      <w:rPr>
                        <w:rFonts w:ascii="Times New Roman" w:hAnsi="Times New Roman"/>
                        <w:szCs w:val="21"/>
                      </w:rPr>
                    </w:pPr>
                    <w:r>
                      <w:rPr>
                        <w:rFonts w:ascii="Times New Roman" w:hAnsi="Times New Roman"/>
                        <w:szCs w:val="21"/>
                      </w:rPr>
                      <w:t>4,054,182.77</w:t>
                    </w:r>
                  </w:p>
                </w:tc>
              </w:sdtContent>
            </w:sdt>
            <w:sdt>
              <w:sdtPr>
                <w:rPr>
                  <w:rFonts w:ascii="Times New Roman" w:hAnsi="Times New Roman"/>
                  <w:szCs w:val="21"/>
                </w:rPr>
                <w:alias w:val="使用权资产"/>
                <w:tag w:val="_GBC_420e2228c6c64790a3945a1adf3ac5ba"/>
                <w:id w:val="7914"/>
                <w:placeholder>
                  <w:docPart w:val="GBC33333333333333333333333333333"/>
                </w:placeholder>
              </w:sdtPr>
              <w:sdtEndPr>
                <w:rPr>
                  <w:rFonts w:ascii="Times New Roman" w:hAnsi="Times New Roman"/>
                  <w:szCs w:val="21"/>
                </w:rPr>
              </w:sdtEndPr>
              <w:sdtContent>
                <w:tc>
                  <w:tcPr>
                    <w:tcW w:w="1617" w:type="pct"/>
                    <w:shd w:val="clear" w:color="auto" w:fill="auto"/>
                    <w:vAlign w:val="center"/>
                  </w:tcPr>
                  <w:p>
                    <w:pPr>
                      <w:spacing w:line="240" w:lineRule="atLeast"/>
                      <w:jc w:val="right"/>
                      <w:rPr>
                        <w:rFonts w:ascii="Times New Roman" w:hAnsi="Times New Roman"/>
                        <w:szCs w:val="21"/>
                      </w:rPr>
                    </w:pPr>
                    <w:r>
                      <w:rPr>
                        <w:rFonts w:ascii="Times New Roman" w:hAnsi="Times New Roman"/>
                        <w:szCs w:val="21"/>
                      </w:rPr>
                      <w:t>4,054,182.77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93fe6fba803e4d55939d41845bc58fb5"/>
                <w:id w:val="7915"/>
              </w:sdtPr>
              <w:sdtEndPr>
                <w:rPr>
                  <w:rFonts w:ascii="Times New Roman" w:hAnsi="Times New Roman"/>
                </w:rPr>
              </w:sdtEndPr>
              <w:sdtContent>
                <w:tc>
                  <w:tcPr>
                    <w:tcW w:w="1878" w:type="pct"/>
                    <w:shd w:val="clear" w:color="auto" w:fill="auto"/>
                    <w:vAlign w:val="center"/>
                  </w:tcPr>
                  <w:p>
                    <w:pPr>
                      <w:spacing w:line="240" w:lineRule="atLeast"/>
                      <w:rPr>
                        <w:rFonts w:ascii="Times New Roman" w:hAnsi="Times New Roman"/>
                        <w:szCs w:val="21"/>
                      </w:rPr>
                    </w:pPr>
                    <w:r>
                      <w:rPr>
                        <w:rFonts w:ascii="Times New Roman" w:hAnsi="Times New Roman"/>
                        <w:szCs w:val="21"/>
                      </w:rPr>
                      <w:t xml:space="preserve">    2.期初账面价值</w:t>
                    </w:r>
                  </w:p>
                </w:tc>
              </w:sdtContent>
            </w:sdt>
            <w:sdt>
              <w:sdtPr>
                <w:rPr>
                  <w:rFonts w:ascii="Times New Roman" w:hAnsi="Times New Roman"/>
                  <w:szCs w:val="21"/>
                </w:rPr>
                <w:alias w:val="使用权资产明细-账面价值"/>
                <w:tag w:val="_GBC_84f6dafa81054af6994b4e9d520a2014"/>
                <w:id w:val="7916"/>
                <w:placeholder>
                  <w:docPart w:val="GBC33333333333333333333333333333"/>
                </w:placeholder>
              </w:sdtPr>
              <w:sdtEndPr>
                <w:rPr>
                  <w:rFonts w:ascii="Times New Roman" w:hAnsi="Times New Roman"/>
                  <w:szCs w:val="21"/>
                </w:rPr>
              </w:sdtEndPr>
              <w:sdtContent>
                <w:tc>
                  <w:tcPr>
                    <w:tcW w:w="1504" w:type="pct"/>
                    <w:shd w:val="clear" w:color="auto" w:fill="auto"/>
                    <w:vAlign w:val="center"/>
                  </w:tcPr>
                  <w:p>
                    <w:pPr>
                      <w:spacing w:line="240" w:lineRule="atLeast"/>
                      <w:jc w:val="right"/>
                      <w:rPr>
                        <w:rFonts w:ascii="Times New Roman" w:hAnsi="Times New Roman"/>
                        <w:szCs w:val="21"/>
                      </w:rPr>
                    </w:pPr>
                    <w:r>
                      <w:rPr>
                        <w:rFonts w:ascii="Times New Roman" w:hAnsi="Times New Roman"/>
                        <w:szCs w:val="21"/>
                      </w:rPr>
                      <w:t>1,325,020.94</w:t>
                    </w:r>
                  </w:p>
                </w:tc>
              </w:sdtContent>
            </w:sdt>
            <w:sdt>
              <w:sdtPr>
                <w:rPr>
                  <w:rFonts w:ascii="Times New Roman" w:hAnsi="Times New Roman"/>
                  <w:szCs w:val="21"/>
                </w:rPr>
                <w:alias w:val="使用权资产"/>
                <w:tag w:val="_GBC_6bb62eee87504f97bf7bf0e2c4c1a5f8"/>
                <w:id w:val="7917"/>
                <w:placeholder>
                  <w:docPart w:val="GBC33333333333333333333333333333"/>
                </w:placeholder>
              </w:sdtPr>
              <w:sdtEndPr>
                <w:rPr>
                  <w:rFonts w:ascii="Times New Roman" w:hAnsi="Times New Roman"/>
                  <w:szCs w:val="21"/>
                </w:rPr>
              </w:sdtEndPr>
              <w:sdtContent>
                <w:tc>
                  <w:tcPr>
                    <w:tcW w:w="1617" w:type="pct"/>
                    <w:shd w:val="clear" w:color="auto" w:fill="auto"/>
                    <w:vAlign w:val="center"/>
                  </w:tcPr>
                  <w:p>
                    <w:pPr>
                      <w:spacing w:line="240" w:lineRule="atLeast"/>
                      <w:jc w:val="right"/>
                      <w:rPr>
                        <w:rFonts w:ascii="Times New Roman" w:hAnsi="Times New Roman"/>
                        <w:szCs w:val="21"/>
                      </w:rPr>
                    </w:pPr>
                    <w:r>
                      <w:rPr>
                        <w:rFonts w:ascii="Times New Roman" w:hAnsi="Times New Roman"/>
                        <w:szCs w:val="21"/>
                      </w:rPr>
                      <w:t>1,325,020.94</w:t>
                    </w:r>
                  </w:p>
                </w:tc>
              </w:sdtContent>
            </w:sdt>
          </w:tr>
        </w:tbl>
        <w:p/>
        <w:p/>
        <w:p/>
      </w:sdtContent>
    </w:sdt>
    <w:p>
      <w:pPr>
        <w:pStyle w:val="196"/>
        <w:numPr>
          <w:ilvl w:val="0"/>
          <w:numId w:val="89"/>
        </w:numPr>
        <w:ind w:left="450" w:hanging="450"/>
      </w:pPr>
      <w:bookmarkStart w:id="265" w:name="_Hlk153461708"/>
      <w:r>
        <w:rPr>
          <w:rFonts w:hint="eastAsia"/>
        </w:rPr>
        <w:t>使用权资产的减值测试情况</w:t>
      </w:r>
    </w:p>
    <w:sdt>
      <w:sdtPr>
        <w:alias w:val="是否适用：减值测试情况[双击切换]"/>
        <w:tag w:val="_GBC_3b3aabc5b9ad4e9896fb84bfd63b8c60"/>
        <w:id w:val="27141"/>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64"/>
    <w:bookmarkEnd w:id="265"/>
    <w:p>
      <w:pPr>
        <w:autoSpaceDE w:val="0"/>
        <w:autoSpaceDN w:val="0"/>
        <w:adjustRightInd w:val="0"/>
        <w:rPr>
          <w:szCs w:val="21"/>
        </w:rPr>
      </w:pPr>
      <w:bookmarkStart w:id="266" w:name="_Hlk152863567"/>
      <w:r>
        <w:rPr>
          <w:rFonts w:hint="eastAsia"/>
          <w:szCs w:val="21"/>
        </w:rPr>
        <w:t>其他说明：</w:t>
      </w:r>
    </w:p>
    <w:p>
      <w:pPr>
        <w:rPr>
          <w:szCs w:val="21"/>
        </w:rPr>
      </w:pPr>
      <w:sdt>
        <w:sdtPr>
          <w:alias w:val="使用权资产其他说明"/>
          <w:tag w:val="_GBC_41c40d661bff4f1b859d4bd00049983c"/>
          <w:id w:val="27142"/>
          <w:placeholder>
            <w:docPart w:val="GBC22222222222222222222222222222"/>
          </w:placeholder>
        </w:sdtPr>
        <w:sdtContent>
          <w:r>
            <w:rPr>
              <w:rFonts w:hint="eastAsia"/>
              <w:lang w:eastAsia="zh-CN"/>
            </w:rPr>
            <w:t>无</w:t>
          </w:r>
        </w:sdtContent>
      </w:sdt>
    </w:p>
    <w:bookmarkEnd w:id="266"/>
    <w:p>
      <w:pPr>
        <w:pStyle w:val="229"/>
        <w:numPr>
          <w:ilvl w:val="0"/>
          <w:numId w:val="71"/>
        </w:numPr>
        <w:tabs>
          <w:tab w:val="left" w:pos="504"/>
        </w:tabs>
        <w:rPr>
          <w:rFonts w:ascii="宋体" w:hAnsi="宋体"/>
          <w:szCs w:val="21"/>
        </w:rPr>
      </w:pPr>
      <w:r>
        <w:rPr>
          <w:rFonts w:hint="eastAsia" w:ascii="宋体" w:hAnsi="宋体"/>
          <w:szCs w:val="21"/>
        </w:rPr>
        <w:t>无形资产</w:t>
      </w:r>
    </w:p>
    <w:p>
      <w:pPr>
        <w:pStyle w:val="196"/>
        <w:numPr>
          <w:ilvl w:val="3"/>
          <w:numId w:val="90"/>
        </w:numPr>
        <w:ind w:left="426" w:hanging="426"/>
      </w:pPr>
      <w:bookmarkStart w:id="267" w:name="_Hlk90557281"/>
      <w:r>
        <w:rPr>
          <w:rFonts w:hint="eastAsia"/>
        </w:rPr>
        <w:t>无形资产情况</w:t>
      </w:r>
    </w:p>
    <w:sdt>
      <w:sdtPr>
        <w:rPr>
          <w:rFonts w:hint="eastAsia"/>
          <w:szCs w:val="21"/>
        </w:rPr>
        <w:alias w:val="是否适用：无形资产情况[双击切换]"/>
        <w:tag w:val="_GBC_42237c7a99c64602a661c1668bc893bd"/>
        <w:id w:val="27143"/>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271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271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424"/>
        <w:gridCol w:w="1424"/>
        <w:gridCol w:w="1319"/>
        <w:gridCol w:w="1424"/>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0d0c5c4c9acf46eaa7c41a19eb731a5c"/>
            <w:id w:val="17136"/>
          </w:sdtPr>
          <w:sdtEndPr>
            <w:rPr>
              <w:rFonts w:ascii="Times New Roman" w:hAnsi="Times New Roman"/>
            </w:rPr>
          </w:sdtEndPr>
          <w:sdtContent>
            <w:tc>
              <w:tcPr>
                <w:tcW w:w="1055" w:type="pct"/>
                <w:shd w:val="clear" w:color="auto" w:fill="auto"/>
                <w:vAlign w:val="center"/>
              </w:tcPr>
              <w:p>
                <w:pPr>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0dfc6d612ce04e4ab91d7f5c675c7954"/>
            <w:id w:val="17137"/>
          </w:sdtPr>
          <w:sdtEndPr>
            <w:rPr>
              <w:rFonts w:ascii="Times New Roman" w:hAnsi="Times New Roman"/>
            </w:rPr>
          </w:sdtEndPr>
          <w:sdtContent>
            <w:tc>
              <w:tcPr>
                <w:tcW w:w="786" w:type="pct"/>
                <w:shd w:val="clear" w:color="auto" w:fill="auto"/>
                <w:vAlign w:val="center"/>
              </w:tcPr>
              <w:p>
                <w:pPr>
                  <w:jc w:val="center"/>
                  <w:rPr>
                    <w:rFonts w:ascii="Times New Roman" w:hAnsi="Times New Roman"/>
                    <w:szCs w:val="21"/>
                  </w:rPr>
                </w:pPr>
                <w:r>
                  <w:rPr>
                    <w:rFonts w:hint="eastAsia" w:ascii="Times New Roman" w:hAnsi="Times New Roman"/>
                    <w:szCs w:val="21"/>
                  </w:rPr>
                  <w:t>土地使用权</w:t>
                </w:r>
              </w:p>
            </w:tc>
          </w:sdtContent>
        </w:sdt>
        <w:sdt>
          <w:sdtPr>
            <w:rPr>
              <w:rFonts w:ascii="Times New Roman" w:hAnsi="Times New Roman"/>
            </w:rPr>
            <w:tag w:val="_PLD_0d5a6bdde1fe4f6d9dcc5cb928d96ee9"/>
            <w:id w:val="17138"/>
          </w:sdtPr>
          <w:sdtEndPr>
            <w:rPr>
              <w:rFonts w:ascii="Times New Roman" w:hAnsi="Times New Roman"/>
            </w:rPr>
          </w:sdtEndPr>
          <w:sdtContent>
            <w:tc>
              <w:tcPr>
                <w:tcW w:w="786" w:type="pct"/>
                <w:shd w:val="clear" w:color="auto" w:fill="auto"/>
                <w:vAlign w:val="center"/>
              </w:tcPr>
              <w:p>
                <w:pPr>
                  <w:jc w:val="center"/>
                  <w:rPr>
                    <w:rFonts w:ascii="Times New Roman" w:hAnsi="Times New Roman"/>
                    <w:szCs w:val="21"/>
                  </w:rPr>
                </w:pPr>
                <w:r>
                  <w:rPr>
                    <w:rFonts w:hint="eastAsia" w:ascii="Times New Roman" w:hAnsi="Times New Roman"/>
                    <w:szCs w:val="21"/>
                  </w:rPr>
                  <w:t>专利权</w:t>
                </w:r>
              </w:p>
            </w:tc>
          </w:sdtContent>
        </w:sdt>
        <w:sdt>
          <w:sdtPr>
            <w:rPr>
              <w:rFonts w:ascii="Times New Roman" w:hAnsi="Times New Roman"/>
            </w:rPr>
            <w:tag w:val="_PLD_c4e41ad8ec594f0dafd60ebc1a7da7ce"/>
            <w:id w:val="17139"/>
          </w:sdtPr>
          <w:sdtEndPr>
            <w:rPr>
              <w:rFonts w:ascii="Times New Roman" w:hAnsi="Times New Roman"/>
            </w:rPr>
          </w:sdtEndPr>
          <w:sdtContent>
            <w:tc>
              <w:tcPr>
                <w:tcW w:w="728" w:type="pct"/>
                <w:shd w:val="clear" w:color="auto" w:fill="auto"/>
                <w:vAlign w:val="center"/>
              </w:tcPr>
              <w:p>
                <w:pPr>
                  <w:jc w:val="center"/>
                  <w:rPr>
                    <w:rFonts w:ascii="Times New Roman" w:hAnsi="Times New Roman"/>
                    <w:szCs w:val="21"/>
                  </w:rPr>
                </w:pPr>
                <w:r>
                  <w:rPr>
                    <w:rFonts w:hint="eastAsia" w:ascii="Times New Roman" w:hAnsi="Times New Roman"/>
                    <w:szCs w:val="21"/>
                  </w:rPr>
                  <w:t>非专利技术</w:t>
                </w:r>
              </w:p>
            </w:tc>
          </w:sdtContent>
        </w:sdt>
        <w:tc>
          <w:tcPr>
            <w:tcW w:w="786" w:type="pct"/>
            <w:shd w:val="clear" w:color="auto" w:fill="auto"/>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办公软件</w:t>
            </w:r>
          </w:p>
        </w:tc>
        <w:sdt>
          <w:sdtPr>
            <w:rPr>
              <w:rFonts w:ascii="Times New Roman" w:hAnsi="Times New Roman"/>
            </w:rPr>
            <w:tag w:val="_PLD_010a173744294c79817b77db863e3438"/>
            <w:id w:val="17140"/>
          </w:sdtPr>
          <w:sdtEndPr>
            <w:rPr>
              <w:rFonts w:ascii="Times New Roman" w:hAnsi="Times New Roman"/>
            </w:rPr>
          </w:sdtEndPr>
          <w:sdtContent>
            <w:tc>
              <w:tcPr>
                <w:tcW w:w="855" w:type="pct"/>
                <w:shd w:val="clear" w:color="auto" w:fill="auto"/>
                <w:vAlign w:val="center"/>
              </w:tcPr>
              <w:p>
                <w:pPr>
                  <w:jc w:val="center"/>
                  <w:rPr>
                    <w:rFonts w:ascii="Times New Roman" w:hAnsi="Times New Roman"/>
                    <w:szCs w:val="21"/>
                  </w:rPr>
                </w:pPr>
                <w:r>
                  <w:rPr>
                    <w:rFonts w:ascii="Times New Roman" w:hAnsi="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d38b2136312a4180852ade61efe6b93c"/>
            <w:id w:val="17141"/>
          </w:sdtPr>
          <w:sdtEndPr>
            <w:rPr>
              <w:rFonts w:ascii="Times New Roman" w:hAnsi="Times New Roman"/>
            </w:rPr>
          </w:sdtEndPr>
          <w:sdtContent>
            <w:tc>
              <w:tcPr>
                <w:tcW w:w="5000" w:type="pct"/>
                <w:gridSpan w:val="6"/>
                <w:shd w:val="clear" w:color="auto" w:fill="auto"/>
                <w:vAlign w:val="center"/>
              </w:tcPr>
              <w:p>
                <w:pPr>
                  <w:rPr>
                    <w:rFonts w:ascii="Times New Roman" w:hAnsi="Times New Roman"/>
                    <w:szCs w:val="21"/>
                  </w:rPr>
                </w:pPr>
                <w:r>
                  <w:rPr>
                    <w:rFonts w:ascii="Times New Roman" w:hAnsi="Times New Roman"/>
                    <w:szCs w:val="21"/>
                  </w:rPr>
                  <w:t>一、</w:t>
                </w:r>
                <w:r>
                  <w:rPr>
                    <w:rFonts w:hint="eastAsia" w:ascii="Times New Roman" w:hAnsi="Times New Roman"/>
                    <w:szCs w:val="21"/>
                  </w:rPr>
                  <w:t>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1.</w:t>
            </w:r>
            <w:r>
              <w:rPr>
                <w:rFonts w:hint="eastAsia" w:ascii="Times New Roman" w:hAnsi="Times New Roman"/>
                <w:szCs w:val="21"/>
              </w:rPr>
              <w:t>期</w:t>
            </w:r>
            <w:r>
              <w:rPr>
                <w:rFonts w:ascii="Times New Roman" w:hAnsi="Times New Roman"/>
                <w:szCs w:val="21"/>
              </w:rPr>
              <w:t>初余额</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99,871,635.04</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10,129,305.52</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1,507,624.54</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5,666,026.49</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117,174,591.59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2.本期增加</w:t>
            </w:r>
            <w:r>
              <w:rPr>
                <w:rFonts w:hint="eastAsia" w:ascii="Times New Roman" w:hAnsi="Times New Roman"/>
                <w:szCs w:val="21"/>
              </w:rPr>
              <w:t>金额</w:t>
            </w:r>
          </w:p>
        </w:tc>
        <w:tc>
          <w:tcPr>
            <w:tcW w:w="786"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p>
        </w:tc>
        <w:tc>
          <w:tcPr>
            <w:tcW w:w="728"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kern w:val="0"/>
                <w:sz w:val="18"/>
                <w:szCs w:val="18"/>
              </w:rPr>
              <w:t>6,231,070.48</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kern w:val="0"/>
                <w:sz w:val="18"/>
                <w:szCs w:val="18"/>
              </w:rPr>
              <w:t>6,231,070.48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55" w:type="pct"/>
            <w:shd w:val="clear" w:color="auto" w:fill="auto"/>
            <w:vAlign w:val="center"/>
          </w:tcPr>
          <w:p>
            <w:pPr>
              <w:ind w:firstLine="210" w:firstLineChars="100"/>
              <w:rPr>
                <w:rFonts w:ascii="Times New Roman" w:hAnsi="Times New Roman"/>
                <w:szCs w:val="21"/>
              </w:rPr>
            </w:pPr>
            <w:r>
              <w:rPr>
                <w:rFonts w:ascii="Times New Roman" w:hAnsi="Times New Roman"/>
                <w:szCs w:val="21"/>
              </w:rPr>
              <w:t>(1)</w:t>
            </w:r>
            <w:r>
              <w:rPr>
                <w:rFonts w:hint="eastAsia" w:ascii="Times New Roman" w:hAnsi="Times New Roman"/>
                <w:szCs w:val="21"/>
              </w:rPr>
              <w:t>购置</w:t>
            </w:r>
          </w:p>
        </w:tc>
        <w:tc>
          <w:tcPr>
            <w:tcW w:w="786"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p>
        </w:tc>
        <w:tc>
          <w:tcPr>
            <w:tcW w:w="728"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000000"/>
                <w:kern w:val="0"/>
                <w:sz w:val="18"/>
                <w:szCs w:val="18"/>
              </w:rPr>
              <w:t>6,231,070.48</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000000"/>
                <w:kern w:val="0"/>
                <w:sz w:val="18"/>
                <w:szCs w:val="18"/>
              </w:rPr>
              <w:t>6,231,070.48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ind w:firstLine="210" w:firstLineChars="100"/>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内部研发</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855" w:type="pct"/>
            <w:shd w:val="clear" w:color="auto" w:fill="auto"/>
          </w:tcPr>
          <w:p>
            <w:pPr>
              <w:jc w:val="right"/>
              <w:rPr>
                <w:rFonts w:hint="eastAsia" w:ascii="Times New Roman" w:hAnsi="Times New Roman"/>
                <w:szCs w:val="21"/>
              </w:rPr>
            </w:pPr>
          </w:p>
          <w:p>
            <w:pPr>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tcPr>
          <w:p>
            <w:pPr>
              <w:ind w:firstLine="210" w:firstLineChars="100"/>
              <w:rPr>
                <w:rFonts w:ascii="Times New Roman" w:hAnsi="Times New Roman"/>
                <w:szCs w:val="21"/>
              </w:rPr>
            </w:pP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)企</w:t>
            </w:r>
            <w:r>
              <w:rPr>
                <w:rFonts w:ascii="Times New Roman" w:hAnsi="Times New Roman"/>
                <w:szCs w:val="21"/>
              </w:rPr>
              <w:t>业合并增加</w:t>
            </w:r>
          </w:p>
        </w:tc>
        <w:tc>
          <w:tcPr>
            <w:tcW w:w="786" w:type="pct"/>
            <w:shd w:val="clear" w:color="auto" w:fill="auto"/>
          </w:tcPr>
          <w:p>
            <w:pPr>
              <w:jc w:val="right"/>
              <w:rPr>
                <w:rFonts w:ascii="Times New Roman" w:hAnsi="Times New Roman"/>
                <w:szCs w:val="21"/>
              </w:rPr>
            </w:pPr>
          </w:p>
        </w:tc>
        <w:tc>
          <w:tcPr>
            <w:tcW w:w="786" w:type="pct"/>
            <w:shd w:val="clear" w:color="auto" w:fill="auto"/>
          </w:tcPr>
          <w:p>
            <w:pPr>
              <w:jc w:val="right"/>
              <w:rPr>
                <w:rFonts w:ascii="Times New Roman" w:hAnsi="Times New Roman"/>
                <w:szCs w:val="21"/>
              </w:rPr>
            </w:pPr>
          </w:p>
        </w:tc>
        <w:tc>
          <w:tcPr>
            <w:tcW w:w="728" w:type="pct"/>
            <w:shd w:val="clear" w:color="auto" w:fill="auto"/>
          </w:tcPr>
          <w:p>
            <w:pPr>
              <w:jc w:val="right"/>
              <w:rPr>
                <w:rFonts w:ascii="Times New Roman" w:hAnsi="Times New Roman"/>
                <w:szCs w:val="21"/>
              </w:rPr>
            </w:pPr>
          </w:p>
        </w:tc>
        <w:tc>
          <w:tcPr>
            <w:tcW w:w="786" w:type="pct"/>
            <w:shd w:val="clear" w:color="auto" w:fill="auto"/>
          </w:tcPr>
          <w:p>
            <w:pPr>
              <w:jc w:val="right"/>
              <w:rPr>
                <w:rFonts w:ascii="Times New Roman" w:hAnsi="Times New Roman"/>
                <w:szCs w:val="21"/>
              </w:rPr>
            </w:pPr>
          </w:p>
        </w:tc>
        <w:tc>
          <w:tcPr>
            <w:tcW w:w="855" w:type="pct"/>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3.本期减少</w:t>
            </w:r>
            <w:r>
              <w:rPr>
                <w:rFonts w:hint="eastAsia" w:ascii="Times New Roman" w:hAnsi="Times New Roman"/>
                <w:szCs w:val="21"/>
              </w:rPr>
              <w:t>金额</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855" w:type="pct"/>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ind w:firstLine="210" w:firstLineChars="100"/>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处置</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855" w:type="pct"/>
            <w:shd w:val="clear" w:color="auto" w:fill="auto"/>
          </w:tcPr>
          <w:p>
            <w:pPr>
              <w:jc w:val="right"/>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4.期末余额</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99,871,635.04</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10,129,305.52</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1,507,624.54</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11,897,096.97</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123,405,662.07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hint="default" w:ascii="Times New Roman" w:hAnsi="Times New Roman" w:cs="Times New Roman"/>
            </w:rPr>
            <w:tag w:val="_PLD_31b6b6971eff48bf893163f2b1779469"/>
            <w:id w:val="17142"/>
          </w:sdtPr>
          <w:sdtEndPr>
            <w:rPr>
              <w:rFonts w:hint="default" w:ascii="Times New Roman" w:hAnsi="Times New Roman" w:cs="Times New Roman"/>
            </w:rPr>
          </w:sdtEndPr>
          <w:sdtContent>
            <w:tc>
              <w:tcPr>
                <w:tcW w:w="5000" w:type="pct"/>
                <w:gridSpan w:val="6"/>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二、累计摊销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1.期</w:t>
            </w:r>
            <w:r>
              <w:rPr>
                <w:rFonts w:ascii="Times New Roman" w:hAnsi="Times New Roman"/>
                <w:szCs w:val="21"/>
              </w:rPr>
              <w:t>初余额</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28,629,235.09</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9,453,978.49</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624,137.43</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1,534,346.04</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40,241,697.05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2.本期增加</w:t>
            </w:r>
            <w:r>
              <w:rPr>
                <w:rFonts w:hint="eastAsia" w:ascii="Times New Roman" w:hAnsi="Times New Roman"/>
                <w:szCs w:val="21"/>
              </w:rPr>
              <w:t>金额</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2,016,219.72</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9,433.92</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773,456.77</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2,799,110.41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（1）</w:t>
            </w:r>
            <w:r>
              <w:rPr>
                <w:rFonts w:ascii="Times New Roman" w:hAnsi="Times New Roman"/>
                <w:szCs w:val="21"/>
              </w:rPr>
              <w:t>计提</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2,016,219.72</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9,433.92</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773,456.77</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2,799,110.41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3.</w:t>
            </w:r>
            <w:r>
              <w:rPr>
                <w:rFonts w:ascii="Times New Roman" w:hAnsi="Times New Roman"/>
                <w:szCs w:val="21"/>
              </w:rPr>
              <w:t>本期减少</w:t>
            </w:r>
            <w:r>
              <w:rPr>
                <w:rFonts w:hint="eastAsia" w:ascii="Times New Roman" w:hAnsi="Times New Roman"/>
                <w:szCs w:val="21"/>
              </w:rPr>
              <w:t>金额</w:t>
            </w:r>
          </w:p>
        </w:tc>
        <w:tc>
          <w:tcPr>
            <w:tcW w:w="786" w:type="pct"/>
            <w:shd w:val="clear" w:color="auto" w:fill="auto"/>
          </w:tcPr>
          <w:p>
            <w:pPr>
              <w:jc w:val="right"/>
              <w:rPr>
                <w:rFonts w:hint="default" w:ascii="Times New Roman" w:hAnsi="Times New Roman" w:cs="Times New Roman"/>
                <w:szCs w:val="21"/>
              </w:rPr>
            </w:pPr>
          </w:p>
        </w:tc>
        <w:tc>
          <w:tcPr>
            <w:tcW w:w="786" w:type="pct"/>
            <w:shd w:val="clear" w:color="auto" w:fill="auto"/>
          </w:tcPr>
          <w:p>
            <w:pPr>
              <w:jc w:val="right"/>
              <w:rPr>
                <w:rFonts w:hint="default" w:ascii="Times New Roman" w:hAnsi="Times New Roman" w:cs="Times New Roman"/>
                <w:szCs w:val="21"/>
              </w:rPr>
            </w:pPr>
          </w:p>
        </w:tc>
        <w:tc>
          <w:tcPr>
            <w:tcW w:w="728" w:type="pct"/>
            <w:shd w:val="clear" w:color="auto" w:fill="auto"/>
          </w:tcPr>
          <w:p>
            <w:pPr>
              <w:jc w:val="right"/>
              <w:rPr>
                <w:rFonts w:hint="default" w:ascii="Times New Roman" w:hAnsi="Times New Roman" w:cs="Times New Roman"/>
                <w:szCs w:val="21"/>
              </w:rPr>
            </w:pPr>
          </w:p>
        </w:tc>
        <w:tc>
          <w:tcPr>
            <w:tcW w:w="786" w:type="pct"/>
            <w:shd w:val="clear" w:color="auto" w:fill="auto"/>
          </w:tcPr>
          <w:p>
            <w:pPr>
              <w:jc w:val="right"/>
              <w:rPr>
                <w:rFonts w:hint="default" w:ascii="Times New Roman" w:hAnsi="Times New Roman" w:cs="Times New Roman"/>
                <w:szCs w:val="21"/>
              </w:rPr>
            </w:pPr>
          </w:p>
        </w:tc>
        <w:tc>
          <w:tcPr>
            <w:tcW w:w="855"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ind w:firstLine="210" w:firstLineChars="100"/>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处置</w:t>
            </w:r>
          </w:p>
        </w:tc>
        <w:tc>
          <w:tcPr>
            <w:tcW w:w="786" w:type="pct"/>
            <w:shd w:val="clear" w:color="auto" w:fill="auto"/>
          </w:tcPr>
          <w:p>
            <w:pPr>
              <w:jc w:val="right"/>
              <w:rPr>
                <w:rFonts w:hint="default" w:ascii="Times New Roman" w:hAnsi="Times New Roman" w:cs="Times New Roman"/>
                <w:szCs w:val="21"/>
              </w:rPr>
            </w:pPr>
          </w:p>
        </w:tc>
        <w:tc>
          <w:tcPr>
            <w:tcW w:w="786" w:type="pct"/>
            <w:shd w:val="clear" w:color="auto" w:fill="auto"/>
          </w:tcPr>
          <w:p>
            <w:pPr>
              <w:jc w:val="right"/>
              <w:rPr>
                <w:rFonts w:hint="default" w:ascii="Times New Roman" w:hAnsi="Times New Roman" w:cs="Times New Roman"/>
                <w:szCs w:val="21"/>
              </w:rPr>
            </w:pPr>
          </w:p>
        </w:tc>
        <w:tc>
          <w:tcPr>
            <w:tcW w:w="728" w:type="pct"/>
            <w:shd w:val="clear" w:color="auto" w:fill="auto"/>
          </w:tcPr>
          <w:p>
            <w:pPr>
              <w:jc w:val="right"/>
              <w:rPr>
                <w:rFonts w:hint="default" w:ascii="Times New Roman" w:hAnsi="Times New Roman" w:cs="Times New Roman"/>
                <w:szCs w:val="21"/>
              </w:rPr>
            </w:pPr>
          </w:p>
        </w:tc>
        <w:tc>
          <w:tcPr>
            <w:tcW w:w="786" w:type="pct"/>
            <w:shd w:val="clear" w:color="auto" w:fill="auto"/>
          </w:tcPr>
          <w:p>
            <w:pPr>
              <w:jc w:val="right"/>
              <w:rPr>
                <w:rFonts w:hint="default" w:ascii="Times New Roman" w:hAnsi="Times New Roman" w:cs="Times New Roman"/>
                <w:szCs w:val="21"/>
              </w:rPr>
            </w:pPr>
          </w:p>
        </w:tc>
        <w:tc>
          <w:tcPr>
            <w:tcW w:w="855" w:type="pct"/>
            <w:shd w:val="clear" w:color="auto" w:fill="auto"/>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4.</w:t>
            </w:r>
            <w:r>
              <w:rPr>
                <w:rFonts w:ascii="Times New Roman" w:hAnsi="Times New Roman"/>
                <w:szCs w:val="21"/>
              </w:rPr>
              <w:t>期末余额</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30,645,454.81</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9,453,978.49</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633,571.35</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2,307,802.81</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43,040,807.46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hint="default" w:ascii="Times New Roman" w:hAnsi="Times New Roman" w:cs="Times New Roman"/>
            </w:rPr>
            <w:tag w:val="_PLD_f7d5f180eba449a29a01985d504a8cad"/>
            <w:id w:val="17143"/>
          </w:sdtPr>
          <w:sdtEndPr>
            <w:rPr>
              <w:rFonts w:hint="default" w:ascii="Times New Roman" w:hAnsi="Times New Roman" w:cs="Times New Roman"/>
            </w:rPr>
          </w:sdtEndPr>
          <w:sdtContent>
            <w:tc>
              <w:tcPr>
                <w:tcW w:w="5000" w:type="pct"/>
                <w:gridSpan w:val="6"/>
                <w:shd w:val="clear" w:color="auto" w:fill="auto"/>
                <w:vAlign w:val="center"/>
              </w:tcPr>
              <w:p>
                <w:pPr>
                  <w:rPr>
                    <w:rFonts w:hint="default" w:ascii="Times New Roman" w:hAnsi="Times New Roman" w:cs="Times New Roman"/>
                    <w:szCs w:val="21"/>
                  </w:rPr>
                </w:pPr>
                <w:r>
                  <w:rPr>
                    <w:rFonts w:hint="default" w:ascii="Times New Roman" w:hAnsi="Times New Roman" w:cs="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1.期</w:t>
            </w:r>
            <w:r>
              <w:rPr>
                <w:rFonts w:ascii="Times New Roman" w:hAnsi="Times New Roman"/>
                <w:szCs w:val="21"/>
              </w:rPr>
              <w:t>初余额</w:t>
            </w:r>
          </w:p>
        </w:tc>
        <w:tc>
          <w:tcPr>
            <w:tcW w:w="786"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　</w:t>
            </w:r>
          </w:p>
        </w:tc>
        <w:tc>
          <w:tcPr>
            <w:tcW w:w="786"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　</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773,820.00</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2.本期增加</w:t>
            </w:r>
            <w:r>
              <w:rPr>
                <w:rFonts w:hint="eastAsia" w:ascii="Times New Roman" w:hAnsi="Times New Roman"/>
                <w:szCs w:val="21"/>
              </w:rPr>
              <w:t>金额</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p>
        </w:tc>
        <w:tc>
          <w:tcPr>
            <w:tcW w:w="855"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ind w:firstLine="210" w:firstLineChars="100"/>
              <w:rPr>
                <w:rFonts w:ascii="Times New Roman" w:hAnsi="Times New Roman"/>
                <w:szCs w:val="21"/>
              </w:rPr>
            </w:pPr>
            <w:r>
              <w:rPr>
                <w:rFonts w:hint="eastAsia" w:ascii="Times New Roman" w:hAnsi="Times New Roman"/>
                <w:szCs w:val="21"/>
              </w:rPr>
              <w:t>（1）</w:t>
            </w:r>
            <w:r>
              <w:rPr>
                <w:rFonts w:ascii="Times New Roman" w:hAnsi="Times New Roman"/>
                <w:szCs w:val="21"/>
              </w:rPr>
              <w:t>计提</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p>
        </w:tc>
        <w:tc>
          <w:tcPr>
            <w:tcW w:w="855"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3.</w:t>
            </w:r>
            <w:r>
              <w:rPr>
                <w:rFonts w:ascii="Times New Roman" w:hAnsi="Times New Roman"/>
                <w:szCs w:val="21"/>
              </w:rPr>
              <w:t>本期减少</w:t>
            </w:r>
            <w:r>
              <w:rPr>
                <w:rFonts w:hint="eastAsia" w:ascii="Times New Roman" w:hAnsi="Times New Roman"/>
                <w:szCs w:val="21"/>
              </w:rPr>
              <w:t>金额</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p>
        </w:tc>
        <w:tc>
          <w:tcPr>
            <w:tcW w:w="855"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55" w:type="pct"/>
            <w:shd w:val="clear" w:color="auto" w:fill="auto"/>
            <w:vAlign w:val="center"/>
          </w:tcPr>
          <w:p>
            <w:pPr>
              <w:ind w:firstLine="210" w:firstLineChars="100"/>
              <w:rPr>
                <w:rFonts w:ascii="Times New Roman" w:hAnsi="Times New Roman"/>
                <w:szCs w:val="21"/>
              </w:rPr>
            </w:pPr>
            <w:r>
              <w:rPr>
                <w:rFonts w:hint="eastAsia" w:ascii="Times New Roman" w:hAnsi="Times New Roman"/>
                <w:szCs w:val="21"/>
              </w:rPr>
              <w:t>(1)处置</w:t>
            </w:r>
          </w:p>
        </w:tc>
        <w:tc>
          <w:tcPr>
            <w:tcW w:w="786" w:type="pct"/>
            <w:shd w:val="clear" w:color="auto" w:fill="auto"/>
          </w:tcPr>
          <w:p>
            <w:pPr>
              <w:jc w:val="right"/>
              <w:rPr>
                <w:rFonts w:hint="eastAsia" w:ascii="Times New Roman" w:hAnsi="Times New Roman"/>
                <w:szCs w:val="21"/>
              </w:rPr>
            </w:pPr>
          </w:p>
        </w:tc>
        <w:tc>
          <w:tcPr>
            <w:tcW w:w="786" w:type="pct"/>
            <w:shd w:val="clear" w:color="auto" w:fill="auto"/>
          </w:tcPr>
          <w:p>
            <w:pPr>
              <w:jc w:val="right"/>
              <w:rPr>
                <w:rFonts w:hint="eastAsia" w:ascii="Times New Roman" w:hAnsi="Times New Roman"/>
                <w:szCs w:val="21"/>
              </w:rPr>
            </w:pPr>
          </w:p>
        </w:tc>
        <w:tc>
          <w:tcPr>
            <w:tcW w:w="728" w:type="pct"/>
            <w:shd w:val="clear" w:color="auto" w:fill="auto"/>
            <w:vAlign w:val="center"/>
          </w:tcPr>
          <w:p>
            <w:pPr>
              <w:jc w:val="right"/>
              <w:rPr>
                <w:rFonts w:hint="default" w:ascii="Times New Roman" w:hAnsi="Times New Roman" w:cs="Times New Roman"/>
                <w:szCs w:val="21"/>
              </w:rPr>
            </w:pPr>
          </w:p>
        </w:tc>
        <w:tc>
          <w:tcPr>
            <w:tcW w:w="786" w:type="pct"/>
            <w:shd w:val="clear" w:color="auto" w:fill="auto"/>
            <w:vAlign w:val="center"/>
          </w:tcPr>
          <w:p>
            <w:pPr>
              <w:jc w:val="right"/>
              <w:rPr>
                <w:rFonts w:hint="default" w:ascii="Times New Roman" w:hAnsi="Times New Roman" w:cs="Times New Roman"/>
                <w:szCs w:val="21"/>
              </w:rPr>
            </w:pPr>
          </w:p>
        </w:tc>
        <w:tc>
          <w:tcPr>
            <w:tcW w:w="855"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hint="eastAsia" w:ascii="Times New Roman" w:hAnsi="Times New Roman"/>
                <w:szCs w:val="21"/>
              </w:rPr>
              <w:t>4.</w:t>
            </w:r>
            <w:r>
              <w:rPr>
                <w:rFonts w:ascii="Times New Roman" w:hAnsi="Times New Roman"/>
                <w:szCs w:val="21"/>
              </w:rPr>
              <w:t>期末余额</w:t>
            </w:r>
          </w:p>
        </w:tc>
        <w:tc>
          <w:tcPr>
            <w:tcW w:w="786" w:type="pct"/>
            <w:shd w:val="clear" w:color="auto" w:fill="auto"/>
          </w:tcPr>
          <w:p>
            <w:pPr>
              <w:jc w:val="right"/>
              <w:rPr>
                <w:rFonts w:hint="eastAsia" w:ascii="Times New Roman" w:hAnsi="Times New Roman"/>
                <w:szCs w:val="21"/>
              </w:rPr>
            </w:pPr>
            <w:r>
              <w:rPr>
                <w:rFonts w:ascii="Times New Roman" w:hAnsi="Times New Roman"/>
              </w:rPr>
              <w:t>　</w:t>
            </w:r>
          </w:p>
        </w:tc>
        <w:tc>
          <w:tcPr>
            <w:tcW w:w="786" w:type="pct"/>
            <w:shd w:val="clear" w:color="auto" w:fill="auto"/>
          </w:tcPr>
          <w:p>
            <w:pPr>
              <w:jc w:val="right"/>
              <w:rPr>
                <w:rFonts w:hint="eastAsia" w:ascii="Times New Roman" w:hAnsi="Times New Roman"/>
                <w:szCs w:val="21"/>
              </w:rPr>
            </w:pPr>
            <w:r>
              <w:rPr>
                <w:rFonts w:ascii="Times New Roman" w:hAnsi="Times New Roman"/>
              </w:rPr>
              <w:t>　</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773,820.00</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rPr>
            <w:tag w:val="_PLD_4b0672b3afec475f9c6133950914fc81"/>
            <w:id w:val="17144"/>
          </w:sdtPr>
          <w:sdtEndPr>
            <w:rPr>
              <w:rFonts w:ascii="Times New Roman" w:hAnsi="Times New Roman"/>
            </w:rPr>
          </w:sdtEndPr>
          <w:sdtContent>
            <w:tc>
              <w:tcPr>
                <w:tcW w:w="5000" w:type="pct"/>
                <w:gridSpan w:val="6"/>
                <w:shd w:val="clear" w:color="auto" w:fill="auto"/>
                <w:vAlign w:val="center"/>
              </w:tcPr>
              <w:p>
                <w:pPr>
                  <w:rPr>
                    <w:rFonts w:ascii="Times New Roman" w:hAnsi="Times New Roman"/>
                    <w:szCs w:val="21"/>
                  </w:rPr>
                </w:pPr>
                <w:r>
                  <w:rPr>
                    <w:rFonts w:ascii="Times New Roman" w:hAnsi="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 xml:space="preserve">  1.期末账面价值</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69,226,180.23</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675,327.03</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100,233.19</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9,589,294.16</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79,591,034.61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5" w:type="pct"/>
            <w:shd w:val="clear" w:color="auto" w:fill="auto"/>
            <w:vAlign w:val="center"/>
          </w:tcPr>
          <w:p>
            <w:pPr>
              <w:rPr>
                <w:rFonts w:ascii="Times New Roman" w:hAnsi="Times New Roman"/>
                <w:szCs w:val="21"/>
              </w:rPr>
            </w:pPr>
            <w:r>
              <w:rPr>
                <w:rFonts w:ascii="Times New Roman" w:hAnsi="Times New Roman"/>
                <w:szCs w:val="21"/>
              </w:rPr>
              <w:t xml:space="preserve">  2.</w:t>
            </w:r>
            <w:r>
              <w:rPr>
                <w:rFonts w:hint="eastAsia" w:ascii="Times New Roman" w:hAnsi="Times New Roman"/>
                <w:szCs w:val="21"/>
              </w:rPr>
              <w:t>期初</w:t>
            </w:r>
            <w:r>
              <w:rPr>
                <w:rFonts w:ascii="Times New Roman" w:hAnsi="Times New Roman"/>
                <w:szCs w:val="21"/>
              </w:rPr>
              <w:t>账面价值</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71,242,399.95</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675,327.03</w:t>
            </w:r>
          </w:p>
        </w:tc>
        <w:tc>
          <w:tcPr>
            <w:tcW w:w="72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109,667.11</w:t>
            </w:r>
          </w:p>
        </w:tc>
        <w:tc>
          <w:tcPr>
            <w:tcW w:w="78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4,131,680.45</w:t>
            </w:r>
          </w:p>
        </w:tc>
        <w:tc>
          <w:tcPr>
            <w:tcW w:w="85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76,159,074.54</w:t>
            </w:r>
          </w:p>
        </w:tc>
      </w:tr>
    </w:tbl>
    <w:p>
      <w:pPr>
        <w:snapToGrid w:val="0"/>
        <w:spacing w:line="240" w:lineRule="atLeast"/>
        <w:rPr>
          <w:rFonts w:hint="eastAsia"/>
          <w:szCs w:val="21"/>
        </w:rPr>
      </w:pPr>
    </w:p>
    <w:p>
      <w:pPr>
        <w:snapToGrid w:val="0"/>
        <w:spacing w:line="240" w:lineRule="atLeast"/>
        <w:rPr>
          <w:rFonts w:hint="eastAsia" w:ascii="Times New Roman" w:hAnsi="Times New Roman"/>
          <w:sz w:val="21"/>
          <w:szCs w:val="21"/>
          <w:lang w:eastAsia="zh-CN"/>
        </w:rPr>
      </w:pPr>
      <w:r>
        <w:rPr>
          <w:rFonts w:hint="eastAsia" w:ascii="Times New Roman" w:hAnsi="Times New Roman"/>
          <w:sz w:val="21"/>
          <w:szCs w:val="21"/>
        </w:rPr>
        <w:t>注：公司无形资产抵押详见“七、合并财务报表注释”之“</w:t>
      </w:r>
      <w:r>
        <w:rPr>
          <w:rFonts w:hint="eastAsia" w:ascii="Times New Roman" w:hAnsi="Times New Roman"/>
          <w:sz w:val="21"/>
          <w:szCs w:val="21"/>
          <w:lang w:val="en-US" w:eastAsia="zh-CN"/>
        </w:rPr>
        <w:t>31、</w:t>
      </w:r>
      <w:r>
        <w:rPr>
          <w:rFonts w:hint="eastAsia" w:ascii="Times New Roman" w:hAnsi="Times New Roman"/>
          <w:sz w:val="21"/>
          <w:szCs w:val="21"/>
        </w:rPr>
        <w:t>所有权或使用权</w:t>
      </w:r>
      <w:r>
        <w:rPr>
          <w:rFonts w:hint="eastAsia" w:ascii="Times New Roman" w:hAnsi="Times New Roman"/>
          <w:sz w:val="21"/>
          <w:szCs w:val="21"/>
          <w:lang w:val="en-US" w:eastAsia="zh-CN"/>
        </w:rPr>
        <w:t>受限</w:t>
      </w:r>
      <w:r>
        <w:rPr>
          <w:rFonts w:hint="eastAsia" w:ascii="Times New Roman" w:hAnsi="Times New Roman"/>
          <w:sz w:val="21"/>
          <w:szCs w:val="21"/>
        </w:rPr>
        <w:t>资产”</w:t>
      </w:r>
      <w:r>
        <w:rPr>
          <w:rFonts w:hint="eastAsia" w:ascii="Times New Roman" w:hAnsi="Times New Roman"/>
          <w:sz w:val="21"/>
          <w:szCs w:val="21"/>
          <w:lang w:val="en-US" w:eastAsia="zh-CN"/>
        </w:rPr>
        <w:t>和</w:t>
      </w:r>
      <w:r>
        <w:rPr>
          <w:rFonts w:hint="eastAsia" w:ascii="Times New Roman" w:hAnsi="Times New Roman"/>
          <w:sz w:val="21"/>
          <w:szCs w:val="21"/>
        </w:rPr>
        <w:t>“32.短期借款”</w:t>
      </w:r>
      <w:r>
        <w:rPr>
          <w:rFonts w:hint="eastAsia" w:ascii="Times New Roman" w:hAnsi="Times New Roman"/>
          <w:sz w:val="21"/>
          <w:szCs w:val="21"/>
          <w:lang w:eastAsia="zh-CN"/>
        </w:rPr>
        <w:t>。</w:t>
      </w:r>
    </w:p>
    <w:p>
      <w:pPr>
        <w:rPr>
          <w:highlight w:val="none"/>
        </w:rPr>
      </w:pPr>
    </w:p>
    <w:p>
      <w:pPr>
        <w:snapToGrid w:val="0"/>
        <w:spacing w:line="240" w:lineRule="atLeast"/>
        <w:rPr>
          <w:rFonts w:hint="eastAsia" w:ascii="Times New Roman" w:hAnsi="Times New Roman"/>
          <w:sz w:val="21"/>
          <w:szCs w:val="21"/>
        </w:rPr>
      </w:pPr>
      <w:r>
        <w:rPr>
          <w:rFonts w:hint="eastAsia"/>
          <w:szCs w:val="21"/>
          <w:highlight w:val="none"/>
        </w:rPr>
        <w:t>本期末通过公司内</w:t>
      </w:r>
      <w:r>
        <w:rPr>
          <w:rFonts w:hint="eastAsia" w:ascii="Times New Roman" w:hAnsi="Times New Roman"/>
          <w:sz w:val="21"/>
          <w:szCs w:val="21"/>
        </w:rPr>
        <w:t>部研发形成的无形资产占无形资产余额的比例是</w:t>
      </w:r>
      <w:sdt>
        <w:sdtPr>
          <w:rPr>
            <w:rFonts w:hint="eastAsia" w:ascii="Times New Roman" w:hAnsi="Times New Roman"/>
            <w:sz w:val="21"/>
            <w:szCs w:val="21"/>
          </w:rPr>
          <w:alias w:val="通过公司内部研发形成的无形资产占无形资产账面价值的比例"/>
          <w:tag w:val="_GBC_a5caf6c87458439c8916b866a1bdf523"/>
          <w:id w:val="27155"/>
          <w:placeholder>
            <w:docPart w:val="GBC22222222222222222222222222222"/>
          </w:placeholder>
        </w:sdtPr>
        <w:sdtEndPr>
          <w:rPr>
            <w:rFonts w:hint="eastAsia" w:ascii="Times New Roman" w:hAnsi="Times New Roman"/>
            <w:sz w:val="21"/>
            <w:szCs w:val="21"/>
          </w:rPr>
        </w:sdtEndPr>
        <w:sdtContent>
          <w:r>
            <w:rPr>
              <w:rFonts w:hint="eastAsia" w:ascii="Times New Roman" w:hAnsi="Times New Roman"/>
              <w:sz w:val="21"/>
              <w:szCs w:val="21"/>
              <w:lang w:eastAsia="zh-CN"/>
            </w:rPr>
            <w:t>0</w:t>
          </w:r>
        </w:sdtContent>
      </w:sdt>
    </w:p>
    <w:p>
      <w:pPr>
        <w:snapToGrid w:val="0"/>
        <w:spacing w:line="240" w:lineRule="atLeast"/>
        <w:rPr>
          <w:szCs w:val="21"/>
        </w:rPr>
      </w:pPr>
    </w:p>
    <w:bookmarkEnd w:id="267"/>
    <w:p>
      <w:pPr>
        <w:pStyle w:val="196"/>
        <w:numPr>
          <w:ilvl w:val="3"/>
          <w:numId w:val="90"/>
        </w:numPr>
        <w:ind w:left="426" w:hanging="426"/>
      </w:pPr>
      <w:r>
        <w:rPr>
          <w:rFonts w:hint="eastAsia"/>
        </w:rPr>
        <w:t>未办妥产权证书的土地使用权情况</w:t>
      </w:r>
    </w:p>
    <w:p>
      <w:pPr>
        <w:snapToGrid w:val="0"/>
        <w:spacing w:line="240" w:lineRule="atLeast"/>
      </w:pPr>
      <w:sdt>
        <w:sdtPr>
          <w:alias w:val="是否适用：未办妥产权证书的土地使用权情况[双击切换]"/>
          <w:tag w:val="_GBC_62bb02d09b844cb69dfe16466ac211c9"/>
          <w:id w:val="27156"/>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snapToGrid w:val="0"/>
        <w:spacing w:line="240" w:lineRule="atLeast"/>
        <w:outlineLvl w:val="9"/>
      </w:pPr>
    </w:p>
    <w:p>
      <w:pPr>
        <w:pStyle w:val="196"/>
        <w:numPr>
          <w:ilvl w:val="0"/>
          <w:numId w:val="89"/>
        </w:numPr>
        <w:ind w:left="450" w:hanging="450"/>
      </w:pPr>
      <w:bookmarkStart w:id="268" w:name="_Hlk153461844"/>
      <w:r>
        <w:rPr>
          <w:rFonts w:hint="eastAsia"/>
        </w:rPr>
        <w:t>无形资产的减值测试情况</w:t>
      </w:r>
    </w:p>
    <w:sdt>
      <w:sdtPr>
        <w:alias w:val="是否适用：减值测试情况[双击切换]"/>
        <w:tag w:val="_GBC_c5612c50ddb44cf8892aefcbaf89a0f7"/>
        <w:id w:val="2715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68"/>
    <w:p>
      <w:pPr>
        <w:rPr>
          <w:szCs w:val="21"/>
        </w:rPr>
      </w:pPr>
      <w:r>
        <w:rPr>
          <w:rFonts w:hint="eastAsia"/>
          <w:szCs w:val="21"/>
        </w:rPr>
        <w:t>其他说明：</w:t>
      </w:r>
    </w:p>
    <w:sdt>
      <w:sdtPr>
        <w:rPr>
          <w:szCs w:val="21"/>
        </w:rPr>
        <w:alias w:val="是否适用：无形资产的说明[双击切换]"/>
        <w:tag w:val="_GBC_ff92654365f04f7ba71b01dd8af2f696"/>
        <w:id w:val="2715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szCs w:val="21"/>
        </w:rPr>
      </w:pPr>
    </w:p>
    <w:p>
      <w:pPr>
        <w:pStyle w:val="229"/>
        <w:numPr>
          <w:ilvl w:val="0"/>
          <w:numId w:val="71"/>
        </w:numPr>
        <w:tabs>
          <w:tab w:val="left" w:pos="504"/>
        </w:tabs>
        <w:rPr>
          <w:rFonts w:ascii="宋体" w:hAnsi="宋体"/>
          <w:szCs w:val="21"/>
        </w:rPr>
      </w:pPr>
      <w:r>
        <w:rPr>
          <w:rFonts w:hint="eastAsia" w:ascii="宋体" w:hAnsi="宋体"/>
          <w:szCs w:val="21"/>
        </w:rPr>
        <w:t>商誉</w:t>
      </w:r>
    </w:p>
    <w:p>
      <w:pPr>
        <w:pStyle w:val="196"/>
        <w:numPr>
          <w:ilvl w:val="3"/>
          <w:numId w:val="91"/>
        </w:numPr>
        <w:ind w:left="426" w:hanging="426"/>
      </w:pPr>
      <w:r>
        <w:rPr>
          <w:rFonts w:hint="eastAsia"/>
        </w:rPr>
        <w:t>商誉账面原值</w:t>
      </w:r>
    </w:p>
    <w:sdt>
      <w:sdtPr>
        <w:alias w:val="是否适用：商誉账面原值[双击切换]"/>
        <w:tag w:val="_GBC_ef393f0687ab4747a43cd96895a18dcb"/>
        <w:id w:val="27159"/>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商誉"/>
          <w:tag w:val="_GBC_1969cb3272364bc49f9ccb754d95df61"/>
          <w:id w:val="27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271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691"/>
        <w:gridCol w:w="1062"/>
        <w:gridCol w:w="806"/>
        <w:gridCol w:w="1202"/>
        <w:gridCol w:w="71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sz w:val="21"/>
              <w:szCs w:val="21"/>
            </w:rPr>
            <w:tag w:val="_PLD_321a0416f313455db9437f8692d7d27e"/>
            <w:id w:val="27162"/>
          </w:sdtPr>
          <w:sdtEndPr>
            <w:rPr>
              <w:sz w:val="21"/>
              <w:szCs w:val="21"/>
            </w:rPr>
          </w:sdtEndPr>
          <w:sdtContent>
            <w:tc>
              <w:tcPr>
                <w:tcW w:w="1070" w:type="pct"/>
                <w:vMerge w:val="restart"/>
                <w:shd w:val="clear" w:color="auto" w:fill="auto"/>
                <w:vAlign w:val="center"/>
              </w:tcPr>
              <w:p>
                <w:pPr>
                  <w:autoSpaceDE w:val="0"/>
                  <w:autoSpaceDN w:val="0"/>
                  <w:adjustRightInd w:val="0"/>
                  <w:snapToGrid w:val="0"/>
                  <w:jc w:val="center"/>
                  <w:rPr>
                    <w:sz w:val="21"/>
                    <w:szCs w:val="21"/>
                  </w:rPr>
                </w:pPr>
                <w:r>
                  <w:rPr>
                    <w:rFonts w:hint="eastAsia"/>
                    <w:sz w:val="21"/>
                    <w:szCs w:val="21"/>
                  </w:rPr>
                  <w:t>被投资单位名称或形成商誉的事项</w:t>
                </w:r>
              </w:p>
            </w:tc>
          </w:sdtContent>
        </w:sdt>
        <w:sdt>
          <w:sdtPr>
            <w:rPr>
              <w:sz w:val="21"/>
              <w:szCs w:val="21"/>
            </w:rPr>
            <w:tag w:val="_PLD_f188a95931d64e73a28589bedff91f08"/>
            <w:id w:val="27163"/>
          </w:sdtPr>
          <w:sdtEndPr>
            <w:rPr>
              <w:sz w:val="21"/>
              <w:szCs w:val="21"/>
            </w:rPr>
          </w:sdtEndPr>
          <w:sdtContent>
            <w:tc>
              <w:tcPr>
                <w:tcW w:w="934" w:type="pct"/>
                <w:vMerge w:val="restart"/>
                <w:shd w:val="clear" w:color="auto" w:fill="auto"/>
                <w:vAlign w:val="center"/>
              </w:tcPr>
              <w:p>
                <w:pPr>
                  <w:autoSpaceDE w:val="0"/>
                  <w:autoSpaceDN w:val="0"/>
                  <w:adjustRightInd w:val="0"/>
                  <w:snapToGrid w:val="0"/>
                  <w:jc w:val="center"/>
                  <w:rPr>
                    <w:sz w:val="21"/>
                    <w:szCs w:val="21"/>
                  </w:rPr>
                </w:pPr>
                <w:r>
                  <w:rPr>
                    <w:rFonts w:hint="eastAsia"/>
                    <w:sz w:val="21"/>
                    <w:szCs w:val="21"/>
                  </w:rPr>
                  <w:t>期初余额</w:t>
                </w:r>
              </w:p>
            </w:tc>
          </w:sdtContent>
        </w:sdt>
        <w:sdt>
          <w:sdtPr>
            <w:rPr>
              <w:sz w:val="21"/>
              <w:szCs w:val="21"/>
            </w:rPr>
            <w:tag w:val="_PLD_fe0863051d574b7da3ab0c8be387303e"/>
            <w:id w:val="27164"/>
          </w:sdtPr>
          <w:sdtEndPr>
            <w:rPr>
              <w:sz w:val="21"/>
              <w:szCs w:val="21"/>
            </w:rPr>
          </w:sdtEndPr>
          <w:sdtContent>
            <w:tc>
              <w:tcPr>
                <w:tcW w:w="1032" w:type="pct"/>
                <w:gridSpan w:val="2"/>
                <w:shd w:val="clear" w:color="auto" w:fill="auto"/>
                <w:vAlign w:val="center"/>
              </w:tcPr>
              <w:p>
                <w:pPr>
                  <w:autoSpaceDE w:val="0"/>
                  <w:autoSpaceDN w:val="0"/>
                  <w:adjustRightInd w:val="0"/>
                  <w:snapToGrid w:val="0"/>
                  <w:jc w:val="center"/>
                  <w:rPr>
                    <w:sz w:val="21"/>
                    <w:szCs w:val="21"/>
                  </w:rPr>
                </w:pPr>
                <w:r>
                  <w:rPr>
                    <w:rFonts w:hint="eastAsia"/>
                    <w:sz w:val="21"/>
                    <w:szCs w:val="21"/>
                  </w:rPr>
                  <w:t>本期增加</w:t>
                </w:r>
              </w:p>
            </w:tc>
          </w:sdtContent>
        </w:sdt>
        <w:sdt>
          <w:sdtPr>
            <w:rPr>
              <w:sz w:val="21"/>
              <w:szCs w:val="21"/>
            </w:rPr>
            <w:tag w:val="_PLD_ce868c17962f49c4aa34996033f79dd2"/>
            <w:id w:val="27165"/>
          </w:sdtPr>
          <w:sdtEndPr>
            <w:rPr>
              <w:sz w:val="21"/>
              <w:szCs w:val="21"/>
            </w:rPr>
          </w:sdtEndPr>
          <w:sdtContent>
            <w:tc>
              <w:tcPr>
                <w:tcW w:w="1060" w:type="pct"/>
                <w:gridSpan w:val="2"/>
                <w:shd w:val="clear" w:color="auto" w:fill="auto"/>
                <w:vAlign w:val="center"/>
              </w:tcPr>
              <w:p>
                <w:pPr>
                  <w:autoSpaceDE w:val="0"/>
                  <w:autoSpaceDN w:val="0"/>
                  <w:adjustRightInd w:val="0"/>
                  <w:snapToGrid w:val="0"/>
                  <w:jc w:val="center"/>
                  <w:rPr>
                    <w:sz w:val="21"/>
                    <w:szCs w:val="21"/>
                  </w:rPr>
                </w:pPr>
                <w:r>
                  <w:rPr>
                    <w:rFonts w:hint="eastAsia"/>
                    <w:sz w:val="21"/>
                    <w:szCs w:val="21"/>
                  </w:rPr>
                  <w:t>本期减少</w:t>
                </w:r>
              </w:p>
            </w:tc>
          </w:sdtContent>
        </w:sdt>
        <w:sdt>
          <w:sdtPr>
            <w:rPr>
              <w:sz w:val="21"/>
              <w:szCs w:val="21"/>
            </w:rPr>
            <w:tag w:val="_PLD_9b7450bb10fb432a80b42e729cd30f12"/>
            <w:id w:val="27166"/>
          </w:sdtPr>
          <w:sdtEndPr>
            <w:rPr>
              <w:sz w:val="21"/>
              <w:szCs w:val="21"/>
            </w:rPr>
          </w:sdtEndPr>
          <w:sdtContent>
            <w:tc>
              <w:tcPr>
                <w:tcW w:w="901" w:type="pct"/>
                <w:vMerge w:val="restart"/>
                <w:shd w:val="clear" w:color="auto" w:fill="auto"/>
                <w:vAlign w:val="center"/>
              </w:tcPr>
              <w:p>
                <w:pPr>
                  <w:autoSpaceDE w:val="0"/>
                  <w:autoSpaceDN w:val="0"/>
                  <w:adjustRightInd w:val="0"/>
                  <w:snapToGrid w:val="0"/>
                  <w:jc w:val="center"/>
                  <w:rPr>
                    <w:sz w:val="21"/>
                    <w:szCs w:val="21"/>
                  </w:rPr>
                </w:pPr>
                <w:r>
                  <w:rPr>
                    <w:rFonts w:hint="eastAsia"/>
                    <w:sz w:val="21"/>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0" w:type="pct"/>
            <w:vMerge w:val="continue"/>
            <w:shd w:val="clear" w:color="auto" w:fill="auto"/>
          </w:tcPr>
          <w:p>
            <w:pPr>
              <w:autoSpaceDE w:val="0"/>
              <w:autoSpaceDN w:val="0"/>
              <w:adjustRightInd w:val="0"/>
              <w:snapToGrid w:val="0"/>
              <w:jc w:val="center"/>
              <w:rPr>
                <w:sz w:val="21"/>
                <w:szCs w:val="21"/>
              </w:rPr>
            </w:pPr>
          </w:p>
        </w:tc>
        <w:tc>
          <w:tcPr>
            <w:tcW w:w="934" w:type="pct"/>
            <w:vMerge w:val="continue"/>
            <w:shd w:val="clear" w:color="auto" w:fill="auto"/>
          </w:tcPr>
          <w:p>
            <w:pPr>
              <w:autoSpaceDE w:val="0"/>
              <w:autoSpaceDN w:val="0"/>
              <w:adjustRightInd w:val="0"/>
              <w:snapToGrid w:val="0"/>
              <w:jc w:val="center"/>
              <w:rPr>
                <w:sz w:val="21"/>
                <w:szCs w:val="21"/>
              </w:rPr>
            </w:pPr>
          </w:p>
        </w:tc>
        <w:tc>
          <w:tcPr>
            <w:tcW w:w="586" w:type="pct"/>
            <w:shd w:val="clear" w:color="auto" w:fill="auto"/>
            <w:vAlign w:val="center"/>
          </w:tcPr>
          <w:p>
            <w:pPr>
              <w:autoSpaceDE w:val="0"/>
              <w:autoSpaceDN w:val="0"/>
              <w:adjustRightInd w:val="0"/>
              <w:snapToGrid w:val="0"/>
              <w:jc w:val="center"/>
              <w:rPr>
                <w:sz w:val="21"/>
                <w:szCs w:val="21"/>
              </w:rPr>
            </w:pPr>
            <w:r>
              <w:rPr>
                <w:rFonts w:hint="eastAsia"/>
                <w:sz w:val="21"/>
                <w:szCs w:val="21"/>
              </w:rPr>
              <w:t>企业合并形成的</w:t>
            </w:r>
          </w:p>
        </w:tc>
        <w:tc>
          <w:tcPr>
            <w:tcW w:w="445" w:type="pct"/>
            <w:shd w:val="clear" w:color="auto" w:fill="auto"/>
            <w:vAlign w:val="center"/>
          </w:tcPr>
          <w:p>
            <w:pPr>
              <w:autoSpaceDE w:val="0"/>
              <w:autoSpaceDN w:val="0"/>
              <w:adjustRightInd w:val="0"/>
              <w:snapToGrid w:val="0"/>
              <w:jc w:val="center"/>
              <w:rPr>
                <w:sz w:val="21"/>
                <w:szCs w:val="21"/>
              </w:rPr>
            </w:pPr>
            <w:r>
              <w:rPr>
                <w:rFonts w:hint="eastAsia"/>
                <w:sz w:val="21"/>
                <w:szCs w:val="21"/>
              </w:rPr>
              <w:t>　</w:t>
            </w:r>
          </w:p>
        </w:tc>
        <w:tc>
          <w:tcPr>
            <w:tcW w:w="664" w:type="pct"/>
            <w:shd w:val="clear" w:color="auto" w:fill="auto"/>
            <w:vAlign w:val="center"/>
          </w:tcPr>
          <w:p>
            <w:pPr>
              <w:autoSpaceDE w:val="0"/>
              <w:autoSpaceDN w:val="0"/>
              <w:adjustRightInd w:val="0"/>
              <w:snapToGrid w:val="0"/>
              <w:jc w:val="center"/>
              <w:rPr>
                <w:sz w:val="21"/>
                <w:szCs w:val="21"/>
              </w:rPr>
            </w:pPr>
            <w:r>
              <w:rPr>
                <w:rFonts w:hint="eastAsia"/>
                <w:sz w:val="21"/>
                <w:szCs w:val="21"/>
              </w:rPr>
              <w:t>处置</w:t>
            </w:r>
          </w:p>
        </w:tc>
        <w:tc>
          <w:tcPr>
            <w:tcW w:w="396" w:type="pct"/>
            <w:shd w:val="clear" w:color="auto" w:fill="auto"/>
            <w:vAlign w:val="center"/>
          </w:tcPr>
          <w:p>
            <w:pPr>
              <w:autoSpaceDE w:val="0"/>
              <w:autoSpaceDN w:val="0"/>
              <w:adjustRightInd w:val="0"/>
              <w:snapToGrid w:val="0"/>
              <w:jc w:val="center"/>
              <w:rPr>
                <w:sz w:val="21"/>
                <w:szCs w:val="21"/>
              </w:rPr>
            </w:pPr>
            <w:r>
              <w:rPr>
                <w:rFonts w:hint="eastAsia"/>
                <w:sz w:val="21"/>
                <w:szCs w:val="21"/>
              </w:rPr>
              <w:t>　</w:t>
            </w:r>
          </w:p>
        </w:tc>
        <w:tc>
          <w:tcPr>
            <w:tcW w:w="901" w:type="pct"/>
            <w:vMerge w:val="continue"/>
            <w:shd w:val="clear" w:color="auto" w:fill="auto"/>
          </w:tcPr>
          <w:p>
            <w:pPr>
              <w:autoSpaceDE w:val="0"/>
              <w:autoSpaceDN w:val="0"/>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70" w:type="pct"/>
            <w:shd w:val="clear" w:color="auto" w:fill="auto"/>
          </w:tcPr>
          <w:p>
            <w:pPr>
              <w:autoSpaceDE w:val="0"/>
              <w:autoSpaceDN w:val="0"/>
              <w:adjustRightInd w:val="0"/>
              <w:snapToGrid w:val="0"/>
              <w:jc w:val="both"/>
              <w:rPr>
                <w:sz w:val="21"/>
                <w:szCs w:val="21"/>
              </w:rPr>
            </w:pPr>
            <w:r>
              <w:rPr>
                <w:rFonts w:hint="eastAsia" w:ascii="Arial Narrow" w:hAnsi="Arial Narrow"/>
                <w:sz w:val="21"/>
                <w:szCs w:val="21"/>
              </w:rPr>
              <w:t>广西两面针亿康药业股份有限公司</w:t>
            </w:r>
          </w:p>
        </w:tc>
        <w:tc>
          <w:tcPr>
            <w:tcW w:w="934"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3,405,975.91</w:t>
            </w:r>
          </w:p>
        </w:tc>
        <w:tc>
          <w:tcPr>
            <w:tcW w:w="586"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445"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664"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396"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901"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3,405,975.91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70" w:type="pct"/>
            <w:shd w:val="clear" w:color="auto" w:fill="auto"/>
            <w:vAlign w:val="center"/>
          </w:tcPr>
          <w:p>
            <w:pPr>
              <w:autoSpaceDE w:val="0"/>
              <w:autoSpaceDN w:val="0"/>
              <w:adjustRightInd w:val="0"/>
              <w:snapToGrid w:val="0"/>
              <w:jc w:val="center"/>
              <w:rPr>
                <w:sz w:val="21"/>
                <w:szCs w:val="21"/>
                <w:u w:val="double"/>
              </w:rPr>
            </w:pPr>
            <w:r>
              <w:rPr>
                <w:rFonts w:hint="eastAsia"/>
                <w:sz w:val="21"/>
                <w:szCs w:val="21"/>
              </w:rPr>
              <w:t>合计</w:t>
            </w:r>
          </w:p>
        </w:tc>
        <w:tc>
          <w:tcPr>
            <w:tcW w:w="934"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3,405,975.91</w:t>
            </w:r>
          </w:p>
        </w:tc>
        <w:tc>
          <w:tcPr>
            <w:tcW w:w="586"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445"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664"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396"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901" w:type="pct"/>
            <w:shd w:val="clear" w:color="auto" w:fill="auto"/>
            <w:vAlign w:val="center"/>
          </w:tcPr>
          <w:p>
            <w:pPr>
              <w:autoSpaceDE w:val="0"/>
              <w:autoSpaceDN w:val="0"/>
              <w:adjustRightInd w:val="0"/>
              <w:snapToGrid w:val="0"/>
              <w:jc w:val="right"/>
              <w:rPr>
                <w:rFonts w:hint="default" w:ascii="Times New Roman" w:hAnsi="Times New Roman" w:cs="Times New Roman"/>
                <w:sz w:val="21"/>
                <w:szCs w:val="21"/>
              </w:rPr>
            </w:pPr>
            <w:r>
              <w:rPr>
                <w:rFonts w:hint="default" w:ascii="Times New Roman" w:hAnsi="Times New Roman" w:cs="Times New Roman"/>
                <w:sz w:val="21"/>
                <w:szCs w:val="21"/>
              </w:rPr>
              <w:t>3,405,975.91</w:t>
            </w:r>
          </w:p>
        </w:tc>
      </w:tr>
    </w:tbl>
    <w:p/>
    <w:p>
      <w:pPr>
        <w:pStyle w:val="196"/>
        <w:numPr>
          <w:ilvl w:val="3"/>
          <w:numId w:val="91"/>
        </w:numPr>
        <w:ind w:left="426" w:hanging="426"/>
      </w:pPr>
      <w:r>
        <w:rPr>
          <w:rFonts w:hint="eastAsia"/>
        </w:rPr>
        <w:t>商誉减值准备</w:t>
      </w:r>
    </w:p>
    <w:sdt>
      <w:sdtPr>
        <w:alias w:val="是否适用：商誉减值准备[双击切换]"/>
        <w:tag w:val="_GBC_6da4c3df55cf453f9753bb7045db7e9c"/>
        <w:id w:val="2716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3"/>
          <w:numId w:val="91"/>
        </w:numPr>
        <w:ind w:left="426" w:hanging="426"/>
        <w:rPr>
          <w:rFonts w:ascii="宋体" w:hAnsi="宋体" w:eastAsia="宋体" w:cs="宋体"/>
          <w:kern w:val="0"/>
          <w:szCs w:val="24"/>
        </w:rPr>
      </w:pPr>
      <w:r>
        <w:rPr>
          <w:rFonts w:hint="eastAsia" w:ascii="宋体" w:hAnsi="宋体" w:eastAsia="宋体" w:cs="宋体"/>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27168"/>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bookmarkStart w:id="269" w:name="_Hlk153462880"/>
      <w:r>
        <w:rPr>
          <w:rFonts w:hint="eastAsia"/>
        </w:rPr>
        <w:t>资产组或资产组组合发生变化</w:t>
      </w:r>
    </w:p>
    <w:sdt>
      <w:sdtPr>
        <w:alias w:val="是否适用：资产组或资产组组合发生变化[双击切换]"/>
        <w:tag w:val="_GBC_31d9e35c99cb43c2ad1aced4a6a40606"/>
        <w:id w:val="2716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269"/>
    <w:p>
      <w:bookmarkStart w:id="270" w:name="_Hlk152948734"/>
      <w:r>
        <w:rPr>
          <w:rFonts w:hint="eastAsia"/>
        </w:rPr>
        <w:t>其他说明</w:t>
      </w:r>
    </w:p>
    <w:sdt>
      <w:sdtPr>
        <w:alias w:val="是否适用：商誉所在资产组或资产组组合的相关信息其他说明[双击切换]"/>
        <w:tag w:val="_GBC_9f9bd4d9cf084d4594694aa545981d14"/>
        <w:id w:val="27170"/>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70"/>
    <w:p/>
    <w:p>
      <w:pPr>
        <w:pStyle w:val="196"/>
        <w:numPr>
          <w:ilvl w:val="3"/>
          <w:numId w:val="91"/>
        </w:numPr>
        <w:ind w:left="424" w:hanging="424" w:hangingChars="201"/>
      </w:pPr>
      <w:r>
        <w:rPr>
          <w:rFonts w:hint="eastAsia"/>
        </w:rPr>
        <w:t>可收回金额的具体确定方法</w:t>
      </w:r>
    </w:p>
    <w:p>
      <w:bookmarkStart w:id="271"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27171"/>
        <w:placeholder>
          <w:docPart w:val="GBC22222222222222222222222222222"/>
        </w:placeholder>
      </w:sdtPr>
      <w:sdtContent>
        <w:p>
          <w:pPr>
            <w:snapToGrid w:val="0"/>
            <w:spacing w:line="240" w:lineRule="atLeast"/>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outlineLvl w:val="9"/>
      </w:pPr>
    </w:p>
    <w:p>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27172"/>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27173"/>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p>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27174"/>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szCs w:val="21"/>
        </w:rPr>
      </w:pPr>
    </w:p>
    <w:bookmarkEnd w:id="271"/>
    <w:p>
      <w:pPr>
        <w:pStyle w:val="196"/>
        <w:numPr>
          <w:ilvl w:val="3"/>
          <w:numId w:val="91"/>
        </w:numPr>
        <w:ind w:left="426" w:hanging="426"/>
        <w:rPr>
          <w:rFonts w:ascii="宋体" w:hAnsi="宋体" w:eastAsia="宋体" w:cs="宋体"/>
          <w:kern w:val="0"/>
          <w:szCs w:val="24"/>
        </w:rPr>
      </w:pPr>
      <w:bookmarkStart w:id="272" w:name="_Hlk153463443"/>
      <w:r>
        <w:rPr>
          <w:rFonts w:hint="eastAsia" w:ascii="宋体" w:hAnsi="宋体" w:eastAsia="宋体" w:cs="宋体"/>
          <w:kern w:val="0"/>
          <w:szCs w:val="24"/>
        </w:rPr>
        <w:t>业绩承诺及对应商誉减值情况</w:t>
      </w:r>
    </w:p>
    <w:p>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2717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272"/>
    <w:p>
      <w:r>
        <w:rPr>
          <w:rFonts w:hint="eastAsia"/>
        </w:rPr>
        <w:t>其他说明</w:t>
      </w:r>
    </w:p>
    <w:sdt>
      <w:sdtPr>
        <w:alias w:val="是否适用：商誉其他需要说明的事项[双击切换]"/>
        <w:tag w:val="_GBC_99f8ebd0cb464294bea4051ad19cf581"/>
        <w:id w:val="27176"/>
        <w:placeholder>
          <w:docPart w:val="GBC22222222222222222222222222222"/>
        </w:placeholder>
      </w:sdtPr>
      <w:sdtContent>
        <w:p>
          <w:pPr>
            <w:snapToGrid w:val="0"/>
            <w:spacing w:line="240" w:lineRule="atLeast"/>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cstheme="minorBidi"/>
          <w:kern w:val="2"/>
          <w:szCs w:val="21"/>
        </w:rPr>
      </w:pPr>
    </w:p>
    <w:p>
      <w:pPr>
        <w:pStyle w:val="229"/>
        <w:numPr>
          <w:ilvl w:val="0"/>
          <w:numId w:val="71"/>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cbcb541b65cd4be6b93f357c0fdd9f09"/>
        <w:id w:val="2717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待摊费用"/>
          <w:tag w:val="_GBC_bcda40ca2da04d5da4a9e3293430f9ac"/>
          <w:id w:val="271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271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497"/>
        <w:gridCol w:w="1497"/>
        <w:gridCol w:w="1497"/>
        <w:gridCol w:w="1519"/>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21"/>
              <w:szCs w:val="21"/>
            </w:rPr>
            <w:tag w:val="_PLD_d70e367624f544f28430d4fa9dc10540"/>
            <w:id w:val="27180"/>
          </w:sdtPr>
          <w:sdtEndPr>
            <w:rPr>
              <w:rFonts w:hint="default" w:ascii="Times New Roman" w:hAnsi="Times New Roman" w:cs="Times New Roman"/>
              <w:sz w:val="21"/>
              <w:szCs w:val="21"/>
            </w:rPr>
          </w:sdtEndPr>
          <w:sdtContent>
            <w:tc>
              <w:tcPr>
                <w:tcW w:w="799"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sdtContent>
        </w:sdt>
        <w:sdt>
          <w:sdtPr>
            <w:rPr>
              <w:rFonts w:hint="default" w:ascii="Times New Roman" w:hAnsi="Times New Roman" w:cs="Times New Roman"/>
              <w:sz w:val="21"/>
              <w:szCs w:val="21"/>
            </w:rPr>
            <w:tag w:val="_PLD_e9e93178bf6e4ae6b25e934d80cadf90"/>
            <w:id w:val="27181"/>
          </w:sdtPr>
          <w:sdtEndPr>
            <w:rPr>
              <w:rFonts w:hint="default" w:ascii="Times New Roman" w:hAnsi="Times New Roman" w:cs="Times New Roman"/>
              <w:sz w:val="21"/>
              <w:szCs w:val="21"/>
            </w:rPr>
          </w:sdtEndPr>
          <w:sdtContent>
            <w:tc>
              <w:tcPr>
                <w:tcW w:w="827"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期初余额</w:t>
                </w:r>
              </w:p>
            </w:tc>
          </w:sdtContent>
        </w:sdt>
        <w:sdt>
          <w:sdtPr>
            <w:rPr>
              <w:rFonts w:hint="default" w:ascii="Times New Roman" w:hAnsi="Times New Roman" w:cs="Times New Roman"/>
              <w:sz w:val="21"/>
              <w:szCs w:val="21"/>
            </w:rPr>
            <w:tag w:val="_PLD_b0304019406b49bba87fd5d26e9e77a3"/>
            <w:id w:val="27182"/>
          </w:sdtPr>
          <w:sdtEndPr>
            <w:rPr>
              <w:rFonts w:hint="default" w:ascii="Times New Roman" w:hAnsi="Times New Roman" w:cs="Times New Roman"/>
              <w:sz w:val="21"/>
              <w:szCs w:val="21"/>
            </w:rPr>
          </w:sdtEndPr>
          <w:sdtContent>
            <w:tc>
              <w:tcPr>
                <w:tcW w:w="827"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本期增加金额</w:t>
                </w:r>
              </w:p>
            </w:tc>
          </w:sdtContent>
        </w:sdt>
        <w:sdt>
          <w:sdtPr>
            <w:rPr>
              <w:rFonts w:hint="default" w:ascii="Times New Roman" w:hAnsi="Times New Roman" w:cs="Times New Roman"/>
              <w:sz w:val="21"/>
              <w:szCs w:val="21"/>
            </w:rPr>
            <w:tag w:val="_PLD_e1350bea96cf4f45a6200cab08f11722"/>
            <w:id w:val="27183"/>
          </w:sdtPr>
          <w:sdtEndPr>
            <w:rPr>
              <w:rFonts w:hint="default" w:ascii="Times New Roman" w:hAnsi="Times New Roman" w:cs="Times New Roman"/>
              <w:sz w:val="21"/>
              <w:szCs w:val="21"/>
            </w:rPr>
          </w:sdtEndPr>
          <w:sdtContent>
            <w:tc>
              <w:tcPr>
                <w:tcW w:w="827"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本期摊销金额</w:t>
                </w:r>
              </w:p>
            </w:tc>
          </w:sdtContent>
        </w:sdt>
        <w:sdt>
          <w:sdtPr>
            <w:rPr>
              <w:rFonts w:hint="default" w:ascii="Times New Roman" w:hAnsi="Times New Roman" w:cs="Times New Roman"/>
              <w:sz w:val="21"/>
              <w:szCs w:val="21"/>
            </w:rPr>
            <w:tag w:val="_PLD_dd7c0d5ab3334691b3e0047d34ecb634"/>
            <w:id w:val="27184"/>
          </w:sdtPr>
          <w:sdtEndPr>
            <w:rPr>
              <w:rFonts w:hint="default" w:ascii="Times New Roman" w:hAnsi="Times New Roman" w:cs="Times New Roman"/>
              <w:sz w:val="21"/>
              <w:szCs w:val="21"/>
            </w:rPr>
          </w:sdtEndPr>
          <w:sdtContent>
            <w:tc>
              <w:tcPr>
                <w:tcW w:w="839"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其他减少金额</w:t>
                </w:r>
              </w:p>
            </w:tc>
          </w:sdtContent>
        </w:sdt>
        <w:sdt>
          <w:sdtPr>
            <w:rPr>
              <w:rFonts w:hint="default" w:ascii="Times New Roman" w:hAnsi="Times New Roman" w:cs="Times New Roman"/>
              <w:sz w:val="21"/>
              <w:szCs w:val="21"/>
            </w:rPr>
            <w:tag w:val="_PLD_3ab32d124e7942f1b1f82c0287c9220f"/>
            <w:id w:val="27185"/>
          </w:sdtPr>
          <w:sdtEndPr>
            <w:rPr>
              <w:rFonts w:hint="default" w:ascii="Times New Roman" w:hAnsi="Times New Roman" w:cs="Times New Roman"/>
              <w:sz w:val="21"/>
              <w:szCs w:val="21"/>
            </w:rPr>
          </w:sdtEndPr>
          <w:sdtContent>
            <w:tc>
              <w:tcPr>
                <w:tcW w:w="879"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widowControl w:val="0"/>
              <w:jc w:val="both"/>
              <w:rPr>
                <w:rFonts w:hint="default" w:ascii="Times New Roman" w:hAnsi="Times New Roman" w:cs="Times New Roman"/>
                <w:sz w:val="21"/>
                <w:szCs w:val="21"/>
              </w:rPr>
            </w:pPr>
            <w:r>
              <w:rPr>
                <w:rFonts w:hint="default" w:ascii="Times New Roman" w:hAnsi="Times New Roman" w:cs="Times New Roman"/>
                <w:sz w:val="21"/>
                <w:szCs w:val="21"/>
              </w:rPr>
              <w:t>装修改造等工程费用</w:t>
            </w:r>
          </w:p>
        </w:tc>
        <w:tc>
          <w:tcPr>
            <w:tcW w:w="827"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1,894,280.49</w:t>
            </w:r>
          </w:p>
        </w:tc>
        <w:tc>
          <w:tcPr>
            <w:tcW w:w="827"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4,169,434.89</w:t>
            </w:r>
          </w:p>
        </w:tc>
        <w:tc>
          <w:tcPr>
            <w:tcW w:w="827"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1,429,501.55</w:t>
            </w:r>
          </w:p>
        </w:tc>
        <w:tc>
          <w:tcPr>
            <w:tcW w:w="83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87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4,634,213.83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widowControl w:val="0"/>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827"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1,894,280.49</w:t>
            </w:r>
          </w:p>
        </w:tc>
        <w:tc>
          <w:tcPr>
            <w:tcW w:w="827"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4,169,434.89</w:t>
            </w:r>
          </w:p>
        </w:tc>
        <w:tc>
          <w:tcPr>
            <w:tcW w:w="827"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1,429,501.55</w:t>
            </w:r>
          </w:p>
        </w:tc>
        <w:tc>
          <w:tcPr>
            <w:tcW w:w="83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 </w:t>
            </w:r>
          </w:p>
        </w:tc>
        <w:tc>
          <w:tcPr>
            <w:tcW w:w="87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sz w:val="21"/>
                <w:szCs w:val="21"/>
              </w:rPr>
              <w:t>4,634,213.83</w:t>
            </w:r>
          </w:p>
        </w:tc>
      </w:tr>
    </w:tbl>
    <w:p/>
    <w:p>
      <w:pPr>
        <w:rPr>
          <w:szCs w:val="21"/>
        </w:rPr>
      </w:pPr>
      <w:r>
        <w:rPr>
          <w:rFonts w:hint="eastAsia"/>
          <w:szCs w:val="21"/>
        </w:rPr>
        <w:t>其他说明：</w:t>
      </w:r>
    </w:p>
    <w:sdt>
      <w:sdtPr>
        <w:rPr>
          <w:szCs w:val="21"/>
        </w:rPr>
        <w:alias w:val="长期待摊费用的说明"/>
        <w:tag w:val="_GBC_c30bd5dcf50e4808a29b1b204a96f4c2"/>
        <w:id w:val="27186"/>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递延所得税资产/ 递延所得税负债</w:t>
      </w:r>
    </w:p>
    <w:p>
      <w:pPr>
        <w:pStyle w:val="196"/>
        <w:numPr>
          <w:ilvl w:val="0"/>
          <w:numId w:val="92"/>
        </w:numPr>
        <w:ind w:left="426" w:hanging="426"/>
      </w:pPr>
      <w:bookmarkStart w:id="273" w:name="_Toc215903151"/>
      <w:bookmarkStart w:id="274" w:name="_Hlk24103450"/>
      <w:r>
        <w:rPr>
          <w:rFonts w:hint="eastAsia"/>
        </w:rPr>
        <w:t>未经抵销的递延所得税资产</w:t>
      </w:r>
    </w:p>
    <w:sdt>
      <w:sdtPr>
        <w:alias w:val="是否适用：未经抵销的递延所得税资产[双击切换]"/>
        <w:tag w:val="_GBC_ba4415ee4af24efe852073192d94c115"/>
        <w:id w:val="2718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271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bookmarkEnd w:id="273"/>
      <w:sdt>
        <w:sdtPr>
          <w:rPr>
            <w:rFonts w:hint="eastAsia"/>
            <w:szCs w:val="21"/>
          </w:rPr>
          <w:alias w:val="币种：财务附注：已确认的递延所得税资产和递延所得税负债"/>
          <w:tag w:val="_GBC_33d1ac52f1ce463294fce1044445d46f"/>
          <w:id w:val="271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651"/>
        <w:gridCol w:w="1647"/>
        <w:gridCol w:w="166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006c9e7b70844cd8ef6f2cbb5161589"/>
            <w:id w:val="13709"/>
          </w:sdtPr>
          <w:sdtContent>
            <w:tc>
              <w:tcPr>
                <w:tcW w:w="1350" w:type="pct"/>
                <w:vMerge w:val="restart"/>
                <w:shd w:val="clear" w:color="auto" w:fill="auto"/>
                <w:vAlign w:val="center"/>
              </w:tcPr>
              <w:p>
                <w:pPr>
                  <w:jc w:val="center"/>
                  <w:rPr>
                    <w:szCs w:val="21"/>
                  </w:rPr>
                </w:pPr>
                <w:r>
                  <w:rPr>
                    <w:rFonts w:hint="eastAsia"/>
                    <w:szCs w:val="21"/>
                  </w:rPr>
                  <w:t>项目</w:t>
                </w:r>
              </w:p>
            </w:tc>
          </w:sdtContent>
        </w:sdt>
        <w:sdt>
          <w:sdtPr>
            <w:tag w:val="_PLD_9380d941020241f39819205f4df8c355"/>
            <w:id w:val="13710"/>
          </w:sdtPr>
          <w:sdtContent>
            <w:tc>
              <w:tcPr>
                <w:tcW w:w="1822" w:type="pct"/>
                <w:gridSpan w:val="2"/>
                <w:shd w:val="clear" w:color="auto" w:fill="auto"/>
                <w:vAlign w:val="center"/>
              </w:tcPr>
              <w:p>
                <w:pPr>
                  <w:jc w:val="center"/>
                  <w:rPr>
                    <w:szCs w:val="21"/>
                  </w:rPr>
                </w:pPr>
                <w:r>
                  <w:rPr>
                    <w:rFonts w:hint="eastAsia"/>
                    <w:szCs w:val="21"/>
                  </w:rPr>
                  <w:t>期末余额</w:t>
                </w:r>
              </w:p>
            </w:tc>
          </w:sdtContent>
        </w:sdt>
        <w:sdt>
          <w:sdtPr>
            <w:tag w:val="_PLD_40d587838e534f37a8f9a9e7e2020671"/>
            <w:id w:val="13711"/>
          </w:sdtPr>
          <w:sdtContent>
            <w:tc>
              <w:tcPr>
                <w:tcW w:w="1828" w:type="pct"/>
                <w:gridSpan w:val="2"/>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Merge w:val="continue"/>
            <w:shd w:val="clear" w:color="auto" w:fill="auto"/>
            <w:vAlign w:val="center"/>
          </w:tcPr>
          <w:p>
            <w:pPr>
              <w:jc w:val="center"/>
              <w:rPr>
                <w:b/>
                <w:szCs w:val="21"/>
              </w:rPr>
            </w:pPr>
          </w:p>
        </w:tc>
        <w:sdt>
          <w:sdtPr>
            <w:tag w:val="_PLD_c239006a5e6040d58bedd94ab36e9784"/>
            <w:id w:val="13712"/>
          </w:sdtPr>
          <w:sdtContent>
            <w:tc>
              <w:tcPr>
                <w:tcW w:w="912" w:type="pct"/>
                <w:shd w:val="clear" w:color="auto" w:fill="auto"/>
                <w:vAlign w:val="center"/>
              </w:tcPr>
              <w:p>
                <w:pPr>
                  <w:jc w:val="center"/>
                  <w:rPr>
                    <w:szCs w:val="21"/>
                  </w:rPr>
                </w:pPr>
                <w:r>
                  <w:rPr>
                    <w:rFonts w:hint="eastAsia"/>
                    <w:szCs w:val="21"/>
                  </w:rPr>
                  <w:t>可抵扣暂时性差异</w:t>
                </w:r>
              </w:p>
            </w:tc>
          </w:sdtContent>
        </w:sdt>
        <w:sdt>
          <w:sdtPr>
            <w:tag w:val="_PLD_1559717fc58743e19a1e868ac528fbc0"/>
            <w:id w:val="13713"/>
          </w:sdtPr>
          <w:sdtContent>
            <w:tc>
              <w:tcPr>
                <w:tcW w:w="910"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sdt>
          <w:sdtPr>
            <w:tag w:val="_PLD_de171afb73ff474dbccc47c2cec6d4f1"/>
            <w:id w:val="13714"/>
          </w:sdtPr>
          <w:sdtContent>
            <w:tc>
              <w:tcPr>
                <w:tcW w:w="919" w:type="pct"/>
                <w:shd w:val="clear" w:color="auto" w:fill="auto"/>
                <w:vAlign w:val="center"/>
              </w:tcPr>
              <w:p>
                <w:pPr>
                  <w:jc w:val="center"/>
                  <w:rPr>
                    <w:szCs w:val="21"/>
                  </w:rPr>
                </w:pPr>
                <w:r>
                  <w:rPr>
                    <w:rFonts w:hint="eastAsia"/>
                    <w:szCs w:val="21"/>
                  </w:rPr>
                  <w:t>可抵扣暂时性差异</w:t>
                </w:r>
              </w:p>
            </w:tc>
          </w:sdtContent>
        </w:sdt>
        <w:sdt>
          <w:sdtPr>
            <w:tag w:val="_PLD_bafc90864e7347e5bb50ec31a5dffe05"/>
            <w:id w:val="13715"/>
          </w:sdtPr>
          <w:sdtContent>
            <w:tc>
              <w:tcPr>
                <w:tcW w:w="909"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rPr>
                <w:szCs w:val="21"/>
              </w:rPr>
            </w:pPr>
            <w:r>
              <w:rPr>
                <w:rFonts w:hint="eastAsia"/>
                <w:color w:val="auto"/>
                <w:szCs w:val="21"/>
              </w:rPr>
              <w:t>资产减值准备</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24,885,474.05</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3,941,992.53</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24,665,390.86</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3,907,527.78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rPr>
                <w:szCs w:val="21"/>
              </w:rPr>
            </w:pPr>
            <w:r>
              <w:rPr>
                <w:rFonts w:hint="eastAsia"/>
                <w:color w:val="auto"/>
                <w:szCs w:val="21"/>
              </w:rPr>
              <w:t>可递延的政府补助收益</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706,315.45</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105,947.32</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811,504.55</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121,725.68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tcBorders>
              <w:bottom w:val="single" w:color="auto" w:sz="4" w:space="0"/>
            </w:tcBorders>
            <w:shd w:val="clear" w:color="auto" w:fill="auto"/>
            <w:vAlign w:val="center"/>
          </w:tcPr>
          <w:p>
            <w:pPr>
              <w:rPr>
                <w:szCs w:val="21"/>
              </w:rPr>
            </w:pPr>
            <w:r>
              <w:rPr>
                <w:rFonts w:hint="eastAsia"/>
                <w:color w:val="auto"/>
                <w:szCs w:val="21"/>
              </w:rPr>
              <w:t>预提费用</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  5,408,196.65 </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  1,099,672.47 </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1,426,613.26</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213,991.99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rPr>
                <w:szCs w:val="21"/>
              </w:rPr>
            </w:pPr>
            <w:r>
              <w:t>可抵扣亏损</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  3,208,014.58 </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802,003.65 </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6,092,444.33</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1,523,111.08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rPr>
                <w:szCs w:val="21"/>
              </w:rPr>
            </w:pPr>
            <w:r>
              <w:t>租赁负债</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2,863,109.62</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715,777.41</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1,309,770.48</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327,442.62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jc w:val="center"/>
              <w:rPr>
                <w:szCs w:val="21"/>
              </w:rPr>
            </w:pPr>
            <w:r>
              <w:rPr>
                <w:rFonts w:hint="eastAsia"/>
                <w:szCs w:val="21"/>
              </w:rPr>
              <w:t>合计</w:t>
            </w:r>
          </w:p>
        </w:tc>
        <w:tc>
          <w:tcPr>
            <w:tcW w:w="91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37,071,110.35</w:t>
            </w:r>
          </w:p>
        </w:tc>
        <w:tc>
          <w:tcPr>
            <w:tcW w:w="9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6,665,393.38</w:t>
            </w:r>
          </w:p>
        </w:tc>
        <w:tc>
          <w:tcPr>
            <w:tcW w:w="91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34,305,723.48</w:t>
            </w:r>
          </w:p>
        </w:tc>
        <w:tc>
          <w:tcPr>
            <w:tcW w:w="90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6,093,799.15</w:t>
            </w:r>
          </w:p>
        </w:tc>
      </w:tr>
    </w:tbl>
    <w:p/>
    <w:p>
      <w:pPr>
        <w:pStyle w:val="196"/>
        <w:numPr>
          <w:ilvl w:val="0"/>
          <w:numId w:val="92"/>
        </w:numPr>
        <w:ind w:left="426" w:hanging="426"/>
      </w:pPr>
      <w:r>
        <w:rPr>
          <w:rFonts w:hint="eastAsia"/>
        </w:rPr>
        <w:t>未经抵销的递延所得税负债</w:t>
      </w:r>
    </w:p>
    <w:p>
      <w:sdt>
        <w:sdtPr>
          <w:alias w:val="是否适用：未经抵销的递延所得税负债[双击切换]"/>
          <w:tag w:val="_GBC_e7d8f83d611d4464afa60fcd4c2b0690"/>
          <w:id w:val="27197"/>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经抵销的递延所得税负债"/>
          <w:tag w:val="_GBC_20c1fd2b551d429d888a1c48c5ee9c5a"/>
          <w:id w:val="27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71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676"/>
        <w:gridCol w:w="1665"/>
        <w:gridCol w:w="165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9bdb30dce784b4a9efd1b5efd6964fb"/>
            <w:id w:val="17194"/>
          </w:sdtPr>
          <w:sdtContent>
            <w:tc>
              <w:tcPr>
                <w:tcW w:w="1312" w:type="pct"/>
                <w:vMerge w:val="restart"/>
                <w:shd w:val="clear" w:color="auto" w:fill="auto"/>
                <w:vAlign w:val="center"/>
              </w:tcPr>
              <w:p>
                <w:pPr>
                  <w:jc w:val="center"/>
                  <w:rPr>
                    <w:szCs w:val="21"/>
                  </w:rPr>
                </w:pPr>
                <w:r>
                  <w:rPr>
                    <w:rFonts w:hint="eastAsia"/>
                    <w:szCs w:val="21"/>
                  </w:rPr>
                  <w:t>项目</w:t>
                </w:r>
              </w:p>
            </w:tc>
          </w:sdtContent>
        </w:sdt>
        <w:sdt>
          <w:sdtPr>
            <w:tag w:val="_PLD_600f3752c404468197724275bf44cd43"/>
            <w:id w:val="17195"/>
          </w:sdtPr>
          <w:sdtContent>
            <w:tc>
              <w:tcPr>
                <w:tcW w:w="1846" w:type="pct"/>
                <w:gridSpan w:val="2"/>
                <w:shd w:val="clear" w:color="auto" w:fill="auto"/>
                <w:vAlign w:val="center"/>
              </w:tcPr>
              <w:p>
                <w:pPr>
                  <w:jc w:val="center"/>
                  <w:rPr>
                    <w:szCs w:val="21"/>
                  </w:rPr>
                </w:pPr>
                <w:r>
                  <w:rPr>
                    <w:rFonts w:hint="eastAsia"/>
                    <w:szCs w:val="21"/>
                  </w:rPr>
                  <w:t>期末余额</w:t>
                </w:r>
              </w:p>
            </w:tc>
          </w:sdtContent>
        </w:sdt>
        <w:sdt>
          <w:sdtPr>
            <w:tag w:val="_PLD_7e4b2554e2544865b74424edbdb55d4b"/>
            <w:id w:val="17196"/>
          </w:sdtPr>
          <w:sdtContent>
            <w:tc>
              <w:tcPr>
                <w:tcW w:w="1842" w:type="pct"/>
                <w:gridSpan w:val="2"/>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vMerge w:val="continue"/>
            <w:shd w:val="clear" w:color="auto" w:fill="auto"/>
            <w:vAlign w:val="center"/>
          </w:tcPr>
          <w:p>
            <w:pPr>
              <w:jc w:val="center"/>
              <w:rPr>
                <w:b/>
                <w:szCs w:val="21"/>
              </w:rPr>
            </w:pPr>
          </w:p>
        </w:tc>
        <w:sdt>
          <w:sdtPr>
            <w:tag w:val="_PLD_2db432e06e184a41a8eb727ebb64ec40"/>
            <w:id w:val="17197"/>
          </w:sdtPr>
          <w:sdtContent>
            <w:tc>
              <w:tcPr>
                <w:tcW w:w="926" w:type="pct"/>
                <w:shd w:val="clear" w:color="auto" w:fill="auto"/>
                <w:vAlign w:val="center"/>
              </w:tcPr>
              <w:p>
                <w:pPr>
                  <w:jc w:val="center"/>
                  <w:rPr>
                    <w:szCs w:val="21"/>
                  </w:rPr>
                </w:pPr>
                <w:r>
                  <w:rPr>
                    <w:rFonts w:hint="eastAsia" w:ascii="Arial" w:hAnsi="Arial"/>
                    <w:szCs w:val="21"/>
                  </w:rPr>
                  <w:t>应纳税暂时性差异</w:t>
                </w:r>
              </w:p>
            </w:tc>
          </w:sdtContent>
        </w:sdt>
        <w:sdt>
          <w:sdtPr>
            <w:tag w:val="_PLD_b3dd3e66f628452aab8284dc189a458b"/>
            <w:id w:val="17198"/>
          </w:sdtPr>
          <w:sdtContent>
            <w:tc>
              <w:tcPr>
                <w:tcW w:w="920"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sdt>
          <w:sdtPr>
            <w:tag w:val="_PLD_3e69493cf6a2462eab1eaf8ece87a89d"/>
            <w:id w:val="17199"/>
          </w:sdtPr>
          <w:sdtContent>
            <w:tc>
              <w:tcPr>
                <w:tcW w:w="916" w:type="pct"/>
                <w:shd w:val="clear" w:color="auto" w:fill="auto"/>
                <w:vAlign w:val="center"/>
              </w:tcPr>
              <w:p>
                <w:pPr>
                  <w:jc w:val="center"/>
                  <w:rPr>
                    <w:szCs w:val="21"/>
                  </w:rPr>
                </w:pPr>
                <w:r>
                  <w:rPr>
                    <w:rFonts w:hint="eastAsia" w:ascii="Arial" w:hAnsi="Arial"/>
                    <w:szCs w:val="21"/>
                  </w:rPr>
                  <w:t>应纳税暂时性差异</w:t>
                </w:r>
              </w:p>
            </w:tc>
          </w:sdtContent>
        </w:sdt>
        <w:sdt>
          <w:sdtPr>
            <w:tag w:val="_PLD_ad4c3389a4a04a96990ace5203f3adbb"/>
            <w:id w:val="17200"/>
          </w:sdtPr>
          <w:sdtContent>
            <w:tc>
              <w:tcPr>
                <w:tcW w:w="926"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312" w:type="pct"/>
            <w:shd w:val="clear" w:color="auto" w:fill="auto"/>
          </w:tcPr>
          <w:p>
            <w:pPr>
              <w:rPr>
                <w:szCs w:val="21"/>
              </w:rPr>
            </w:pPr>
            <w:r>
              <w:rPr>
                <w:rFonts w:hint="eastAsia"/>
                <w:szCs w:val="21"/>
              </w:rPr>
              <w:t>非同一控制企业合并资产评估增值</w:t>
            </w:r>
          </w:p>
        </w:tc>
        <w:tc>
          <w:tcPr>
            <w:tcW w:w="926" w:type="pct"/>
            <w:shd w:val="clear" w:color="auto" w:fill="auto"/>
          </w:tcPr>
          <w:p>
            <w:pPr>
              <w:jc w:val="right"/>
              <w:rPr>
                <w:szCs w:val="21"/>
              </w:rPr>
            </w:pPr>
          </w:p>
        </w:tc>
        <w:tc>
          <w:tcPr>
            <w:tcW w:w="920" w:type="pct"/>
            <w:shd w:val="clear" w:color="auto" w:fill="auto"/>
          </w:tcPr>
          <w:p>
            <w:pPr>
              <w:jc w:val="right"/>
              <w:rPr>
                <w:szCs w:val="21"/>
              </w:rPr>
            </w:pPr>
          </w:p>
        </w:tc>
        <w:tc>
          <w:tcPr>
            <w:tcW w:w="916" w:type="pct"/>
            <w:shd w:val="clear" w:color="auto" w:fill="auto"/>
          </w:tcPr>
          <w:p>
            <w:pPr>
              <w:jc w:val="right"/>
              <w:rPr>
                <w:szCs w:val="21"/>
              </w:rPr>
            </w:pPr>
          </w:p>
        </w:tc>
        <w:tc>
          <w:tcPr>
            <w:tcW w:w="926"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312" w:type="pct"/>
            <w:shd w:val="clear" w:color="auto" w:fill="auto"/>
          </w:tcPr>
          <w:p>
            <w:r>
              <w:rPr>
                <w:rFonts w:hint="eastAsia"/>
              </w:rPr>
              <w:t>其他债权投资公允价值变动</w:t>
            </w:r>
          </w:p>
        </w:tc>
        <w:tc>
          <w:tcPr>
            <w:tcW w:w="926" w:type="pct"/>
            <w:shd w:val="clear" w:color="auto" w:fill="auto"/>
          </w:tcPr>
          <w:p>
            <w:pPr>
              <w:jc w:val="right"/>
              <w:rPr>
                <w:szCs w:val="21"/>
              </w:rPr>
            </w:pPr>
          </w:p>
        </w:tc>
        <w:tc>
          <w:tcPr>
            <w:tcW w:w="920" w:type="pct"/>
            <w:shd w:val="clear" w:color="auto" w:fill="auto"/>
          </w:tcPr>
          <w:p>
            <w:pPr>
              <w:jc w:val="right"/>
              <w:rPr>
                <w:szCs w:val="21"/>
              </w:rPr>
            </w:pPr>
          </w:p>
        </w:tc>
        <w:tc>
          <w:tcPr>
            <w:tcW w:w="916" w:type="pct"/>
            <w:shd w:val="clear" w:color="auto" w:fill="auto"/>
          </w:tcPr>
          <w:p>
            <w:pPr>
              <w:jc w:val="right"/>
              <w:rPr>
                <w:szCs w:val="21"/>
              </w:rPr>
            </w:pPr>
          </w:p>
        </w:tc>
        <w:tc>
          <w:tcPr>
            <w:tcW w:w="926"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tcPr>
          <w:p>
            <w:r>
              <w:rPr>
                <w:rFonts w:hint="eastAsia"/>
              </w:rPr>
              <w:t>其他权益工具投资公允价值变动</w:t>
            </w:r>
          </w:p>
        </w:tc>
        <w:tc>
          <w:tcPr>
            <w:tcW w:w="926" w:type="pct"/>
            <w:shd w:val="clear" w:color="auto" w:fill="auto"/>
          </w:tcPr>
          <w:p>
            <w:pPr>
              <w:jc w:val="right"/>
              <w:rPr>
                <w:szCs w:val="21"/>
              </w:rPr>
            </w:pPr>
          </w:p>
        </w:tc>
        <w:tc>
          <w:tcPr>
            <w:tcW w:w="920" w:type="pct"/>
            <w:shd w:val="clear" w:color="auto" w:fill="auto"/>
          </w:tcPr>
          <w:p>
            <w:pPr>
              <w:jc w:val="right"/>
              <w:rPr>
                <w:szCs w:val="21"/>
              </w:rPr>
            </w:pPr>
          </w:p>
        </w:tc>
        <w:tc>
          <w:tcPr>
            <w:tcW w:w="916" w:type="pct"/>
            <w:shd w:val="clear" w:color="auto" w:fill="auto"/>
          </w:tcPr>
          <w:p>
            <w:pPr>
              <w:jc w:val="right"/>
              <w:rPr>
                <w:szCs w:val="21"/>
              </w:rPr>
            </w:pPr>
          </w:p>
        </w:tc>
        <w:tc>
          <w:tcPr>
            <w:tcW w:w="926"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default" w:ascii="Times New Roman" w:hAnsi="Times New Roman" w:cs="Times New Roman"/>
                <w:szCs w:val="21"/>
              </w:rPr>
            </w:pPr>
            <w:r>
              <w:rPr>
                <w:rFonts w:hint="default" w:ascii="Times New Roman" w:hAnsi="Times New Roman" w:cs="Times New Roman"/>
              </w:rPr>
              <w:t>计入当期损益的公允价值变动</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158,356,308.58</w:t>
            </w:r>
          </w:p>
        </w:tc>
        <w:tc>
          <w:tcPr>
            <w:tcW w:w="9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39,589,077.15</w:t>
            </w:r>
          </w:p>
        </w:tc>
        <w:tc>
          <w:tcPr>
            <w:tcW w:w="91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153,723,723.38</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38,430,930.85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rPr>
                <w:rFonts w:hint="default" w:ascii="Times New Roman" w:hAnsi="Times New Roman" w:cs="Times New Roman"/>
                <w:szCs w:val="21"/>
              </w:rPr>
            </w:pPr>
            <w:r>
              <w:rPr>
                <w:rFonts w:hint="default" w:ascii="Times New Roman" w:hAnsi="Times New Roman" w:cs="Times New Roman"/>
              </w:rPr>
              <w:t>使用权资产</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4,054,182.77</w:t>
            </w:r>
          </w:p>
        </w:tc>
        <w:tc>
          <w:tcPr>
            <w:tcW w:w="9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1,013,545.69</w:t>
            </w:r>
          </w:p>
        </w:tc>
        <w:tc>
          <w:tcPr>
            <w:tcW w:w="91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1,325,020.94</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331,255.24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162,410,491.35</w:t>
            </w:r>
          </w:p>
        </w:tc>
        <w:tc>
          <w:tcPr>
            <w:tcW w:w="92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40,602,622.84</w:t>
            </w:r>
          </w:p>
        </w:tc>
        <w:tc>
          <w:tcPr>
            <w:tcW w:w="91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155,048,744.32</w:t>
            </w:r>
          </w:p>
        </w:tc>
        <w:tc>
          <w:tcPr>
            <w:tcW w:w="92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38,762,186.09</w:t>
            </w:r>
          </w:p>
        </w:tc>
      </w:tr>
    </w:tbl>
    <w:p/>
    <w:p/>
    <w:p>
      <w:pPr>
        <w:pStyle w:val="196"/>
        <w:numPr>
          <w:ilvl w:val="0"/>
          <w:numId w:val="92"/>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27207"/>
        <w:placeholder>
          <w:docPart w:val="GBC22222222222222222222222222222"/>
        </w:placeholder>
      </w:sdtPr>
      <w:sdtContent>
        <w:p>
          <w:pPr>
            <w:ind w:right="113"/>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113"/>
        <w:outlineLvl w:val="9"/>
      </w:pPr>
    </w:p>
    <w:p>
      <w:pPr>
        <w:pStyle w:val="196"/>
        <w:numPr>
          <w:ilvl w:val="0"/>
          <w:numId w:val="92"/>
        </w:numPr>
        <w:ind w:left="426" w:hanging="426"/>
      </w:pPr>
      <w:r>
        <w:rPr>
          <w:rFonts w:hint="eastAsia"/>
        </w:rPr>
        <w:t>未确认递延所得税资产明细</w:t>
      </w:r>
    </w:p>
    <w:sdt>
      <w:sdtPr>
        <w:alias w:val="是否适用：未确认递延所得税资产明细[双击切换]"/>
        <w:tag w:val="_GBC_713996bf5e4d4c6988835fbf892c5ef2"/>
        <w:id w:val="2720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272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72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3082"/>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91af0f9b93ef459d823e4bc33d9190d6"/>
            <w:id w:val="2942"/>
          </w:sdtPr>
          <w:sdtContent>
            <w:tc>
              <w:tcPr>
                <w:tcW w:w="159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项目</w:t>
                </w:r>
              </w:p>
            </w:tc>
          </w:sdtContent>
        </w:sdt>
        <w:sdt>
          <w:sdtPr>
            <w:tag w:val="_PLD_2c2dee2efbd6433784024156b3454ba7"/>
            <w:id w:val="2943"/>
          </w:sdtPr>
          <w:sdtContent>
            <w:tc>
              <w:tcPr>
                <w:tcW w:w="170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期末余额</w:t>
                </w:r>
              </w:p>
            </w:tc>
          </w:sdtContent>
        </w:sdt>
        <w:sdt>
          <w:sdtPr>
            <w:tag w:val="_PLD_d5059c87582d4e558703d63a8a2d5399"/>
            <w:id w:val="2944"/>
          </w:sdtPr>
          <w:sdtContent>
            <w:tc>
              <w:tcPr>
                <w:tcW w:w="170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可抵扣暂时性差异</w:t>
            </w:r>
          </w:p>
        </w:tc>
        <w:tc>
          <w:tcPr>
            <w:tcW w:w="17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 105,978,236.44</w:t>
            </w:r>
          </w:p>
        </w:tc>
        <w:tc>
          <w:tcPr>
            <w:tcW w:w="170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 112,024,631.43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可抵扣亏损</w:t>
            </w:r>
          </w:p>
        </w:tc>
        <w:tc>
          <w:tcPr>
            <w:tcW w:w="17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 72,627,718.48</w:t>
            </w:r>
          </w:p>
        </w:tc>
        <w:tc>
          <w:tcPr>
            <w:tcW w:w="170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color w:val="auto"/>
                <w:lang w:val="en-US" w:eastAsia="zh-CN"/>
              </w:rPr>
              <w:t> 239,171,449.76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tc>
          <w:tcPr>
            <w:tcW w:w="17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color w:val="auto"/>
              </w:rPr>
              <w:t>178,605,954.92</w:t>
            </w:r>
          </w:p>
        </w:tc>
        <w:tc>
          <w:tcPr>
            <w:tcW w:w="1701" w:type="pct"/>
            <w:tcBorders>
              <w:top w:val="single" w:color="auto" w:sz="4" w:space="0"/>
              <w:left w:val="single" w:color="auto" w:sz="4" w:space="0"/>
              <w:bottom w:val="single" w:color="auto" w:sz="4" w:space="0"/>
              <w:right w:val="single" w:color="auto" w:sz="4" w:space="0"/>
            </w:tcBorders>
          </w:tcPr>
          <w:p>
            <w:pPr>
              <w:jc w:val="right"/>
              <w:rPr>
                <w:rFonts w:hint="eastAsia" w:ascii="Times New Roman" w:hAnsi="Times New Roman" w:eastAsia="宋体" w:cs="Times New Roman"/>
                <w:szCs w:val="21"/>
                <w:lang w:val="en-US" w:eastAsia="zh-CN"/>
              </w:rPr>
            </w:pPr>
            <w:r>
              <w:rPr>
                <w:rFonts w:hint="eastAsia" w:ascii="Times New Roman" w:hAnsi="Times New Roman" w:cs="Times New Roman"/>
                <w:color w:val="auto"/>
                <w:lang w:eastAsia="zh-CN"/>
              </w:rPr>
              <w:t> 351,196,081.19</w:t>
            </w:r>
          </w:p>
        </w:tc>
      </w:tr>
    </w:tbl>
    <w:p/>
    <w:p>
      <w:pPr>
        <w:rPr>
          <w:szCs w:val="21"/>
        </w:rPr>
      </w:pPr>
    </w:p>
    <w:p>
      <w:pPr>
        <w:pStyle w:val="196"/>
        <w:numPr>
          <w:ilvl w:val="0"/>
          <w:numId w:val="9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721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27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27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286"/>
        <w:gridCol w:w="232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rPr>
            <w:tag w:val="_PLD_c2bad95d2ced4c2f8958303268f6cd2b"/>
            <w:id w:val="27217"/>
          </w:sdtPr>
          <w:sdtEndPr>
            <w:rPr>
              <w:rFonts w:ascii="Times New Roman" w:hAnsi="Times New Roman"/>
            </w:rPr>
          </w:sdtEndPr>
          <w:sdtContent>
            <w:tc>
              <w:tcPr>
                <w:tcW w:w="115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年份</w:t>
                </w:r>
              </w:p>
            </w:tc>
          </w:sdtContent>
        </w:sdt>
        <w:sdt>
          <w:sdtPr>
            <w:rPr>
              <w:rFonts w:ascii="Times New Roman" w:hAnsi="Times New Roman"/>
            </w:rPr>
            <w:tag w:val="_PLD_20395d1e877346dbbdb29c15ffdda67a"/>
            <w:id w:val="27218"/>
          </w:sdtPr>
          <w:sdtEndPr>
            <w:rPr>
              <w:rFonts w:ascii="Times New Roman" w:hAnsi="Times New Roman"/>
            </w:rPr>
          </w:sdtEndPr>
          <w:sdtContent>
            <w:tc>
              <w:tcPr>
                <w:tcW w:w="126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期末金额</w:t>
                </w:r>
              </w:p>
            </w:tc>
          </w:sdtContent>
        </w:sdt>
        <w:sdt>
          <w:sdtPr>
            <w:rPr>
              <w:rFonts w:ascii="Times New Roman" w:hAnsi="Times New Roman"/>
            </w:rPr>
            <w:tag w:val="_PLD_7c3e310eca854a9283aca385397086c3"/>
            <w:id w:val="27219"/>
          </w:sdtPr>
          <w:sdtEndPr>
            <w:rPr>
              <w:rFonts w:ascii="Times New Roman" w:hAnsi="Times New Roman"/>
            </w:rPr>
          </w:sdtEndPr>
          <w:sdtContent>
            <w:tc>
              <w:tcPr>
                <w:tcW w:w="1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期初金额</w:t>
                </w:r>
              </w:p>
            </w:tc>
          </w:sdtContent>
        </w:sdt>
        <w:sdt>
          <w:sdtPr>
            <w:rPr>
              <w:rFonts w:ascii="Times New Roman" w:hAnsi="Times New Roman"/>
            </w:rPr>
            <w:tag w:val="_PLD_39d10c26cbf24b4481db02bd3f33378d"/>
            <w:id w:val="27220"/>
          </w:sdtPr>
          <w:sdtEndPr>
            <w:rPr>
              <w:rFonts w:ascii="Times New Roman" w:hAnsi="Times New Roman"/>
            </w:rPr>
          </w:sdtEndPr>
          <w:sdtContent>
            <w:tc>
              <w:tcPr>
                <w:tcW w:w="130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备注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1"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2023年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eastAsia" w:ascii="Times New Roman" w:hAnsi="Times New Roman" w:cs="Times New Roman"/>
                <w:lang w:val="en-US" w:eastAsia="zh-CN"/>
              </w:rPr>
              <w:t>166,543,731.28</w:t>
            </w:r>
          </w:p>
        </w:tc>
        <w:tc>
          <w:tcPr>
            <w:tcW w:w="130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1"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2024年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31,607,598.52</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31,607,598.52</w:t>
            </w:r>
          </w:p>
        </w:tc>
        <w:tc>
          <w:tcPr>
            <w:tcW w:w="130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1"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2025年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130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1"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2026年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15,550,124.95</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15,550,124.95</w:t>
            </w:r>
          </w:p>
        </w:tc>
        <w:tc>
          <w:tcPr>
            <w:tcW w:w="130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1"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2027年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25,469,995.01</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25,469,995.01</w:t>
            </w:r>
          </w:p>
        </w:tc>
        <w:tc>
          <w:tcPr>
            <w:tcW w:w="130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1" w:type="pct"/>
            <w:tcBorders>
              <w:top w:val="single" w:color="auto" w:sz="4" w:space="0"/>
              <w:left w:val="single" w:color="auto" w:sz="4" w:space="0"/>
              <w:bottom w:val="single" w:color="auto" w:sz="4" w:space="0"/>
              <w:right w:val="single" w:color="auto" w:sz="4" w:space="0"/>
            </w:tcBorders>
          </w:tcPr>
          <w:p>
            <w:pPr>
              <w:rPr>
                <w:rFonts w:ascii="Times New Roman" w:hAnsi="Times New Roman"/>
                <w:szCs w:val="21"/>
              </w:rPr>
            </w:pPr>
            <w:r>
              <w:rPr>
                <w:rFonts w:ascii="Times New Roman" w:hAnsi="Times New Roman"/>
              </w:rPr>
              <w:t>2028年</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1" w:type="pct"/>
            <w:tcBorders>
              <w:top w:val="single" w:color="auto" w:sz="4" w:space="0"/>
              <w:left w:val="single" w:color="auto" w:sz="4" w:space="0"/>
              <w:bottom w:val="single" w:color="auto" w:sz="4" w:space="0"/>
              <w:right w:val="single" w:color="auto" w:sz="4" w:space="0"/>
            </w:tcBorders>
            <w:vAlign w:val="bottom"/>
          </w:tcPr>
          <w:p>
            <w:pPr>
              <w:jc w:val="center"/>
              <w:rPr>
                <w:rFonts w:ascii="Times New Roman" w:hAnsi="Times New Roman"/>
                <w:szCs w:val="21"/>
              </w:rPr>
            </w:pPr>
            <w:r>
              <w:rPr>
                <w:rFonts w:hint="eastAsia" w:ascii="Times New Roman" w:hAnsi="Times New Roman"/>
                <w:szCs w:val="21"/>
              </w:rPr>
              <w:t>合计</w:t>
            </w:r>
          </w:p>
        </w:tc>
        <w:tc>
          <w:tcPr>
            <w:tcW w:w="12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72,627,718.48</w:t>
            </w:r>
          </w:p>
        </w:tc>
        <w:tc>
          <w:tcPr>
            <w:tcW w:w="128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239,171,449.76</w:t>
            </w:r>
          </w:p>
        </w:tc>
        <w:tc>
          <w:tcPr>
            <w:tcW w:w="1301"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Cs w:val="21"/>
              </w:rPr>
            </w:pPr>
            <w:r>
              <w:rPr>
                <w:rFonts w:hint="default" w:ascii="Times New Roman" w:hAnsi="Times New Roman" w:cs="Times New Roman"/>
                <w:szCs w:val="21"/>
              </w:rPr>
              <w:t>/</w:t>
            </w:r>
          </w:p>
        </w:tc>
      </w:tr>
    </w:tbl>
    <w:p>
      <w:pPr>
        <w:rPr>
          <w:color w:val="FF00FF"/>
          <w:szCs w:val="21"/>
        </w:rPr>
      </w:pPr>
    </w:p>
    <w:bookmarkEnd w:id="274"/>
    <w:p>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2722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tabs>
          <w:tab w:val="left" w:pos="504"/>
        </w:tabs>
        <w:rPr>
          <w:szCs w:val="21"/>
        </w:rPr>
      </w:pPr>
      <w:bookmarkStart w:id="275" w:name="_Hlk533670093"/>
      <w:r>
        <w:rPr>
          <w:rFonts w:hint="eastAsia"/>
          <w:szCs w:val="21"/>
        </w:rPr>
        <w:t>其他非流动资产</w:t>
      </w:r>
    </w:p>
    <w:sdt>
      <w:sdtPr>
        <w:alias w:val="是否适用：其他非流动资产[双击切换]"/>
        <w:tag w:val="_GBC_a847828a70d64218a7f8a07dc593d18b"/>
        <w:id w:val="27222"/>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alias w:val="单位：财务附注：其他非流动资产"/>
          <w:tag w:val="_GBC_7c7ae7cee25948deb399f93e000e5ba2"/>
          <w:id w:val="272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272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633"/>
        <w:gridCol w:w="1569"/>
        <w:gridCol w:w="634"/>
        <w:gridCol w:w="1437"/>
        <w:gridCol w:w="1802"/>
        <w:gridCol w:w="546"/>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21"/>
              <w:szCs w:val="21"/>
            </w:rPr>
            <w:tag w:val="_PLD_2b90e6e62acc45b288941c3eec3d8d88"/>
            <w:id w:val="27225"/>
          </w:sdtPr>
          <w:sdtEndPr>
            <w:rPr>
              <w:sz w:val="21"/>
              <w:szCs w:val="21"/>
            </w:rPr>
          </w:sdtEndPr>
          <w:sdtContent>
            <w:tc>
              <w:tcPr>
                <w:tcW w:w="901" w:type="pct"/>
                <w:vMerge w:val="restart"/>
                <w:shd w:val="clear" w:color="auto" w:fill="auto"/>
                <w:vAlign w:val="center"/>
              </w:tcPr>
              <w:p>
                <w:pPr>
                  <w:jc w:val="center"/>
                  <w:rPr>
                    <w:sz w:val="21"/>
                    <w:szCs w:val="21"/>
                  </w:rPr>
                </w:pPr>
                <w:r>
                  <w:rPr>
                    <w:rFonts w:hint="eastAsia"/>
                    <w:sz w:val="21"/>
                    <w:szCs w:val="21"/>
                  </w:rPr>
                  <w:t>项目</w:t>
                </w:r>
              </w:p>
            </w:tc>
          </w:sdtContent>
        </w:sdt>
        <w:sdt>
          <w:sdtPr>
            <w:rPr>
              <w:sz w:val="21"/>
              <w:szCs w:val="21"/>
            </w:rPr>
            <w:tag w:val="_PLD_bb07270ad4df4c0f94d4e0af019ab46c"/>
            <w:id w:val="27226"/>
          </w:sdtPr>
          <w:sdtEndPr>
            <w:rPr>
              <w:sz w:val="21"/>
              <w:szCs w:val="21"/>
            </w:rPr>
          </w:sdtEndPr>
          <w:sdtContent>
            <w:tc>
              <w:tcPr>
                <w:tcW w:w="2009" w:type="pct"/>
                <w:gridSpan w:val="3"/>
              </w:tcPr>
              <w:p>
                <w:pPr>
                  <w:jc w:val="center"/>
                  <w:rPr>
                    <w:sz w:val="21"/>
                    <w:szCs w:val="21"/>
                  </w:rPr>
                </w:pPr>
                <w:r>
                  <w:rPr>
                    <w:rFonts w:hint="eastAsia"/>
                    <w:sz w:val="21"/>
                    <w:szCs w:val="21"/>
                  </w:rPr>
                  <w:t>期末余额</w:t>
                </w:r>
              </w:p>
            </w:tc>
          </w:sdtContent>
        </w:sdt>
        <w:sdt>
          <w:sdtPr>
            <w:rPr>
              <w:sz w:val="21"/>
              <w:szCs w:val="21"/>
            </w:rPr>
            <w:tag w:val="_PLD_7a3b43a9fc7d404ca5a79aa8f44f7452"/>
            <w:id w:val="27227"/>
          </w:sdtPr>
          <w:sdtEndPr>
            <w:rPr>
              <w:sz w:val="21"/>
              <w:szCs w:val="21"/>
            </w:rPr>
          </w:sdtEndPr>
          <w:sdtContent>
            <w:tc>
              <w:tcPr>
                <w:tcW w:w="2089" w:type="pct"/>
                <w:gridSpan w:val="3"/>
              </w:tcPr>
              <w:p>
                <w:pPr>
                  <w:jc w:val="center"/>
                  <w:rPr>
                    <w:sz w:val="21"/>
                    <w:szCs w:val="21"/>
                  </w:rPr>
                </w:pPr>
                <w:r>
                  <w:rPr>
                    <w:rFonts w:hint="eastAsia"/>
                    <w:sz w:val="21"/>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01" w:type="pct"/>
            <w:vMerge w:val="continue"/>
            <w:shd w:val="clear" w:color="auto" w:fill="auto"/>
            <w:vAlign w:val="center"/>
          </w:tcPr>
          <w:p>
            <w:pPr>
              <w:jc w:val="center"/>
              <w:rPr>
                <w:sz w:val="21"/>
                <w:szCs w:val="21"/>
              </w:rPr>
            </w:pPr>
          </w:p>
        </w:tc>
        <w:tc>
          <w:tcPr>
            <w:tcW w:w="865" w:type="pct"/>
          </w:tcPr>
          <w:sdt>
            <w:sdtPr>
              <w:rPr>
                <w:rFonts w:hint="eastAsia"/>
                <w:sz w:val="21"/>
                <w:szCs w:val="21"/>
              </w:rPr>
              <w:tag w:val="_PLD_eaca5bccdac9417999d4d9af7ad1eefe"/>
              <w:id w:val="27228"/>
            </w:sdtPr>
            <w:sdtEndPr>
              <w:rPr>
                <w:rFonts w:hint="eastAsia"/>
                <w:sz w:val="21"/>
                <w:szCs w:val="21"/>
              </w:rPr>
            </w:sdtEndPr>
            <w:sdtContent>
              <w:p>
                <w:pPr>
                  <w:jc w:val="center"/>
                  <w:rPr>
                    <w:sz w:val="21"/>
                    <w:szCs w:val="21"/>
                  </w:rPr>
                </w:pPr>
                <w:r>
                  <w:rPr>
                    <w:rFonts w:hint="eastAsia"/>
                    <w:sz w:val="21"/>
                    <w:szCs w:val="21"/>
                  </w:rPr>
                  <w:t>账面余额</w:t>
                </w:r>
              </w:p>
            </w:sdtContent>
          </w:sdt>
        </w:tc>
        <w:tc>
          <w:tcPr>
            <w:tcW w:w="349" w:type="pct"/>
          </w:tcPr>
          <w:sdt>
            <w:sdtPr>
              <w:rPr>
                <w:sz w:val="21"/>
                <w:szCs w:val="21"/>
              </w:rPr>
              <w:tag w:val="_PLD_b913601a6f0c496ba876b57f7e93b40e"/>
              <w:id w:val="27229"/>
            </w:sdtPr>
            <w:sdtEndPr>
              <w:rPr>
                <w:sz w:val="21"/>
                <w:szCs w:val="21"/>
              </w:rPr>
            </w:sdtEndPr>
            <w:sdtContent>
              <w:p>
                <w:pPr>
                  <w:jc w:val="center"/>
                  <w:rPr>
                    <w:sz w:val="21"/>
                    <w:szCs w:val="21"/>
                  </w:rPr>
                </w:pPr>
                <w:r>
                  <w:rPr>
                    <w:sz w:val="21"/>
                    <w:szCs w:val="21"/>
                  </w:rPr>
                  <w:t>减值准备</w:t>
                </w:r>
              </w:p>
            </w:sdtContent>
          </w:sdt>
        </w:tc>
        <w:tc>
          <w:tcPr>
            <w:tcW w:w="793" w:type="pct"/>
            <w:shd w:val="clear" w:color="auto" w:fill="auto"/>
            <w:vAlign w:val="center"/>
          </w:tcPr>
          <w:sdt>
            <w:sdtPr>
              <w:rPr>
                <w:sz w:val="21"/>
                <w:szCs w:val="21"/>
              </w:rPr>
              <w:tag w:val="_PLD_22318356783c413ba8286ddb8d1cda63"/>
              <w:id w:val="27230"/>
            </w:sdtPr>
            <w:sdtEndPr>
              <w:rPr>
                <w:sz w:val="21"/>
                <w:szCs w:val="21"/>
              </w:rPr>
            </w:sdtEndPr>
            <w:sdtContent>
              <w:p>
                <w:pPr>
                  <w:jc w:val="center"/>
                  <w:rPr>
                    <w:sz w:val="21"/>
                    <w:szCs w:val="21"/>
                  </w:rPr>
                </w:pPr>
                <w:r>
                  <w:rPr>
                    <w:sz w:val="21"/>
                    <w:szCs w:val="21"/>
                  </w:rPr>
                  <w:t>账面价值</w:t>
                </w:r>
              </w:p>
            </w:sdtContent>
          </w:sdt>
        </w:tc>
        <w:tc>
          <w:tcPr>
            <w:tcW w:w="994" w:type="pct"/>
          </w:tcPr>
          <w:sdt>
            <w:sdtPr>
              <w:rPr>
                <w:sz w:val="21"/>
                <w:szCs w:val="21"/>
              </w:rPr>
              <w:tag w:val="_PLD_0c6f94cdfaf1457fa98b2252d3b39131"/>
              <w:id w:val="27231"/>
            </w:sdtPr>
            <w:sdtEndPr>
              <w:rPr>
                <w:sz w:val="21"/>
                <w:szCs w:val="21"/>
              </w:rPr>
            </w:sdtEndPr>
            <w:sdtContent>
              <w:p>
                <w:pPr>
                  <w:jc w:val="center"/>
                  <w:rPr>
                    <w:sz w:val="21"/>
                    <w:szCs w:val="21"/>
                  </w:rPr>
                </w:pPr>
                <w:r>
                  <w:rPr>
                    <w:sz w:val="21"/>
                    <w:szCs w:val="21"/>
                  </w:rPr>
                  <w:t>账面余额</w:t>
                </w:r>
              </w:p>
            </w:sdtContent>
          </w:sdt>
        </w:tc>
        <w:tc>
          <w:tcPr>
            <w:tcW w:w="301" w:type="pct"/>
          </w:tcPr>
          <w:sdt>
            <w:sdtPr>
              <w:rPr>
                <w:sz w:val="21"/>
                <w:szCs w:val="21"/>
              </w:rPr>
              <w:tag w:val="_PLD_9d7969af67514b9e93b62156119189b9"/>
              <w:id w:val="27232"/>
            </w:sdtPr>
            <w:sdtEndPr>
              <w:rPr>
                <w:sz w:val="21"/>
                <w:szCs w:val="21"/>
              </w:rPr>
            </w:sdtEndPr>
            <w:sdtContent>
              <w:p>
                <w:pPr>
                  <w:jc w:val="center"/>
                  <w:rPr>
                    <w:sz w:val="21"/>
                    <w:szCs w:val="21"/>
                  </w:rPr>
                </w:pPr>
                <w:r>
                  <w:rPr>
                    <w:sz w:val="21"/>
                    <w:szCs w:val="21"/>
                  </w:rPr>
                  <w:t>减值准备</w:t>
                </w:r>
              </w:p>
            </w:sdtContent>
          </w:sdt>
        </w:tc>
        <w:tc>
          <w:tcPr>
            <w:tcW w:w="793" w:type="pct"/>
            <w:shd w:val="clear" w:color="auto" w:fill="auto"/>
            <w:vAlign w:val="center"/>
          </w:tcPr>
          <w:sdt>
            <w:sdtPr>
              <w:rPr>
                <w:sz w:val="21"/>
                <w:szCs w:val="21"/>
              </w:rPr>
              <w:tag w:val="_PLD_9c8736640ddf4dc897f3c30fb690ab09"/>
              <w:id w:val="27233"/>
            </w:sdtPr>
            <w:sdtEndPr>
              <w:rPr>
                <w:sz w:val="21"/>
                <w:szCs w:val="21"/>
              </w:rPr>
            </w:sdtEndPr>
            <w:sdtContent>
              <w:p>
                <w:pPr>
                  <w:jc w:val="center"/>
                  <w:rPr>
                    <w:sz w:val="21"/>
                    <w:szCs w:val="21"/>
                  </w:rPr>
                </w:pPr>
                <w:r>
                  <w:rPr>
                    <w:sz w:val="21"/>
                    <w:szCs w:val="21"/>
                  </w:rPr>
                  <w:t>账面价值</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01" w:type="pct"/>
            <w:shd w:val="clear" w:color="auto" w:fill="auto"/>
            <w:vAlign w:val="center"/>
          </w:tcPr>
          <w:p>
            <w:pPr>
              <w:rPr>
                <w:sz w:val="21"/>
                <w:szCs w:val="21"/>
              </w:rPr>
            </w:pPr>
            <w:r>
              <w:rPr>
                <w:rFonts w:hint="eastAsia"/>
                <w:sz w:val="21"/>
                <w:szCs w:val="21"/>
              </w:rPr>
              <w:t>合同取得成本</w:t>
            </w:r>
          </w:p>
        </w:tc>
        <w:tc>
          <w:tcPr>
            <w:tcW w:w="865" w:type="pct"/>
          </w:tcPr>
          <w:p>
            <w:pPr>
              <w:jc w:val="right"/>
              <w:rPr>
                <w:sz w:val="21"/>
                <w:szCs w:val="21"/>
              </w:rPr>
            </w:pPr>
          </w:p>
        </w:tc>
        <w:tc>
          <w:tcPr>
            <w:tcW w:w="349" w:type="pct"/>
          </w:tcPr>
          <w:p>
            <w:pPr>
              <w:jc w:val="right"/>
              <w:rPr>
                <w:sz w:val="21"/>
                <w:szCs w:val="21"/>
              </w:rPr>
            </w:pPr>
          </w:p>
        </w:tc>
        <w:tc>
          <w:tcPr>
            <w:tcW w:w="793" w:type="pct"/>
            <w:shd w:val="clear" w:color="auto" w:fill="auto"/>
            <w:vAlign w:val="center"/>
          </w:tcPr>
          <w:p>
            <w:pPr>
              <w:jc w:val="right"/>
              <w:rPr>
                <w:sz w:val="21"/>
                <w:szCs w:val="21"/>
              </w:rPr>
            </w:pPr>
          </w:p>
        </w:tc>
        <w:tc>
          <w:tcPr>
            <w:tcW w:w="994" w:type="pct"/>
          </w:tcPr>
          <w:p>
            <w:pPr>
              <w:jc w:val="right"/>
              <w:rPr>
                <w:sz w:val="21"/>
                <w:szCs w:val="21"/>
              </w:rPr>
            </w:pPr>
          </w:p>
        </w:tc>
        <w:tc>
          <w:tcPr>
            <w:tcW w:w="301" w:type="pct"/>
          </w:tcPr>
          <w:p>
            <w:pPr>
              <w:jc w:val="right"/>
              <w:rPr>
                <w:sz w:val="21"/>
                <w:szCs w:val="21"/>
              </w:rPr>
            </w:pPr>
          </w:p>
        </w:tc>
        <w:tc>
          <w:tcPr>
            <w:tcW w:w="793" w:type="pct"/>
            <w:shd w:val="clear" w:color="auto" w:fill="auto"/>
            <w:vAlign w:val="center"/>
          </w:tcPr>
          <w:p>
            <w:pPr>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01" w:type="pct"/>
            <w:shd w:val="clear" w:color="auto" w:fill="auto"/>
            <w:vAlign w:val="center"/>
          </w:tcPr>
          <w:p>
            <w:pPr>
              <w:rPr>
                <w:sz w:val="21"/>
                <w:szCs w:val="21"/>
              </w:rPr>
            </w:pPr>
            <w:r>
              <w:rPr>
                <w:rFonts w:hint="eastAsia"/>
                <w:sz w:val="21"/>
                <w:szCs w:val="21"/>
              </w:rPr>
              <w:t>合同履约成本</w:t>
            </w:r>
          </w:p>
        </w:tc>
        <w:tc>
          <w:tcPr>
            <w:tcW w:w="865" w:type="pct"/>
          </w:tcPr>
          <w:p>
            <w:pPr>
              <w:jc w:val="right"/>
              <w:rPr>
                <w:sz w:val="21"/>
                <w:szCs w:val="21"/>
              </w:rPr>
            </w:pPr>
          </w:p>
        </w:tc>
        <w:tc>
          <w:tcPr>
            <w:tcW w:w="349" w:type="pct"/>
          </w:tcPr>
          <w:p>
            <w:pPr>
              <w:jc w:val="right"/>
              <w:rPr>
                <w:sz w:val="21"/>
                <w:szCs w:val="21"/>
              </w:rPr>
            </w:pPr>
          </w:p>
        </w:tc>
        <w:tc>
          <w:tcPr>
            <w:tcW w:w="793" w:type="pct"/>
            <w:shd w:val="clear" w:color="auto" w:fill="auto"/>
            <w:vAlign w:val="center"/>
          </w:tcPr>
          <w:p>
            <w:pPr>
              <w:jc w:val="right"/>
              <w:rPr>
                <w:sz w:val="21"/>
                <w:szCs w:val="21"/>
              </w:rPr>
            </w:pPr>
          </w:p>
        </w:tc>
        <w:tc>
          <w:tcPr>
            <w:tcW w:w="994" w:type="pct"/>
          </w:tcPr>
          <w:p>
            <w:pPr>
              <w:jc w:val="right"/>
              <w:rPr>
                <w:sz w:val="21"/>
                <w:szCs w:val="21"/>
              </w:rPr>
            </w:pPr>
          </w:p>
        </w:tc>
        <w:tc>
          <w:tcPr>
            <w:tcW w:w="301" w:type="pct"/>
          </w:tcPr>
          <w:p>
            <w:pPr>
              <w:jc w:val="right"/>
              <w:rPr>
                <w:sz w:val="21"/>
                <w:szCs w:val="21"/>
              </w:rPr>
            </w:pPr>
          </w:p>
        </w:tc>
        <w:tc>
          <w:tcPr>
            <w:tcW w:w="793" w:type="pct"/>
            <w:shd w:val="clear" w:color="auto" w:fill="auto"/>
            <w:vAlign w:val="center"/>
          </w:tcPr>
          <w:p>
            <w:pPr>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01" w:type="pct"/>
            <w:shd w:val="clear" w:color="auto" w:fill="auto"/>
            <w:vAlign w:val="center"/>
          </w:tcPr>
          <w:p>
            <w:pPr>
              <w:rPr>
                <w:sz w:val="21"/>
                <w:szCs w:val="21"/>
              </w:rPr>
            </w:pPr>
            <w:r>
              <w:rPr>
                <w:rFonts w:hint="eastAsia"/>
                <w:sz w:val="21"/>
                <w:szCs w:val="21"/>
              </w:rPr>
              <w:t>应收退货成本</w:t>
            </w:r>
          </w:p>
        </w:tc>
        <w:tc>
          <w:tcPr>
            <w:tcW w:w="865" w:type="pct"/>
          </w:tcPr>
          <w:p>
            <w:pPr>
              <w:jc w:val="right"/>
              <w:rPr>
                <w:sz w:val="21"/>
                <w:szCs w:val="21"/>
              </w:rPr>
            </w:pPr>
          </w:p>
        </w:tc>
        <w:tc>
          <w:tcPr>
            <w:tcW w:w="349" w:type="pct"/>
          </w:tcPr>
          <w:p>
            <w:pPr>
              <w:jc w:val="right"/>
              <w:rPr>
                <w:sz w:val="21"/>
                <w:szCs w:val="21"/>
              </w:rPr>
            </w:pPr>
          </w:p>
        </w:tc>
        <w:tc>
          <w:tcPr>
            <w:tcW w:w="793" w:type="pct"/>
            <w:shd w:val="clear" w:color="auto" w:fill="auto"/>
            <w:vAlign w:val="center"/>
          </w:tcPr>
          <w:p>
            <w:pPr>
              <w:jc w:val="right"/>
              <w:rPr>
                <w:sz w:val="21"/>
                <w:szCs w:val="21"/>
              </w:rPr>
            </w:pPr>
          </w:p>
        </w:tc>
        <w:tc>
          <w:tcPr>
            <w:tcW w:w="994" w:type="pct"/>
          </w:tcPr>
          <w:p>
            <w:pPr>
              <w:jc w:val="right"/>
              <w:rPr>
                <w:sz w:val="21"/>
                <w:szCs w:val="21"/>
              </w:rPr>
            </w:pPr>
          </w:p>
        </w:tc>
        <w:tc>
          <w:tcPr>
            <w:tcW w:w="301" w:type="pct"/>
          </w:tcPr>
          <w:p>
            <w:pPr>
              <w:jc w:val="right"/>
              <w:rPr>
                <w:sz w:val="21"/>
                <w:szCs w:val="21"/>
              </w:rPr>
            </w:pPr>
          </w:p>
        </w:tc>
        <w:tc>
          <w:tcPr>
            <w:tcW w:w="793" w:type="pct"/>
            <w:shd w:val="clear" w:color="auto" w:fill="auto"/>
            <w:vAlign w:val="center"/>
          </w:tcPr>
          <w:p>
            <w:pPr>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89" w:hRule="atLeast"/>
        </w:trPr>
        <w:tc>
          <w:tcPr>
            <w:tcW w:w="901" w:type="pct"/>
            <w:shd w:val="clear" w:color="auto" w:fill="auto"/>
            <w:vAlign w:val="center"/>
          </w:tcPr>
          <w:p>
            <w:pPr>
              <w:rPr>
                <w:sz w:val="21"/>
                <w:szCs w:val="21"/>
              </w:rPr>
            </w:pPr>
            <w:r>
              <w:rPr>
                <w:rFonts w:hint="eastAsia"/>
                <w:sz w:val="21"/>
                <w:szCs w:val="21"/>
              </w:rPr>
              <w:t>合同资产</w:t>
            </w:r>
          </w:p>
        </w:tc>
        <w:tc>
          <w:tcPr>
            <w:tcW w:w="865" w:type="pct"/>
          </w:tcPr>
          <w:p>
            <w:pPr>
              <w:jc w:val="right"/>
              <w:rPr>
                <w:sz w:val="21"/>
                <w:szCs w:val="21"/>
              </w:rPr>
            </w:pPr>
          </w:p>
        </w:tc>
        <w:tc>
          <w:tcPr>
            <w:tcW w:w="349" w:type="pct"/>
          </w:tcPr>
          <w:p>
            <w:pPr>
              <w:jc w:val="right"/>
              <w:rPr>
                <w:sz w:val="21"/>
                <w:szCs w:val="21"/>
              </w:rPr>
            </w:pPr>
          </w:p>
        </w:tc>
        <w:tc>
          <w:tcPr>
            <w:tcW w:w="793" w:type="pct"/>
            <w:shd w:val="clear" w:color="auto" w:fill="auto"/>
            <w:vAlign w:val="center"/>
          </w:tcPr>
          <w:p>
            <w:pPr>
              <w:jc w:val="right"/>
              <w:rPr>
                <w:sz w:val="21"/>
                <w:szCs w:val="21"/>
              </w:rPr>
            </w:pPr>
          </w:p>
        </w:tc>
        <w:tc>
          <w:tcPr>
            <w:tcW w:w="994" w:type="pct"/>
          </w:tcPr>
          <w:p>
            <w:pPr>
              <w:jc w:val="right"/>
              <w:rPr>
                <w:sz w:val="21"/>
                <w:szCs w:val="21"/>
              </w:rPr>
            </w:pPr>
          </w:p>
        </w:tc>
        <w:tc>
          <w:tcPr>
            <w:tcW w:w="301" w:type="pct"/>
          </w:tcPr>
          <w:p>
            <w:pPr>
              <w:jc w:val="right"/>
              <w:rPr>
                <w:sz w:val="21"/>
                <w:szCs w:val="21"/>
              </w:rPr>
            </w:pPr>
          </w:p>
        </w:tc>
        <w:tc>
          <w:tcPr>
            <w:tcW w:w="793" w:type="pct"/>
            <w:shd w:val="clear" w:color="auto" w:fill="auto"/>
            <w:vAlign w:val="center"/>
          </w:tcPr>
          <w:p>
            <w:pPr>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01" w:type="pct"/>
            <w:shd w:val="clear" w:color="auto" w:fill="auto"/>
          </w:tcPr>
          <w:p>
            <w:pPr>
              <w:rPr>
                <w:sz w:val="21"/>
                <w:szCs w:val="21"/>
              </w:rPr>
            </w:pPr>
            <w:r>
              <w:rPr>
                <w:rFonts w:hint="eastAsia" w:ascii="Arial" w:hAnsi="Arial" w:eastAsia="宋体" w:cs="Arial"/>
                <w:sz w:val="21"/>
                <w:szCs w:val="21"/>
              </w:rPr>
              <w:t>预付工程及设备款等长期资产款</w:t>
            </w:r>
          </w:p>
        </w:tc>
        <w:tc>
          <w:tcPr>
            <w:tcW w:w="865" w:type="pct"/>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10,855,301.83</w:t>
            </w:r>
          </w:p>
        </w:tc>
        <w:tc>
          <w:tcPr>
            <w:tcW w:w="349" w:type="pct"/>
            <w:vAlign w:val="center"/>
          </w:tcPr>
          <w:p>
            <w:pPr>
              <w:jc w:val="right"/>
              <w:rPr>
                <w:rFonts w:hint="default" w:ascii="Times New Roman" w:hAnsi="Times New Roman" w:cs="Times New Roman"/>
                <w:sz w:val="21"/>
                <w:szCs w:val="21"/>
              </w:rPr>
            </w:pPr>
          </w:p>
        </w:tc>
        <w:tc>
          <w:tcPr>
            <w:tcW w:w="79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10,855,301.83</w:t>
            </w:r>
          </w:p>
        </w:tc>
        <w:tc>
          <w:tcPr>
            <w:tcW w:w="994" w:type="pct"/>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13,521,440.97</w:t>
            </w:r>
          </w:p>
        </w:tc>
        <w:tc>
          <w:tcPr>
            <w:tcW w:w="301" w:type="pct"/>
            <w:vAlign w:val="center"/>
          </w:tcPr>
          <w:p>
            <w:pPr>
              <w:jc w:val="right"/>
              <w:rPr>
                <w:rFonts w:hint="default" w:ascii="Times New Roman" w:hAnsi="Times New Roman" w:cs="Times New Roman"/>
                <w:sz w:val="21"/>
                <w:szCs w:val="21"/>
              </w:rPr>
            </w:pPr>
          </w:p>
        </w:tc>
        <w:tc>
          <w:tcPr>
            <w:tcW w:w="79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13,521,440.97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01" w:type="pct"/>
            <w:shd w:val="clear" w:color="auto" w:fill="auto"/>
            <w:vAlign w:val="center"/>
          </w:tcPr>
          <w:p>
            <w:pPr>
              <w:jc w:val="center"/>
              <w:rPr>
                <w:sz w:val="21"/>
                <w:szCs w:val="21"/>
              </w:rPr>
            </w:pPr>
            <w:r>
              <w:rPr>
                <w:rFonts w:hint="eastAsia"/>
                <w:sz w:val="21"/>
                <w:szCs w:val="21"/>
              </w:rPr>
              <w:t>合计</w:t>
            </w:r>
          </w:p>
        </w:tc>
        <w:tc>
          <w:tcPr>
            <w:tcW w:w="865" w:type="pct"/>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10,855,301.83</w:t>
            </w:r>
          </w:p>
        </w:tc>
        <w:tc>
          <w:tcPr>
            <w:tcW w:w="349" w:type="pct"/>
            <w:vAlign w:val="center"/>
          </w:tcPr>
          <w:p>
            <w:pPr>
              <w:jc w:val="right"/>
              <w:rPr>
                <w:rFonts w:hint="default" w:ascii="Times New Roman" w:hAnsi="Times New Roman" w:cs="Times New Roman"/>
                <w:sz w:val="21"/>
                <w:szCs w:val="21"/>
              </w:rPr>
            </w:pPr>
          </w:p>
        </w:tc>
        <w:tc>
          <w:tcPr>
            <w:tcW w:w="79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10,855,301.83</w:t>
            </w:r>
          </w:p>
        </w:tc>
        <w:tc>
          <w:tcPr>
            <w:tcW w:w="994" w:type="pct"/>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13,521,440.97</w:t>
            </w:r>
          </w:p>
        </w:tc>
        <w:tc>
          <w:tcPr>
            <w:tcW w:w="301" w:type="pct"/>
            <w:vAlign w:val="center"/>
          </w:tcPr>
          <w:p>
            <w:pPr>
              <w:jc w:val="right"/>
              <w:rPr>
                <w:rFonts w:hint="default" w:ascii="Times New Roman" w:hAnsi="Times New Roman" w:cs="Times New Roman"/>
                <w:sz w:val="21"/>
                <w:szCs w:val="21"/>
              </w:rPr>
            </w:pPr>
          </w:p>
        </w:tc>
        <w:tc>
          <w:tcPr>
            <w:tcW w:w="79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13,521,440.97</w:t>
            </w:r>
          </w:p>
        </w:tc>
      </w:tr>
    </w:tbl>
    <w:p/>
    <w:p>
      <w:pPr>
        <w:rPr>
          <w:szCs w:val="21"/>
        </w:rPr>
      </w:pPr>
      <w:r>
        <w:rPr>
          <w:rFonts w:hint="eastAsia"/>
          <w:szCs w:val="21"/>
        </w:rPr>
        <w:t>其他说明：</w:t>
      </w:r>
    </w:p>
    <w:p>
      <w:pPr>
        <w:rPr>
          <w:szCs w:val="21"/>
        </w:rPr>
      </w:pPr>
      <w:sdt>
        <w:sdtPr>
          <w:rPr>
            <w:szCs w:val="21"/>
          </w:rPr>
          <w:alias w:val="其他长期资产的说明"/>
          <w:tag w:val="_GBC_d2d37b97b8df4ba1b7bcbf3e8c04d024"/>
          <w:id w:val="27234"/>
          <w:placeholder>
            <w:docPart w:val="GBC22222222222222222222222222222"/>
          </w:placeholder>
        </w:sdtPr>
        <w:sdtEndPr>
          <w:rPr>
            <w:szCs w:val="21"/>
          </w:rPr>
        </w:sdtEndPr>
        <w:sdtContent>
          <w:r>
            <w:rPr>
              <w:rFonts w:hint="eastAsia"/>
              <w:szCs w:val="21"/>
              <w:lang w:eastAsia="zh-CN"/>
            </w:rPr>
            <w:t>无</w:t>
          </w:r>
        </w:sdtContent>
      </w:sdt>
      <w:bookmarkEnd w:id="275"/>
    </w:p>
    <w:p>
      <w:pPr>
        <w:rPr>
          <w:szCs w:val="21"/>
        </w:rPr>
      </w:pPr>
    </w:p>
    <w:p>
      <w:pPr>
        <w:pStyle w:val="4"/>
        <w:numPr>
          <w:ilvl w:val="0"/>
          <w:numId w:val="71"/>
        </w:numPr>
        <w:tabs>
          <w:tab w:val="left" w:pos="504"/>
        </w:tabs>
        <w:rPr>
          <w:rFonts w:ascii="宋体" w:hAnsi="宋体"/>
          <w:szCs w:val="21"/>
        </w:rPr>
      </w:pPr>
      <w:r>
        <w:rPr>
          <w:rFonts w:hint="eastAsia" w:ascii="宋体" w:hAnsi="宋体"/>
          <w:szCs w:val="21"/>
        </w:rPr>
        <w:t>所有权或使用权受限资产</w:t>
      </w:r>
    </w:p>
    <w:sdt>
      <w:sdtPr>
        <w:alias w:val="是否适用：所有权或使用权受到限制的资产[双击切换]"/>
        <w:tag w:val="_GBC_a283d24f027d4d16b90b482ce573c322"/>
        <w:id w:val="-77288965"/>
        <w:placeholder>
          <w:docPart w:val="GBC33333333333333333333333333333"/>
        </w:placeholder>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pStyle w:val="6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3477487b65f945b1991b65aa0ada53b6"/>
          <w:id w:val="1409037946"/>
          <w:placeholder>
            <w:docPart w:val="GBC3333333333333333333333333333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所有权或使用权受到限制的资产"/>
          <w:tag w:val="_GBC_49ce2140e00b44d7b998aa58d39778c8"/>
          <w:id w:val="934327057"/>
          <w:placeholder>
            <w:docPart w:val="GBC3333333333333333333333333333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8"/>
        <w:tblW w:w="9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607"/>
        <w:gridCol w:w="1550"/>
        <w:gridCol w:w="500"/>
        <w:gridCol w:w="688"/>
        <w:gridCol w:w="1612"/>
        <w:gridCol w:w="1550"/>
        <w:gridCol w:w="40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rPr>
            <w:tag w:val="_PLD_825ad37db2ce492f9bb6ff7f034b7d59"/>
            <w:id w:val="8390"/>
          </w:sdtPr>
          <w:sdtEndPr>
            <w:rPr>
              <w:rFonts w:hint="eastAsia" w:ascii="Times New Roman" w:hAnsi="Times New Roman"/>
            </w:rPr>
          </w:sdtEndPr>
          <w:sdtContent>
            <w:tc>
              <w:tcPr>
                <w:tcW w:w="457" w:type="dxa"/>
                <w:vMerge w:val="restart"/>
                <w:vAlign w:val="center"/>
              </w:tcPr>
              <w:p>
                <w:pPr>
                  <w:widowControl w:val="0"/>
                  <w:jc w:val="center"/>
                  <w:rPr>
                    <w:rFonts w:ascii="Times New Roman" w:hAnsi="Times New Roman"/>
                  </w:rPr>
                </w:pPr>
                <w:r>
                  <w:rPr>
                    <w:rFonts w:hint="eastAsia" w:ascii="Times New Roman" w:hAnsi="Times New Roman"/>
                  </w:rPr>
                  <w:t>项目</w:t>
                </w:r>
              </w:p>
            </w:tc>
          </w:sdtContent>
        </w:sdt>
        <w:sdt>
          <w:sdtPr>
            <w:rPr>
              <w:rFonts w:hint="eastAsia" w:ascii="Times New Roman" w:hAnsi="Times New Roman"/>
            </w:rPr>
            <w:tag w:val="_PLD_5e34e991b3f446acbd7aca256a1acb2d"/>
            <w:id w:val="8391"/>
          </w:sdtPr>
          <w:sdtEndPr>
            <w:rPr>
              <w:rFonts w:hint="eastAsia" w:ascii="Times New Roman" w:hAnsi="Times New Roman"/>
            </w:rPr>
          </w:sdtEndPr>
          <w:sdtContent>
            <w:tc>
              <w:tcPr>
                <w:tcW w:w="4345" w:type="dxa"/>
                <w:gridSpan w:val="4"/>
                <w:vAlign w:val="center"/>
              </w:tcPr>
              <w:p>
                <w:pPr>
                  <w:widowControl w:val="0"/>
                  <w:jc w:val="center"/>
                  <w:rPr>
                    <w:rFonts w:ascii="Times New Roman" w:hAnsi="Times New Roman"/>
                  </w:rPr>
                </w:pPr>
                <w:r>
                  <w:rPr>
                    <w:rFonts w:hint="eastAsia" w:ascii="Times New Roman" w:hAnsi="Times New Roman"/>
                  </w:rPr>
                  <w:t>期末</w:t>
                </w:r>
              </w:p>
            </w:tc>
          </w:sdtContent>
        </w:sdt>
        <w:sdt>
          <w:sdtPr>
            <w:rPr>
              <w:rFonts w:hint="eastAsia" w:ascii="Times New Roman" w:hAnsi="Times New Roman"/>
            </w:rPr>
            <w:tag w:val="_PLD_282f81b96d884d3fbdb88a534a3cd80a"/>
            <w:id w:val="8392"/>
          </w:sdtPr>
          <w:sdtEndPr>
            <w:rPr>
              <w:rFonts w:hint="eastAsia" w:ascii="Times New Roman" w:hAnsi="Times New Roman"/>
            </w:rPr>
          </w:sdtEndPr>
          <w:sdtContent>
            <w:tc>
              <w:tcPr>
                <w:tcW w:w="4362" w:type="dxa"/>
                <w:gridSpan w:val="4"/>
                <w:vAlign w:val="center"/>
              </w:tcPr>
              <w:p>
                <w:pPr>
                  <w:widowControl w:val="0"/>
                  <w:jc w:val="center"/>
                  <w:rPr>
                    <w:rFonts w:ascii="Times New Roman" w:hAnsi="Times New Roman"/>
                  </w:rPr>
                </w:pPr>
                <w:r>
                  <w:rPr>
                    <w:rFonts w:hint="eastAsia" w:ascii="Times New Roman" w:hAnsi="Times New Roman"/>
                  </w:rPr>
                  <w:t>期初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dxa"/>
            <w:vMerge w:val="continue"/>
          </w:tcPr>
          <w:p>
            <w:pPr>
              <w:widowControl w:val="0"/>
              <w:jc w:val="both"/>
              <w:rPr>
                <w:rFonts w:ascii="Times New Roman" w:hAnsi="Times New Roman"/>
              </w:rPr>
            </w:pPr>
          </w:p>
        </w:tc>
        <w:sdt>
          <w:sdtPr>
            <w:rPr>
              <w:rFonts w:ascii="Times New Roman" w:hAnsi="Times New Roman"/>
            </w:rPr>
            <w:tag w:val="_PLD_64004453368f45deb228668add3f6655"/>
            <w:id w:val="8393"/>
          </w:sdtPr>
          <w:sdtEndPr>
            <w:rPr>
              <w:rFonts w:ascii="Times New Roman" w:hAnsi="Times New Roman"/>
            </w:rPr>
          </w:sdtEndPr>
          <w:sdtContent>
            <w:tc>
              <w:tcPr>
                <w:tcW w:w="1607" w:type="dxa"/>
                <w:vAlign w:val="center"/>
              </w:tcPr>
              <w:p>
                <w:pPr>
                  <w:widowControl w:val="0"/>
                  <w:jc w:val="center"/>
                  <w:rPr>
                    <w:rFonts w:ascii="Times New Roman" w:hAnsi="Times New Roman"/>
                  </w:rPr>
                </w:pPr>
                <w:r>
                  <w:rPr>
                    <w:rFonts w:ascii="Times New Roman" w:hAnsi="Times New Roman"/>
                  </w:rPr>
                  <w:t>账面余额</w:t>
                </w:r>
              </w:p>
            </w:tc>
          </w:sdtContent>
        </w:sdt>
        <w:sdt>
          <w:sdtPr>
            <w:rPr>
              <w:rFonts w:ascii="Times New Roman" w:hAnsi="Times New Roman"/>
            </w:rPr>
            <w:tag w:val="_PLD_5a76ffbabf9f4b50a7dc29ed261b076e"/>
            <w:id w:val="8394"/>
          </w:sdtPr>
          <w:sdtEndPr>
            <w:rPr>
              <w:rFonts w:ascii="Times New Roman" w:hAnsi="Times New Roman"/>
            </w:rPr>
          </w:sdtEndPr>
          <w:sdtContent>
            <w:tc>
              <w:tcPr>
                <w:tcW w:w="1550" w:type="dxa"/>
                <w:vAlign w:val="center"/>
              </w:tcPr>
              <w:p>
                <w:pPr>
                  <w:widowControl w:val="0"/>
                  <w:jc w:val="center"/>
                  <w:rPr>
                    <w:rFonts w:ascii="Times New Roman" w:hAnsi="Times New Roman"/>
                  </w:rPr>
                </w:pPr>
                <w:r>
                  <w:rPr>
                    <w:rFonts w:ascii="Times New Roman" w:hAnsi="Times New Roman"/>
                  </w:rPr>
                  <w:t>账面价值</w:t>
                </w:r>
              </w:p>
            </w:tc>
          </w:sdtContent>
        </w:sdt>
        <w:sdt>
          <w:sdtPr>
            <w:rPr>
              <w:rFonts w:ascii="Times New Roman" w:hAnsi="Times New Roman"/>
            </w:rPr>
            <w:tag w:val="_PLD_c3cc16e1890f43fba67dc0efd759b735"/>
            <w:id w:val="8395"/>
          </w:sdtPr>
          <w:sdtEndPr>
            <w:rPr>
              <w:rFonts w:ascii="Times New Roman" w:hAnsi="Times New Roman"/>
            </w:rPr>
          </w:sdtEndPr>
          <w:sdtContent>
            <w:tc>
              <w:tcPr>
                <w:tcW w:w="500" w:type="dxa"/>
                <w:vAlign w:val="center"/>
              </w:tcPr>
              <w:p>
                <w:pPr>
                  <w:widowControl w:val="0"/>
                  <w:jc w:val="center"/>
                  <w:rPr>
                    <w:rFonts w:ascii="Times New Roman" w:hAnsi="Times New Roman"/>
                  </w:rPr>
                </w:pPr>
                <w:r>
                  <w:rPr>
                    <w:rFonts w:ascii="Times New Roman" w:hAnsi="Times New Roman"/>
                  </w:rPr>
                  <w:t>受限类型</w:t>
                </w:r>
              </w:p>
            </w:tc>
          </w:sdtContent>
        </w:sdt>
        <w:sdt>
          <w:sdtPr>
            <w:rPr>
              <w:rFonts w:ascii="Times New Roman" w:hAnsi="Times New Roman"/>
            </w:rPr>
            <w:tag w:val="_PLD_8a211b26df0b4260a21a41d957e1dfdf"/>
            <w:id w:val="8396"/>
          </w:sdtPr>
          <w:sdtEndPr>
            <w:rPr>
              <w:rFonts w:ascii="Times New Roman" w:hAnsi="Times New Roman"/>
            </w:rPr>
          </w:sdtEndPr>
          <w:sdtContent>
            <w:tc>
              <w:tcPr>
                <w:tcW w:w="688" w:type="dxa"/>
                <w:vAlign w:val="center"/>
              </w:tcPr>
              <w:p>
                <w:pPr>
                  <w:widowControl w:val="0"/>
                  <w:jc w:val="center"/>
                  <w:rPr>
                    <w:rFonts w:ascii="Times New Roman" w:hAnsi="Times New Roman"/>
                  </w:rPr>
                </w:pPr>
                <w:r>
                  <w:rPr>
                    <w:rFonts w:ascii="Times New Roman" w:hAnsi="Times New Roman"/>
                  </w:rPr>
                  <w:t>受限情况</w:t>
                </w:r>
              </w:p>
            </w:tc>
          </w:sdtContent>
        </w:sdt>
        <w:sdt>
          <w:sdtPr>
            <w:rPr>
              <w:rFonts w:ascii="Times New Roman" w:hAnsi="Times New Roman"/>
            </w:rPr>
            <w:tag w:val="_PLD_9581673e46d4411fa8fe5e12a8080d0f"/>
            <w:id w:val="8397"/>
          </w:sdtPr>
          <w:sdtEndPr>
            <w:rPr>
              <w:rFonts w:ascii="Times New Roman" w:hAnsi="Times New Roman"/>
            </w:rPr>
          </w:sdtEndPr>
          <w:sdtContent>
            <w:tc>
              <w:tcPr>
                <w:tcW w:w="1612" w:type="dxa"/>
                <w:vAlign w:val="center"/>
              </w:tcPr>
              <w:p>
                <w:pPr>
                  <w:widowControl w:val="0"/>
                  <w:jc w:val="center"/>
                  <w:rPr>
                    <w:rFonts w:ascii="Times New Roman" w:hAnsi="Times New Roman"/>
                  </w:rPr>
                </w:pPr>
                <w:r>
                  <w:rPr>
                    <w:rFonts w:ascii="Times New Roman" w:hAnsi="Times New Roman"/>
                  </w:rPr>
                  <w:t>账面余额</w:t>
                </w:r>
              </w:p>
            </w:tc>
          </w:sdtContent>
        </w:sdt>
        <w:sdt>
          <w:sdtPr>
            <w:rPr>
              <w:rFonts w:ascii="Times New Roman" w:hAnsi="Times New Roman"/>
            </w:rPr>
            <w:tag w:val="_PLD_ce461bf839e5491eadcc3d70f9ce620e"/>
            <w:id w:val="8398"/>
          </w:sdtPr>
          <w:sdtEndPr>
            <w:rPr>
              <w:rFonts w:ascii="Times New Roman" w:hAnsi="Times New Roman"/>
            </w:rPr>
          </w:sdtEndPr>
          <w:sdtContent>
            <w:tc>
              <w:tcPr>
                <w:tcW w:w="1550" w:type="dxa"/>
                <w:vAlign w:val="center"/>
              </w:tcPr>
              <w:p>
                <w:pPr>
                  <w:widowControl w:val="0"/>
                  <w:jc w:val="center"/>
                  <w:rPr>
                    <w:rFonts w:ascii="Times New Roman" w:hAnsi="Times New Roman"/>
                  </w:rPr>
                </w:pPr>
                <w:r>
                  <w:rPr>
                    <w:rFonts w:ascii="Times New Roman" w:hAnsi="Times New Roman"/>
                  </w:rPr>
                  <w:t>账面价值</w:t>
                </w:r>
              </w:p>
            </w:tc>
          </w:sdtContent>
        </w:sdt>
        <w:sdt>
          <w:sdtPr>
            <w:rPr>
              <w:rFonts w:ascii="Times New Roman" w:hAnsi="Times New Roman"/>
            </w:rPr>
            <w:tag w:val="_PLD_5ae696f538304ef6a934581c56fba9ec"/>
            <w:id w:val="8399"/>
          </w:sdtPr>
          <w:sdtEndPr>
            <w:rPr>
              <w:rFonts w:ascii="Times New Roman" w:hAnsi="Times New Roman"/>
            </w:rPr>
          </w:sdtEndPr>
          <w:sdtContent>
            <w:tc>
              <w:tcPr>
                <w:tcW w:w="400" w:type="dxa"/>
                <w:vAlign w:val="center"/>
              </w:tcPr>
              <w:p>
                <w:pPr>
                  <w:widowControl w:val="0"/>
                  <w:jc w:val="center"/>
                  <w:rPr>
                    <w:rFonts w:ascii="Times New Roman" w:hAnsi="Times New Roman"/>
                  </w:rPr>
                </w:pPr>
                <w:r>
                  <w:rPr>
                    <w:rFonts w:ascii="Times New Roman" w:hAnsi="Times New Roman"/>
                  </w:rPr>
                  <w:t>受限类型</w:t>
                </w:r>
              </w:p>
            </w:tc>
          </w:sdtContent>
        </w:sdt>
        <w:sdt>
          <w:sdtPr>
            <w:rPr>
              <w:rFonts w:ascii="Times New Roman" w:hAnsi="Times New Roman"/>
            </w:rPr>
            <w:tag w:val="_PLD_04889a12b1314877b4e00ff0f38fa250"/>
            <w:id w:val="8400"/>
          </w:sdtPr>
          <w:sdtEndPr>
            <w:rPr>
              <w:rFonts w:ascii="Times New Roman" w:hAnsi="Times New Roman"/>
            </w:rPr>
          </w:sdtEndPr>
          <w:sdtContent>
            <w:tc>
              <w:tcPr>
                <w:tcW w:w="800" w:type="dxa"/>
                <w:vAlign w:val="center"/>
              </w:tcPr>
              <w:p>
                <w:pPr>
                  <w:widowControl w:val="0"/>
                  <w:jc w:val="center"/>
                  <w:rPr>
                    <w:rFonts w:ascii="Times New Roman" w:hAnsi="Times New Roman"/>
                  </w:rPr>
                </w:pPr>
                <w:r>
                  <w:rPr>
                    <w:rFonts w:ascii="Times New Roman" w:hAnsi="Times New Roman"/>
                  </w:rPr>
                  <w:t>受限情况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789a5dab377d4a2a9d84c5290158d938"/>
            <w:id w:val="8401"/>
          </w:sdtPr>
          <w:sdtEndPr>
            <w:rPr>
              <w:rFonts w:ascii="Times New Roman" w:hAnsi="Times New Roman"/>
            </w:rPr>
          </w:sdtEndPr>
          <w:sdtContent>
            <w:tc>
              <w:tcPr>
                <w:tcW w:w="457" w:type="dxa"/>
              </w:tcPr>
              <w:p>
                <w:pPr>
                  <w:widowControl w:val="0"/>
                  <w:jc w:val="left"/>
                  <w:rPr>
                    <w:rFonts w:ascii="Times New Roman" w:hAnsi="Times New Roman"/>
                  </w:rPr>
                </w:pPr>
                <w:r>
                  <w:rPr>
                    <w:rFonts w:ascii="Times New Roman" w:hAnsi="Times New Roman"/>
                  </w:rPr>
                  <w:t>货币资金</w:t>
                </w:r>
              </w:p>
            </w:tc>
          </w:sdtContent>
        </w:sdt>
        <w:tc>
          <w:tcPr>
            <w:tcW w:w="1607" w:type="dxa"/>
            <w:vAlign w:val="center"/>
          </w:tcPr>
          <w:p>
            <w:pPr>
              <w:widowControl w:val="0"/>
              <w:jc w:val="right"/>
              <w:rPr>
                <w:rFonts w:ascii="Times New Roman" w:hAnsi="Times New Roman"/>
              </w:rPr>
            </w:pPr>
            <w:r>
              <w:rPr>
                <w:rFonts w:hint="eastAsia" w:ascii="Times New Roman" w:hAnsi="Times New Roman"/>
                <w:color w:val="auto"/>
              </w:rPr>
              <w:t>3,000.00</w:t>
            </w:r>
          </w:p>
        </w:tc>
        <w:tc>
          <w:tcPr>
            <w:tcW w:w="1550" w:type="dxa"/>
            <w:vAlign w:val="center"/>
          </w:tcPr>
          <w:p>
            <w:pPr>
              <w:widowControl w:val="0"/>
              <w:jc w:val="right"/>
              <w:rPr>
                <w:rFonts w:ascii="Times New Roman" w:hAnsi="Times New Roman"/>
              </w:rPr>
            </w:pPr>
            <w:r>
              <w:rPr>
                <w:rFonts w:hint="eastAsia" w:ascii="Times New Roman" w:hAnsi="Times New Roman"/>
                <w:color w:val="auto"/>
              </w:rPr>
              <w:t>3,000.00</w:t>
            </w:r>
          </w:p>
        </w:tc>
        <w:sdt>
          <w:sdtPr>
            <w:rPr>
              <w:rFonts w:ascii="Times New Roman" w:hAnsi="Times New Roman"/>
            </w:rPr>
            <w:alias w:val="所有权或使用权受到限制的资产中货币资金受限类型"/>
            <w:tag w:val="_GBC_7fb51b008f2f4beb8063f87f09523632"/>
            <w:id w:val="840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tc>
              <w:tcPr>
                <w:tcW w:w="500" w:type="dxa"/>
                <w:vAlign w:val="center"/>
              </w:tcPr>
              <w:p>
                <w:pPr>
                  <w:widowControl w:val="0"/>
                  <w:jc w:val="right"/>
                  <w:rPr>
                    <w:rFonts w:ascii="Times New Roman" w:hAnsi="Times New Roman"/>
                  </w:rPr>
                </w:pPr>
                <w:r>
                  <w:rPr>
                    <w:rFonts w:ascii="Times New Roman" w:hAnsi="Times New Roman" w:eastAsia="宋体" w:cs="宋体"/>
                    <w:sz w:val="21"/>
                    <w:szCs w:val="24"/>
                    <w:lang w:val="en-US" w:eastAsia="zh-CN" w:bidi="ar-SA"/>
                  </w:rPr>
                  <w:t>冻结</w:t>
                </w:r>
              </w:p>
            </w:tc>
          </w:sdtContent>
        </w:sdt>
        <w:tc>
          <w:tcPr>
            <w:tcW w:w="688" w:type="dxa"/>
            <w:vAlign w:val="center"/>
          </w:tcPr>
          <w:p>
            <w:pPr>
              <w:widowControl w:val="0"/>
              <w:jc w:val="right"/>
              <w:rPr>
                <w:rFonts w:ascii="Times New Roman" w:hAnsi="Times New Roman"/>
              </w:rPr>
            </w:pPr>
            <w:r>
              <w:rPr>
                <w:rFonts w:ascii="Times New Roman" w:hAnsi="Times New Roman"/>
              </w:rPr>
              <w:t>江苏公司ETC保证金</w:t>
            </w:r>
          </w:p>
        </w:tc>
        <w:tc>
          <w:tcPr>
            <w:tcW w:w="1612" w:type="dxa"/>
            <w:vAlign w:val="center"/>
          </w:tcPr>
          <w:p>
            <w:pPr>
              <w:widowControl w:val="0"/>
              <w:jc w:val="right"/>
              <w:rPr>
                <w:rFonts w:ascii="Times New Roman" w:hAnsi="Times New Roman"/>
              </w:rPr>
            </w:pPr>
            <w:r>
              <w:rPr>
                <w:rFonts w:hint="eastAsia" w:ascii="Times New Roman" w:hAnsi="Times New Roman"/>
                <w:color w:val="auto"/>
              </w:rPr>
              <w:t>138,550.05</w:t>
            </w:r>
          </w:p>
        </w:tc>
        <w:tc>
          <w:tcPr>
            <w:tcW w:w="1550" w:type="dxa"/>
            <w:vAlign w:val="center"/>
          </w:tcPr>
          <w:p>
            <w:pPr>
              <w:widowControl w:val="0"/>
              <w:jc w:val="right"/>
              <w:rPr>
                <w:rFonts w:ascii="Times New Roman" w:hAnsi="Times New Roman"/>
              </w:rPr>
            </w:pPr>
            <w:r>
              <w:rPr>
                <w:rFonts w:hint="eastAsia" w:ascii="Times New Roman" w:hAnsi="Times New Roman"/>
                <w:color w:val="auto"/>
              </w:rPr>
              <w:t>138,550.05</w:t>
            </w:r>
          </w:p>
        </w:tc>
        <w:sdt>
          <w:sdtPr>
            <w:rPr>
              <w:rFonts w:ascii="Times New Roman" w:hAnsi="Times New Roman"/>
            </w:rPr>
            <w:alias w:val="所有权或使用权受到限制的资产中货币资金受限类型"/>
            <w:tag w:val="_GBC_8aec04a2046e4a2e9d5c1c39fe3f3b3d"/>
            <w:id w:val="840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tc>
              <w:tcPr>
                <w:tcW w:w="400" w:type="dxa"/>
                <w:vAlign w:val="center"/>
              </w:tcPr>
              <w:p>
                <w:pPr>
                  <w:widowControl w:val="0"/>
                  <w:jc w:val="right"/>
                  <w:rPr>
                    <w:rFonts w:ascii="Times New Roman" w:hAnsi="Times New Roman"/>
                  </w:rPr>
                </w:pPr>
                <w:r>
                  <w:rPr>
                    <w:rFonts w:ascii="Times New Roman" w:hAnsi="Times New Roman" w:eastAsia="宋体" w:cs="宋体"/>
                    <w:sz w:val="21"/>
                    <w:szCs w:val="24"/>
                    <w:lang w:val="en-US" w:eastAsia="zh-CN" w:bidi="ar-SA"/>
                  </w:rPr>
                  <w:t>冻结</w:t>
                </w:r>
              </w:p>
            </w:tc>
          </w:sdtContent>
        </w:sdt>
        <w:tc>
          <w:tcPr>
            <w:tcW w:w="800" w:type="dxa"/>
            <w:vAlign w:val="center"/>
          </w:tcPr>
          <w:p>
            <w:pPr>
              <w:widowControl w:val="0"/>
              <w:jc w:val="center"/>
              <w:rPr>
                <w:rFonts w:ascii="Times New Roman" w:hAnsi="Times New Roman"/>
              </w:rPr>
            </w:pPr>
            <w:r>
              <w:rPr>
                <w:rFonts w:ascii="Times New Roman" w:hAnsi="Times New Roman"/>
              </w:rPr>
              <w:t>银行承兑汇票保证金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c992987e2518490391d8164cd2fdc497"/>
            <w:id w:val="8404"/>
          </w:sdtPr>
          <w:sdtEndPr>
            <w:rPr>
              <w:rFonts w:ascii="Times New Roman" w:hAnsi="Times New Roman"/>
            </w:rPr>
          </w:sdtEndPr>
          <w:sdtContent>
            <w:tc>
              <w:tcPr>
                <w:tcW w:w="457" w:type="dxa"/>
              </w:tcPr>
              <w:p>
                <w:pPr>
                  <w:widowControl w:val="0"/>
                  <w:jc w:val="left"/>
                  <w:rPr>
                    <w:rFonts w:ascii="Times New Roman" w:hAnsi="Times New Roman"/>
                  </w:rPr>
                </w:pPr>
                <w:r>
                  <w:rPr>
                    <w:rFonts w:ascii="Times New Roman" w:hAnsi="Times New Roman"/>
                  </w:rPr>
                  <w:t>固定资产</w:t>
                </w:r>
              </w:p>
            </w:tc>
          </w:sdtContent>
        </w:sdt>
        <w:tc>
          <w:tcPr>
            <w:tcW w:w="1607" w:type="dxa"/>
            <w:vAlign w:val="center"/>
          </w:tcPr>
          <w:p>
            <w:pPr>
              <w:keepNext w:val="0"/>
              <w:keepLines w:val="0"/>
              <w:widowControl/>
              <w:suppressLineNumbers w:val="0"/>
              <w:jc w:val="right"/>
              <w:textAlignment w:val="top"/>
              <w:rPr>
                <w:rFonts w:ascii="Times New Roman" w:hAnsi="Times New Roman"/>
              </w:rPr>
            </w:pPr>
            <w:r>
              <w:rPr>
                <w:rFonts w:hint="default" w:ascii="Times New Roman" w:hAnsi="Times New Roman" w:eastAsia="宋体" w:cs="Times New Roman"/>
                <w:i w:val="0"/>
                <w:iCs w:val="0"/>
                <w:color w:val="000000"/>
                <w:kern w:val="0"/>
                <w:sz w:val="21"/>
                <w:szCs w:val="21"/>
                <w:u w:val="none"/>
                <w:lang w:val="en-US" w:eastAsia="zh-CN" w:bidi="ar"/>
              </w:rPr>
              <w:t xml:space="preserve">154,086,881.23 </w:t>
            </w:r>
          </w:p>
        </w:tc>
        <w:tc>
          <w:tcPr>
            <w:tcW w:w="1550" w:type="dxa"/>
            <w:vAlign w:val="center"/>
          </w:tcPr>
          <w:p>
            <w:pPr>
              <w:widowControl w:val="0"/>
              <w:jc w:val="right"/>
              <w:rPr>
                <w:rFonts w:ascii="Times New Roman" w:hAnsi="Times New Roman"/>
              </w:rPr>
            </w:pPr>
            <w:r>
              <w:rPr>
                <w:rFonts w:hint="eastAsia" w:ascii="Times New Roman" w:hAnsi="Times New Roman"/>
                <w:color w:val="auto"/>
              </w:rPr>
              <w:t>88,189,111.37</w:t>
            </w:r>
          </w:p>
        </w:tc>
        <w:sdt>
          <w:sdtPr>
            <w:rPr>
              <w:rFonts w:ascii="Times New Roman" w:hAnsi="Times New Roman"/>
            </w:rPr>
            <w:alias w:val="所有权或使用权受到限制的资产中固定资产受限类型"/>
            <w:tag w:val="_GBC_06125b96b8f94bab8a7c75824aa1da2e"/>
            <w:id w:val="840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tc>
              <w:tcPr>
                <w:tcW w:w="500" w:type="dxa"/>
                <w:vAlign w:val="center"/>
              </w:tcPr>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tc>
          </w:sdtContent>
        </w:sdt>
        <w:tc>
          <w:tcPr>
            <w:tcW w:w="688" w:type="dxa"/>
            <w:vAlign w:val="center"/>
          </w:tcPr>
          <w:p>
            <w:pPr>
              <w:widowControl w:val="0"/>
              <w:jc w:val="right"/>
              <w:rPr>
                <w:rFonts w:ascii="Times New Roman" w:hAnsi="Times New Roman"/>
              </w:rPr>
            </w:pPr>
            <w:r>
              <w:rPr>
                <w:rFonts w:ascii="Times New Roman" w:hAnsi="Times New Roman"/>
              </w:rPr>
              <w:t>银行借款抵押</w:t>
            </w:r>
          </w:p>
        </w:tc>
        <w:tc>
          <w:tcPr>
            <w:tcW w:w="1612" w:type="dxa"/>
            <w:vAlign w:val="center"/>
          </w:tcPr>
          <w:p>
            <w:pPr>
              <w:keepNext w:val="0"/>
              <w:keepLines w:val="0"/>
              <w:widowControl/>
              <w:suppressLineNumbers w:val="0"/>
              <w:jc w:val="right"/>
              <w:textAlignment w:val="top"/>
              <w:rPr>
                <w:rFonts w:ascii="Times New Roman" w:hAnsi="Times New Roman"/>
              </w:rPr>
            </w:pPr>
            <w:r>
              <w:rPr>
                <w:rFonts w:hint="default" w:ascii="Times New Roman" w:hAnsi="Times New Roman" w:eastAsia="宋体" w:cs="Times New Roman"/>
                <w:i w:val="0"/>
                <w:iCs w:val="0"/>
                <w:color w:val="000000"/>
                <w:kern w:val="0"/>
                <w:sz w:val="21"/>
                <w:szCs w:val="21"/>
                <w:u w:val="none"/>
                <w:lang w:val="en-US" w:eastAsia="zh-CN" w:bidi="ar"/>
              </w:rPr>
              <w:t>154,086,881.23</w:t>
            </w:r>
          </w:p>
        </w:tc>
        <w:tc>
          <w:tcPr>
            <w:tcW w:w="1550" w:type="dxa"/>
            <w:vAlign w:val="center"/>
          </w:tcPr>
          <w:p>
            <w:pPr>
              <w:widowControl w:val="0"/>
              <w:jc w:val="right"/>
              <w:rPr>
                <w:rFonts w:ascii="Times New Roman" w:hAnsi="Times New Roman"/>
              </w:rPr>
            </w:pPr>
            <w:r>
              <w:rPr>
                <w:rFonts w:hint="eastAsia" w:ascii="Times New Roman" w:hAnsi="Times New Roman"/>
                <w:color w:val="auto"/>
              </w:rPr>
              <w:t>91,798,114.49</w:t>
            </w:r>
          </w:p>
        </w:tc>
        <w:sdt>
          <w:sdtPr>
            <w:rPr>
              <w:rFonts w:ascii="Times New Roman" w:hAnsi="Times New Roman"/>
            </w:rPr>
            <w:alias w:val="所有权或使用权受到限制的资产中固定资产受限类型"/>
            <w:tag w:val="_GBC_4653956ebb03455fbf4fc622dd085525"/>
            <w:id w:val="840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tc>
              <w:tcPr>
                <w:tcW w:w="400" w:type="dxa"/>
                <w:vAlign w:val="center"/>
              </w:tcPr>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tc>
          </w:sdtContent>
        </w:sdt>
        <w:tc>
          <w:tcPr>
            <w:tcW w:w="800" w:type="dxa"/>
            <w:vAlign w:val="center"/>
          </w:tcPr>
          <w:p>
            <w:pPr>
              <w:widowControl w:val="0"/>
              <w:jc w:val="center"/>
              <w:rPr>
                <w:rFonts w:ascii="Times New Roman" w:hAnsi="Times New Roman"/>
              </w:rPr>
            </w:pPr>
            <w:r>
              <w:rPr>
                <w:rFonts w:ascii="Times New Roman" w:hAnsi="Times New Roman"/>
              </w:rPr>
              <w:t>银行借款抵押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3f94b4d6de194ad0a0a2985ed23a5514"/>
            <w:id w:val="8407"/>
          </w:sdtPr>
          <w:sdtEndPr>
            <w:rPr>
              <w:rFonts w:ascii="Times New Roman" w:hAnsi="Times New Roman"/>
            </w:rPr>
          </w:sdtEndPr>
          <w:sdtContent>
            <w:tc>
              <w:tcPr>
                <w:tcW w:w="457" w:type="dxa"/>
                <w:tcBorders>
                  <w:bottom w:val="single" w:color="auto" w:sz="4" w:space="0"/>
                </w:tcBorders>
              </w:tcPr>
              <w:p>
                <w:pPr>
                  <w:widowControl w:val="0"/>
                  <w:jc w:val="left"/>
                  <w:rPr>
                    <w:rFonts w:ascii="Times New Roman" w:hAnsi="Times New Roman"/>
                  </w:rPr>
                </w:pPr>
                <w:r>
                  <w:rPr>
                    <w:rFonts w:ascii="Times New Roman" w:hAnsi="Times New Roman"/>
                  </w:rPr>
                  <w:t>无形资产</w:t>
                </w:r>
              </w:p>
            </w:tc>
          </w:sdtContent>
        </w:sdt>
        <w:tc>
          <w:tcPr>
            <w:tcW w:w="1607" w:type="dxa"/>
            <w:vAlign w:val="center"/>
          </w:tcPr>
          <w:p>
            <w:pPr>
              <w:keepNext w:val="0"/>
              <w:keepLines w:val="0"/>
              <w:widowControl/>
              <w:suppressLineNumbers w:val="0"/>
              <w:jc w:val="right"/>
              <w:textAlignment w:val="top"/>
              <w:rPr>
                <w:rFonts w:ascii="Times New Roman" w:hAnsi="Times New Roman"/>
              </w:rPr>
            </w:pPr>
            <w:r>
              <w:rPr>
                <w:rFonts w:hint="default" w:ascii="Times New Roman" w:hAnsi="Times New Roman" w:eastAsia="宋体" w:cs="Times New Roman"/>
                <w:i w:val="0"/>
                <w:iCs w:val="0"/>
                <w:color w:val="000000"/>
                <w:kern w:val="0"/>
                <w:sz w:val="21"/>
                <w:szCs w:val="21"/>
                <w:u w:val="none"/>
                <w:lang w:val="en-US" w:eastAsia="zh-CN" w:bidi="ar"/>
              </w:rPr>
              <w:t xml:space="preserve">31,783,047.60 </w:t>
            </w:r>
          </w:p>
        </w:tc>
        <w:tc>
          <w:tcPr>
            <w:tcW w:w="1550" w:type="dxa"/>
            <w:vAlign w:val="center"/>
          </w:tcPr>
          <w:p>
            <w:pPr>
              <w:widowControl w:val="0"/>
              <w:jc w:val="right"/>
              <w:rPr>
                <w:rFonts w:ascii="Times New Roman" w:hAnsi="Times New Roman"/>
              </w:rPr>
            </w:pPr>
            <w:r>
              <w:rPr>
                <w:rFonts w:hint="eastAsia" w:ascii="Times New Roman" w:hAnsi="Times New Roman"/>
                <w:color w:val="auto"/>
              </w:rPr>
              <w:t>21,741,037.11</w:t>
            </w:r>
          </w:p>
        </w:tc>
        <w:sdt>
          <w:sdtPr>
            <w:rPr>
              <w:rFonts w:ascii="Times New Roman" w:hAnsi="Times New Roman"/>
            </w:rPr>
            <w:alias w:val="所有权或使用权受到限制的资产中无形资产受限类型"/>
            <w:tag w:val="_GBC_da0792b91f5f4dae85accc99dffeda1a"/>
            <w:id w:val="840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tc>
              <w:tcPr>
                <w:tcW w:w="500" w:type="dxa"/>
                <w:vAlign w:val="center"/>
              </w:tcPr>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tc>
          </w:sdtContent>
        </w:sdt>
        <w:tc>
          <w:tcPr>
            <w:tcW w:w="688" w:type="dxa"/>
            <w:vAlign w:val="center"/>
          </w:tcPr>
          <w:p>
            <w:pPr>
              <w:widowControl w:val="0"/>
              <w:jc w:val="right"/>
              <w:rPr>
                <w:rFonts w:ascii="Times New Roman" w:hAnsi="Times New Roman"/>
              </w:rPr>
            </w:pPr>
            <w:r>
              <w:rPr>
                <w:rFonts w:ascii="Times New Roman" w:hAnsi="Times New Roman"/>
              </w:rPr>
              <w:t>银行借款抵押</w:t>
            </w:r>
          </w:p>
        </w:tc>
        <w:tc>
          <w:tcPr>
            <w:tcW w:w="1612" w:type="dxa"/>
            <w:vAlign w:val="center"/>
          </w:tcPr>
          <w:p>
            <w:pPr>
              <w:keepNext w:val="0"/>
              <w:keepLines w:val="0"/>
              <w:widowControl/>
              <w:suppressLineNumbers w:val="0"/>
              <w:jc w:val="right"/>
              <w:textAlignment w:val="top"/>
              <w:rPr>
                <w:rFonts w:ascii="Times New Roman" w:hAnsi="Times New Roman"/>
              </w:rPr>
            </w:pPr>
            <w:r>
              <w:rPr>
                <w:rFonts w:hint="default" w:ascii="Times New Roman" w:hAnsi="Times New Roman" w:eastAsia="宋体" w:cs="Times New Roman"/>
                <w:i w:val="0"/>
                <w:iCs w:val="0"/>
                <w:color w:val="000000"/>
                <w:kern w:val="0"/>
                <w:sz w:val="21"/>
                <w:szCs w:val="21"/>
                <w:u w:val="none"/>
                <w:lang w:val="en-US" w:eastAsia="zh-CN" w:bidi="ar"/>
              </w:rPr>
              <w:t>31,783,047.60</w:t>
            </w:r>
          </w:p>
        </w:tc>
        <w:tc>
          <w:tcPr>
            <w:tcW w:w="1550" w:type="dxa"/>
            <w:vAlign w:val="center"/>
          </w:tcPr>
          <w:p>
            <w:pPr>
              <w:widowControl w:val="0"/>
              <w:jc w:val="right"/>
              <w:rPr>
                <w:rFonts w:ascii="Times New Roman" w:hAnsi="Times New Roman"/>
              </w:rPr>
            </w:pPr>
            <w:r>
              <w:rPr>
                <w:rFonts w:hint="eastAsia" w:ascii="Times New Roman" w:hAnsi="Times New Roman"/>
                <w:color w:val="auto"/>
              </w:rPr>
              <w:t>22,354,901.67</w:t>
            </w:r>
          </w:p>
        </w:tc>
        <w:sdt>
          <w:sdtPr>
            <w:rPr>
              <w:rFonts w:ascii="Times New Roman" w:hAnsi="Times New Roman"/>
            </w:rPr>
            <w:alias w:val="所有权或使用权受到限制的资产中无形资产受限类型"/>
            <w:tag w:val="_GBC_582c31043f694aa7955e363cef0c7fa3"/>
            <w:id w:val="840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ascii="Times New Roman" w:hAnsi="Times New Roman"/>
            </w:rPr>
          </w:sdtEndPr>
          <w:sdtContent>
            <w:tc>
              <w:tcPr>
                <w:tcW w:w="400" w:type="dxa"/>
                <w:vAlign w:val="center"/>
              </w:tcPr>
              <w:p>
                <w:pPr>
                  <w:widowControl w:val="0"/>
                  <w:jc w:val="right"/>
                  <w:rPr>
                    <w:rFonts w:ascii="Times New Roman" w:hAnsi="Times New Roman"/>
                  </w:rPr>
                </w:pPr>
                <w:r>
                  <w:rPr>
                    <w:rFonts w:ascii="Times New Roman" w:hAnsi="Times New Roman" w:eastAsia="宋体" w:cs="宋体"/>
                    <w:sz w:val="21"/>
                    <w:szCs w:val="24"/>
                    <w:lang w:val="en-US" w:eastAsia="zh-CN" w:bidi="ar-SA"/>
                  </w:rPr>
                  <w:t>抵押</w:t>
                </w:r>
              </w:p>
            </w:tc>
          </w:sdtContent>
        </w:sdt>
        <w:tc>
          <w:tcPr>
            <w:tcW w:w="800" w:type="dxa"/>
            <w:vAlign w:val="center"/>
          </w:tcPr>
          <w:p>
            <w:pPr>
              <w:widowControl w:val="0"/>
              <w:jc w:val="center"/>
              <w:rPr>
                <w:rFonts w:ascii="Times New Roman" w:hAnsi="Times New Roman"/>
              </w:rPr>
            </w:pPr>
            <w:r>
              <w:rPr>
                <w:rFonts w:ascii="Times New Roman" w:hAnsi="Times New Roman"/>
              </w:rPr>
              <w:t>银行借款抵押</w:t>
            </w:r>
          </w:p>
        </w:tc>
      </w:tr>
      <w:sdt>
        <w:sdtPr>
          <w:rPr>
            <w:rFonts w:ascii="Times New Roman" w:hAnsi="Times New Roman"/>
          </w:rPr>
          <w:alias w:val="所有权或使用权受到限制的资产明细"/>
          <w:tag w:val="_TUP_02f2f91830b246a985905baa2e0da6b3"/>
          <w:id w:val="8410"/>
          <w:placeholder>
            <w:docPart w:val="{67d01da3-03bc-4fc4-9091-8f597d587c45}"/>
          </w:placeholder>
        </w:sdtPr>
        <w:sdtEndPr>
          <w:rPr>
            <w:rFonts w:ascii="Times New Roman" w:hAnsi="Times New Roman"/>
          </w:rPr>
        </w:sdtEndPr>
        <w:sdtContent>
          <w:sdt>
            <w:sdtPr>
              <w:rPr>
                <w:rFonts w:ascii="Times New Roman" w:hAnsi="Times New Roman"/>
              </w:rPr>
              <w:alias w:val="所有权或使用权受到限制的资产明细"/>
              <w:tag w:val="_TUP_02f2f91830b246a985905baa2e0da6b3"/>
              <w:id w:val="8411"/>
              <w:placeholder>
                <w:docPart w:val="{67d01da3-03bc-4fc4-9091-8f597d587c45}"/>
              </w:placeholder>
            </w:sdtPr>
            <w:sdtEndPr>
              <w:rPr>
                <w:rFonts w:ascii="Times New Roman" w:hAnsi="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pPr>
                      <w:widowControl w:val="0"/>
                      <w:jc w:val="center"/>
                      <w:rPr>
                        <w:rFonts w:ascii="Times New Roman" w:hAnsi="Times New Roman"/>
                      </w:rPr>
                    </w:pPr>
                    <w:r>
                      <w:rPr>
                        <w:rFonts w:ascii="Times New Roman" w:hAnsi="Times New Roman"/>
                      </w:rPr>
                      <w:t>合计</w:t>
                    </w:r>
                  </w:p>
                </w:tc>
                <w:tc>
                  <w:tcPr>
                    <w:tcW w:w="1607" w:type="dxa"/>
                    <w:vAlign w:val="center"/>
                  </w:tcPr>
                  <w:p>
                    <w:pPr>
                      <w:widowControl w:val="0"/>
                      <w:jc w:val="right"/>
                      <w:rPr>
                        <w:rFonts w:hint="eastAsia" w:ascii="Times New Roman" w:hAnsi="Times New Roman" w:eastAsia="宋体"/>
                        <w:lang w:eastAsia="zh-CN"/>
                      </w:rPr>
                    </w:pPr>
                    <w:r>
                      <w:rPr>
                        <w:rFonts w:hint="eastAsia" w:ascii="Times New Roman" w:hAnsi="Times New Roman"/>
                        <w:color w:val="auto"/>
                        <w:lang w:eastAsia="zh-CN"/>
                      </w:rPr>
                      <w:t>185,872,928.83</w:t>
                    </w:r>
                  </w:p>
                </w:tc>
                <w:tc>
                  <w:tcPr>
                    <w:tcW w:w="1550" w:type="dxa"/>
                    <w:vAlign w:val="center"/>
                  </w:tcPr>
                  <w:p>
                    <w:pPr>
                      <w:widowControl w:val="0"/>
                      <w:jc w:val="right"/>
                      <w:rPr>
                        <w:rFonts w:ascii="Times New Roman" w:hAnsi="Times New Roman"/>
                      </w:rPr>
                    </w:pPr>
                    <w:r>
                      <w:rPr>
                        <w:rFonts w:hint="eastAsia" w:ascii="Times New Roman" w:hAnsi="Times New Roman"/>
                        <w:color w:val="auto"/>
                      </w:rPr>
                      <w:t>109,933,148.48</w:t>
                    </w:r>
                  </w:p>
                </w:tc>
                <w:tc>
                  <w:tcPr>
                    <w:tcW w:w="500" w:type="dxa"/>
                    <w:vAlign w:val="center"/>
                  </w:tcPr>
                  <w:p>
                    <w:pPr>
                      <w:widowControl w:val="0"/>
                      <w:jc w:val="right"/>
                      <w:rPr>
                        <w:rFonts w:ascii="Times New Roman" w:hAnsi="Times New Roman"/>
                      </w:rPr>
                    </w:pPr>
                    <w:r>
                      <w:rPr>
                        <w:rFonts w:ascii="Times New Roman" w:hAnsi="Times New Roman"/>
                      </w:rPr>
                      <w:t>/</w:t>
                    </w:r>
                  </w:p>
                </w:tc>
                <w:tc>
                  <w:tcPr>
                    <w:tcW w:w="688" w:type="dxa"/>
                    <w:vAlign w:val="center"/>
                  </w:tcPr>
                  <w:p>
                    <w:pPr>
                      <w:widowControl w:val="0"/>
                      <w:jc w:val="right"/>
                      <w:rPr>
                        <w:rFonts w:ascii="Times New Roman" w:hAnsi="Times New Roman"/>
                      </w:rPr>
                    </w:pPr>
                    <w:r>
                      <w:rPr>
                        <w:rFonts w:ascii="Times New Roman" w:hAnsi="Times New Roman"/>
                      </w:rPr>
                      <w:t>/</w:t>
                    </w:r>
                  </w:p>
                </w:tc>
                <w:tc>
                  <w:tcPr>
                    <w:tcW w:w="1612" w:type="dxa"/>
                    <w:vAlign w:val="center"/>
                  </w:tcPr>
                  <w:p>
                    <w:pPr>
                      <w:widowControl w:val="0"/>
                      <w:jc w:val="right"/>
                      <w:rPr>
                        <w:rFonts w:hint="eastAsia" w:ascii="Times New Roman" w:hAnsi="Times New Roman" w:eastAsia="宋体"/>
                        <w:lang w:eastAsia="zh-CN"/>
                      </w:rPr>
                    </w:pPr>
                    <w:r>
                      <w:rPr>
                        <w:rFonts w:hint="eastAsia" w:ascii="Times New Roman" w:hAnsi="Times New Roman"/>
                        <w:color w:val="auto"/>
                        <w:lang w:eastAsia="zh-CN"/>
                      </w:rPr>
                      <w:t>186,008,478.88</w:t>
                    </w:r>
                  </w:p>
                </w:tc>
                <w:tc>
                  <w:tcPr>
                    <w:tcW w:w="1550" w:type="dxa"/>
                    <w:vAlign w:val="center"/>
                  </w:tcPr>
                  <w:p>
                    <w:pPr>
                      <w:widowControl w:val="0"/>
                      <w:jc w:val="right"/>
                      <w:rPr>
                        <w:rFonts w:ascii="Times New Roman" w:hAnsi="Times New Roman"/>
                      </w:rPr>
                    </w:pPr>
                    <w:r>
                      <w:rPr>
                        <w:rFonts w:hint="eastAsia" w:ascii="Times New Roman" w:hAnsi="Times New Roman"/>
                        <w:color w:val="auto"/>
                      </w:rPr>
                      <w:t>114,291,566.21</w:t>
                    </w:r>
                  </w:p>
                </w:tc>
                <w:tc>
                  <w:tcPr>
                    <w:tcW w:w="400" w:type="dxa"/>
                    <w:vAlign w:val="center"/>
                  </w:tcPr>
                  <w:p>
                    <w:pPr>
                      <w:widowControl w:val="0"/>
                      <w:jc w:val="right"/>
                      <w:rPr>
                        <w:rFonts w:ascii="Times New Roman" w:hAnsi="Times New Roman"/>
                      </w:rPr>
                    </w:pPr>
                    <w:r>
                      <w:rPr>
                        <w:rFonts w:ascii="Times New Roman" w:hAnsi="Times New Roman"/>
                      </w:rPr>
                      <w:t>/</w:t>
                    </w:r>
                  </w:p>
                </w:tc>
                <w:tc>
                  <w:tcPr>
                    <w:tcW w:w="800" w:type="dxa"/>
                    <w:vAlign w:val="center"/>
                  </w:tcPr>
                  <w:p>
                    <w:pPr>
                      <w:widowControl w:val="0"/>
                      <w:jc w:val="right"/>
                      <w:rPr>
                        <w:rFonts w:ascii="Times New Roman" w:hAnsi="Times New Roman"/>
                      </w:rPr>
                    </w:pPr>
                    <w:r>
                      <w:rPr>
                        <w:rFonts w:ascii="Times New Roman" w:hAnsi="Times New Roman"/>
                      </w:rPr>
                      <w:t>/</w:t>
                    </w:r>
                  </w:p>
                </w:tc>
              </w:tr>
            </w:sdtContent>
          </w:sdt>
        </w:sdtContent>
      </w:sdt>
    </w:tbl>
    <w:p/>
    <w:p/>
    <w:p/>
    <w:p>
      <w:pPr>
        <w:spacing w:before="60" w:after="60"/>
        <w:rPr>
          <w:szCs w:val="21"/>
        </w:rPr>
      </w:pPr>
      <w:r>
        <w:rPr>
          <w:rFonts w:hint="eastAsia"/>
          <w:szCs w:val="21"/>
        </w:rPr>
        <w:t>其他说明：</w:t>
      </w:r>
    </w:p>
    <w:p>
      <w:pPr>
        <w:rPr>
          <w:szCs w:val="21"/>
        </w:rPr>
      </w:pPr>
    </w:p>
    <w:p>
      <w:pPr>
        <w:rPr>
          <w:szCs w:val="21"/>
        </w:rPr>
      </w:pPr>
    </w:p>
    <w:p>
      <w:pPr>
        <w:pStyle w:val="229"/>
        <w:numPr>
          <w:ilvl w:val="0"/>
          <w:numId w:val="71"/>
        </w:numPr>
        <w:tabs>
          <w:tab w:val="left" w:pos="504"/>
        </w:tabs>
        <w:rPr>
          <w:rFonts w:ascii="宋体" w:hAnsi="宋体"/>
          <w:szCs w:val="21"/>
        </w:rPr>
      </w:pPr>
      <w:r>
        <w:rPr>
          <w:rFonts w:hint="eastAsia" w:ascii="宋体" w:hAnsi="宋体"/>
          <w:szCs w:val="21"/>
        </w:rPr>
        <w:t>短期借款</w:t>
      </w:r>
    </w:p>
    <w:p>
      <w:pPr>
        <w:pStyle w:val="196"/>
        <w:numPr>
          <w:ilvl w:val="0"/>
          <w:numId w:val="93"/>
        </w:numPr>
        <w:ind w:left="426" w:hanging="426"/>
      </w:pPr>
      <w:r>
        <w:rPr>
          <w:rFonts w:hint="eastAsia"/>
        </w:rPr>
        <w:t>短期借款分类</w:t>
      </w:r>
    </w:p>
    <w:sdt>
      <w:sdtPr>
        <w:alias w:val="是否适用：短期借款分类[双击切换]"/>
        <w:tag w:val="_GBC_d7624f1054024527b72d59c4122e81cb"/>
        <w:id w:val="2725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借款分类"/>
          <w:tag w:val="_GBC_8d30fbb8785645499f9234dccd6e5b81"/>
          <w:id w:val="272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72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7d518e78e06f4dc9b46aae7b6b47fd01"/>
            <w:id w:val="27253"/>
          </w:sdtPr>
          <w:sdtContent>
            <w:tc>
              <w:tcPr>
                <w:tcW w:w="1613" w:type="pct"/>
                <w:vAlign w:val="center"/>
              </w:tcPr>
              <w:p>
                <w:pPr>
                  <w:autoSpaceDE w:val="0"/>
                  <w:autoSpaceDN w:val="0"/>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sdtContent>
        </w:sdt>
        <w:sdt>
          <w:sdtPr>
            <w:tag w:val="_PLD_cda187315847461e8ed854d1807d3b14"/>
            <w:id w:val="27254"/>
          </w:sdtPr>
          <w:sdtContent>
            <w:tc>
              <w:tcPr>
                <w:tcW w:w="168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期末余额</w:t>
                </w:r>
              </w:p>
            </w:tc>
          </w:sdtContent>
        </w:sdt>
        <w:sdt>
          <w:sdtPr>
            <w:tag w:val="_PLD_805e4b849be14c0ab0ca7f324971119b"/>
            <w:id w:val="27255"/>
          </w:sdtPr>
          <w:sdtContent>
            <w:tc>
              <w:tcPr>
                <w:tcW w:w="169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质押借款</w:t>
            </w:r>
          </w:p>
        </w:tc>
        <w:tc>
          <w:tcPr>
            <w:tcW w:w="1688" w:type="pct"/>
            <w:shd w:val="clear" w:color="auto" w:fill="auto"/>
          </w:tcPr>
          <w:p>
            <w:pPr>
              <w:autoSpaceDE w:val="0"/>
              <w:autoSpaceDN w:val="0"/>
              <w:adjustRightInd w:val="0"/>
              <w:snapToGrid w:val="0"/>
              <w:spacing w:line="240" w:lineRule="atLeast"/>
              <w:ind w:right="180"/>
              <w:jc w:val="right"/>
              <w:rPr>
                <w:szCs w:val="21"/>
              </w:rPr>
            </w:pPr>
          </w:p>
        </w:tc>
        <w:tc>
          <w:tcPr>
            <w:tcW w:w="1698" w:type="pct"/>
            <w:shd w:val="clear" w:color="auto" w:fill="auto"/>
          </w:tcPr>
          <w:p>
            <w:pPr>
              <w:autoSpaceDE w:val="0"/>
              <w:autoSpaceDN w:val="0"/>
              <w:adjustRightInd w:val="0"/>
              <w:snapToGrid w:val="0"/>
              <w:spacing w:line="240" w:lineRule="atLeast"/>
              <w:ind w:right="180"/>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抵押借款</w:t>
            </w:r>
          </w:p>
        </w:tc>
        <w:tc>
          <w:tcPr>
            <w:tcW w:w="1688" w:type="pct"/>
            <w:shd w:val="clear" w:color="auto" w:fill="auto"/>
          </w:tcPr>
          <w:p>
            <w:pPr>
              <w:autoSpaceDE w:val="0"/>
              <w:autoSpaceDN w:val="0"/>
              <w:adjustRightInd w:val="0"/>
              <w:snapToGrid w:val="0"/>
              <w:spacing w:line="240" w:lineRule="atLeast"/>
              <w:ind w:right="180"/>
              <w:jc w:val="right"/>
              <w:rPr>
                <w:rFonts w:hint="default" w:ascii="Times New Roman" w:hAnsi="Times New Roman" w:cs="Times New Roman"/>
                <w:szCs w:val="21"/>
              </w:rPr>
            </w:pPr>
            <w:r>
              <w:rPr>
                <w:rFonts w:hint="default" w:ascii="Times New Roman" w:hAnsi="Times New Roman" w:cs="Times New Roman"/>
              </w:rPr>
              <w:t> 25,000,000.00</w:t>
            </w:r>
          </w:p>
        </w:tc>
        <w:tc>
          <w:tcPr>
            <w:tcW w:w="1698" w:type="pct"/>
            <w:shd w:val="clear" w:color="auto" w:fill="auto"/>
          </w:tcPr>
          <w:p>
            <w:pPr>
              <w:autoSpaceDE w:val="0"/>
              <w:autoSpaceDN w:val="0"/>
              <w:adjustRightInd w:val="0"/>
              <w:snapToGrid w:val="0"/>
              <w:spacing w:line="240" w:lineRule="atLeast"/>
              <w:ind w:right="180"/>
              <w:jc w:val="right"/>
              <w:rPr>
                <w:rFonts w:hint="default" w:ascii="Times New Roman" w:hAnsi="Times New Roman" w:cs="Times New Roman"/>
                <w:szCs w:val="21"/>
              </w:rPr>
            </w:pPr>
            <w:r>
              <w:rPr>
                <w:rFonts w:hint="default" w:ascii="Times New Roman" w:hAnsi="Times New Roman" w:cs="Times New Roman"/>
              </w:rPr>
              <w:t>15,000,000.00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保证借款</w:t>
            </w:r>
          </w:p>
        </w:tc>
        <w:tc>
          <w:tcPr>
            <w:tcW w:w="1688" w:type="pct"/>
            <w:shd w:val="clear" w:color="auto" w:fill="auto"/>
          </w:tcPr>
          <w:p>
            <w:pPr>
              <w:autoSpaceDE w:val="0"/>
              <w:autoSpaceDN w:val="0"/>
              <w:adjustRightInd w:val="0"/>
              <w:snapToGrid w:val="0"/>
              <w:spacing w:line="240" w:lineRule="atLeast"/>
              <w:ind w:right="180"/>
              <w:jc w:val="right"/>
              <w:rPr>
                <w:rFonts w:hint="default" w:ascii="Times New Roman" w:hAnsi="Times New Roman" w:cs="Times New Roman"/>
                <w:szCs w:val="21"/>
              </w:rPr>
            </w:pPr>
          </w:p>
        </w:tc>
        <w:tc>
          <w:tcPr>
            <w:tcW w:w="1698" w:type="pct"/>
            <w:shd w:val="clear" w:color="auto" w:fill="auto"/>
          </w:tcPr>
          <w:p>
            <w:pPr>
              <w:autoSpaceDE w:val="0"/>
              <w:autoSpaceDN w:val="0"/>
              <w:adjustRightInd w:val="0"/>
              <w:snapToGrid w:val="0"/>
              <w:spacing w:line="240" w:lineRule="atLeast"/>
              <w:ind w:right="180"/>
              <w:jc w:val="right"/>
              <w:rPr>
                <w:rFonts w:hint="default" w:ascii="Times New Roman" w:hAnsi="Times New Roman" w:cs="Times New Roman"/>
                <w:szCs w:val="21"/>
              </w:rPr>
            </w:pPr>
            <w:r>
              <w:rPr>
                <w:rFonts w:hint="default" w:ascii="Times New Roman" w:hAnsi="Times New Roman" w:cs="Times New Roman"/>
              </w:rPr>
              <w:t>13,000,000.00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shd w:val="clear" w:color="auto" w:fill="auto"/>
          </w:tcPr>
          <w:p>
            <w:pPr>
              <w:autoSpaceDE w:val="0"/>
              <w:autoSpaceDN w:val="0"/>
              <w:adjustRightInd w:val="0"/>
              <w:snapToGrid w:val="0"/>
              <w:spacing w:line="240" w:lineRule="atLeast"/>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信用借款</w:t>
            </w:r>
          </w:p>
        </w:tc>
        <w:tc>
          <w:tcPr>
            <w:tcW w:w="1688" w:type="pct"/>
            <w:shd w:val="clear" w:color="auto" w:fill="auto"/>
          </w:tcPr>
          <w:p>
            <w:pPr>
              <w:autoSpaceDE w:val="0"/>
              <w:autoSpaceDN w:val="0"/>
              <w:adjustRightInd w:val="0"/>
              <w:snapToGrid w:val="0"/>
              <w:spacing w:line="240" w:lineRule="atLeast"/>
              <w:ind w:right="180"/>
              <w:jc w:val="right"/>
              <w:rPr>
                <w:rFonts w:hint="default" w:ascii="Times New Roman" w:hAnsi="Times New Roman" w:cs="Times New Roman"/>
              </w:rPr>
            </w:pPr>
            <w:r>
              <w:rPr>
                <w:rFonts w:hint="default" w:ascii="Times New Roman" w:hAnsi="Times New Roman" w:cs="Times New Roman"/>
              </w:rPr>
              <w:t> 33,000,000.00</w:t>
            </w:r>
          </w:p>
        </w:tc>
        <w:tc>
          <w:tcPr>
            <w:tcW w:w="1698" w:type="pct"/>
            <w:shd w:val="clear" w:color="auto" w:fill="auto"/>
          </w:tcPr>
          <w:p>
            <w:pPr>
              <w:autoSpaceDE w:val="0"/>
              <w:autoSpaceDN w:val="0"/>
              <w:adjustRightInd w:val="0"/>
              <w:snapToGrid w:val="0"/>
              <w:spacing w:line="240" w:lineRule="atLeast"/>
              <w:ind w:right="180"/>
              <w:jc w:val="right"/>
              <w:rPr>
                <w:rFonts w:hint="default" w:ascii="Times New Roman" w:hAnsi="Times New Roman" w:cs="Times New Roman"/>
                <w:szCs w:val="21"/>
              </w:rPr>
            </w:pPr>
            <w:r>
              <w:rPr>
                <w:rFonts w:hint="default" w:ascii="Times New Roman" w:hAnsi="Times New Roman" w:cs="Times New Roman"/>
              </w:rPr>
              <w:t>15,000,000.00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pPr>
              <w:autoSpaceDE w:val="0"/>
              <w:autoSpaceDN w:val="0"/>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688" w:type="pct"/>
          </w:tcPr>
          <w:p>
            <w:pPr>
              <w:autoSpaceDE w:val="0"/>
              <w:autoSpaceDN w:val="0"/>
              <w:adjustRightInd w:val="0"/>
              <w:snapToGrid w:val="0"/>
              <w:spacing w:line="240" w:lineRule="atLeast"/>
              <w:ind w:right="180"/>
              <w:jc w:val="right"/>
              <w:rPr>
                <w:rFonts w:hint="default" w:ascii="Times New Roman" w:hAnsi="Times New Roman" w:cs="Times New Roman"/>
              </w:rPr>
            </w:pPr>
            <w:r>
              <w:rPr>
                <w:rFonts w:hint="default" w:ascii="Times New Roman" w:hAnsi="Times New Roman" w:cs="Times New Roman"/>
              </w:rPr>
              <w:t>58,000,000.00</w:t>
            </w:r>
          </w:p>
        </w:tc>
        <w:tc>
          <w:tcPr>
            <w:tcW w:w="1698" w:type="pct"/>
          </w:tcPr>
          <w:p>
            <w:pPr>
              <w:autoSpaceDE w:val="0"/>
              <w:autoSpaceDN w:val="0"/>
              <w:adjustRightInd w:val="0"/>
              <w:snapToGrid w:val="0"/>
              <w:spacing w:line="240" w:lineRule="atLeast"/>
              <w:ind w:right="180"/>
              <w:jc w:val="right"/>
              <w:rPr>
                <w:rFonts w:hint="default" w:ascii="Times New Roman" w:hAnsi="Times New Roman" w:cs="Times New Roman"/>
                <w:szCs w:val="21"/>
              </w:rPr>
            </w:pPr>
            <w:r>
              <w:rPr>
                <w:rFonts w:hint="default" w:ascii="Times New Roman" w:hAnsi="Times New Roman" w:cs="Times New Roman"/>
              </w:rPr>
              <w:t>43,000,000.00</w:t>
            </w:r>
          </w:p>
        </w:tc>
      </w:tr>
    </w:tbl>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rPr>
      </w:pPr>
      <w:r>
        <w:rPr>
          <w:rFonts w:hint="eastAsia" w:ascii="Times New Roman" w:hAnsi="Times New Roman"/>
          <w:sz w:val="21"/>
        </w:rPr>
        <w:t>短期借款分类的说明：</w:t>
      </w:r>
    </w:p>
    <w:sdt>
      <w:sdtPr>
        <w:rPr>
          <w:rFonts w:hint="eastAsia" w:ascii="Times New Roman" w:hAnsi="Times New Roman"/>
          <w:sz w:val="21"/>
        </w:rPr>
        <w:alias w:val="短期借款分类的说明"/>
        <w:tag w:val="_GBC_39c88fc069c44763b7ed661bff072142"/>
        <w:id w:val="27256"/>
        <w:placeholder>
          <w:docPart w:val="GBC22222222222222222222222222222"/>
        </w:placeholder>
      </w:sdtPr>
      <w:sdtEndPr>
        <w:rPr>
          <w:rFonts w:hint="eastAsia" w:ascii="Times New Roman" w:hAnsi="Times New Roman"/>
          <w:sz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rPr>
          </w:pPr>
          <w:r>
            <w:rPr>
              <w:rFonts w:hint="eastAsia" w:ascii="Times New Roman" w:hAnsi="Times New Roman"/>
              <w:sz w:val="21"/>
            </w:rPr>
            <w:t>注：（1）公司与中国工商银行股份有限公司柳州支行城中支行签订《最高额抵押合同》，自2019年5月20日至2024年5月31日期间，在人民币9,800万元的最高本金余额内借款。公司抵押房屋建筑物（柳房权证字第D0155913号、柳房权证字第D0205393号）的原值为90,498,034.69元，账面价值为  63,189,591.45元；土地使用权（柳国用[2005]第117099号），账面原值31,783,047.60元，账面价值为21,741,037.11元。</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lang w:val="en-US" w:eastAsia="zh-CN"/>
            </w:rPr>
          </w:pPr>
          <w:r>
            <w:rPr>
              <w:rFonts w:hint="eastAsia" w:ascii="Times New Roman" w:hAnsi="Times New Roman"/>
              <w:sz w:val="21"/>
              <w:lang w:val="en-US" w:eastAsia="zh-CN"/>
            </w:rPr>
            <w:t>（2）公司与中国银行股份有限公司柳州分行签订《最高额抵押合同》，自2022年11月24日至2025年10月23日期间，在人民币5,073.69万元的最高本金余额内借款。公司抵押房屋建筑物（柳房权证字第1028651号、柳房权证字第1028654号、柳房权证字第1028656号、柳房权证字第1044071号、柳房权证字第1106801号、柳房权证字第A0067718号）的原值为63,588,846.54元、账面价值为24,999,519.92元；土地使用权（柳国用[94公]字第03472号），该土地使用权价值早期在固定资产核算，无法分拆出其账面价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lang w:val="en-US" w:eastAsia="zh-CN"/>
            </w:rPr>
          </w:pPr>
          <w:r>
            <w:rPr>
              <w:rFonts w:hint="eastAsia" w:ascii="Times New Roman" w:hAnsi="Times New Roman"/>
              <w:sz w:val="21"/>
              <w:lang w:val="en-US" w:eastAsia="zh-CN"/>
            </w:rPr>
            <w:t>（3）本公司为子公司广西两面针亿康药业股份有限公司1300万元借款向柳州银行股份有限公司提供保证担保。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rPr>
          </w:pPr>
        </w:p>
      </w:sdtContent>
    </w:sdt>
    <w:p>
      <w:pPr>
        <w:snapToGrid w:val="0"/>
        <w:spacing w:line="240" w:lineRule="atLeast"/>
        <w:rPr>
          <w:color w:val="000000" w:themeColor="text1"/>
          <w:szCs w:val="21"/>
          <w14:textFill>
            <w14:solidFill>
              <w14:schemeClr w14:val="tx1"/>
            </w14:solidFill>
          </w14:textFill>
        </w:rPr>
      </w:pPr>
    </w:p>
    <w:p>
      <w:pPr>
        <w:pStyle w:val="196"/>
        <w:numPr>
          <w:ilvl w:val="0"/>
          <w:numId w:val="93"/>
        </w:numPr>
        <w:ind w:left="426" w:hanging="426"/>
      </w:pPr>
      <w:r>
        <w:rPr>
          <w:rFonts w:hint="eastAsia"/>
        </w:rPr>
        <w:t>已逾期未偿还的短期借款情况</w:t>
      </w:r>
    </w:p>
    <w:sdt>
      <w:sdtPr>
        <w:alias w:val="是否适用：已逾期未偿还的短期借款情况[双击切换]"/>
        <w:tag w:val="_GBC_b92057263cbf4b81a96df7b9d664c576"/>
        <w:id w:val="27257"/>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t>其中重要的已逾期未偿还的短期借款情况如下：</w:t>
      </w:r>
    </w:p>
    <w:sdt>
      <w:sdtPr>
        <w:alias w:val="是否适用：其中重要的已逾期未偿还的短期借款情况[双击切换]"/>
        <w:tag w:val="_GBC_7c9437a678604c0382802a3e97f4d126"/>
        <w:id w:val="27258"/>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其他说明</w:t>
      </w:r>
    </w:p>
    <w:sdt>
      <w:sdtPr>
        <w:rPr>
          <w:szCs w:val="21"/>
        </w:rPr>
        <w:alias w:val="是否适用：短期借款的说明[双击切换]"/>
        <w:tag w:val="_GBC_c52256f82238457bbb4708bc99652730"/>
        <w:id w:val="27259"/>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tabs>
          <w:tab w:val="left" w:pos="504"/>
        </w:tabs>
        <w:rPr>
          <w:szCs w:val="21"/>
        </w:rPr>
      </w:pPr>
      <w:bookmarkStart w:id="276" w:name="_Hlk533422954"/>
      <w:bookmarkStart w:id="277" w:name="_Hlk533670147"/>
      <w:r>
        <w:rPr>
          <w:rFonts w:hint="eastAsia"/>
          <w:szCs w:val="21"/>
        </w:rPr>
        <w:t>交易性金融负债</w:t>
      </w:r>
    </w:p>
    <w:sdt>
      <w:sdtPr>
        <w:rPr>
          <w:szCs w:val="21"/>
        </w:rPr>
        <w:alias w:val="是否适用：交易性金融负债[双击切换]"/>
        <w:tag w:val="_GBC_c7e98597070f45a4a30160e35e818445"/>
        <w:id w:val="27260"/>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r>
        <w:rPr>
          <w:rFonts w:hint="eastAsia"/>
        </w:rPr>
        <w:t>其他</w:t>
      </w:r>
      <w:r>
        <w:t>说明</w:t>
      </w:r>
      <w:r>
        <w:rPr>
          <w:rFonts w:hint="eastAsia"/>
        </w:rPr>
        <w:t>：</w:t>
      </w:r>
    </w:p>
    <w:sdt>
      <w:sdtPr>
        <w:rPr>
          <w:szCs w:val="21"/>
        </w:rPr>
        <w:alias w:val="是否适用：交易性金融负债的说明[双击切换]"/>
        <w:tag w:val="_GBC_995f4c24d1994336b676a94c12f11d69"/>
        <w:id w:val="2726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76"/>
    <w:bookmarkEnd w:id="277"/>
    <w:p>
      <w:pPr>
        <w:pStyle w:val="229"/>
        <w:numPr>
          <w:ilvl w:val="0"/>
          <w:numId w:val="71"/>
        </w:numPr>
        <w:tabs>
          <w:tab w:val="left" w:pos="504"/>
        </w:tabs>
        <w:rPr>
          <w:szCs w:val="21"/>
        </w:rPr>
      </w:pPr>
      <w:r>
        <w:rPr>
          <w:rFonts w:hint="eastAsia"/>
          <w:szCs w:val="21"/>
        </w:rPr>
        <w:t>衍生</w:t>
      </w:r>
      <w:r>
        <w:rPr>
          <w:rFonts w:hint="eastAsia"/>
        </w:rPr>
        <w:t>金融</w:t>
      </w:r>
      <w:r>
        <w:rPr>
          <w:rFonts w:hint="eastAsia"/>
          <w:szCs w:val="21"/>
        </w:rPr>
        <w:t>负债</w:t>
      </w:r>
    </w:p>
    <w:p>
      <w:pPr>
        <w:outlineLvl w:val="9"/>
        <w:rPr>
          <w:szCs w:val="21"/>
        </w:rPr>
      </w:pPr>
      <w:sdt>
        <w:sdtPr>
          <w:rPr>
            <w:szCs w:val="21"/>
          </w:rPr>
          <w:alias w:val="是否适用：衍生金融负债[双击切换]"/>
          <w:tag w:val="_GBC_9a70de9cca174edeb1bce62f4a47d15c"/>
          <w:id w:val="27262"/>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Pr>
        <w:rPr>
          <w:szCs w:val="21"/>
        </w:rPr>
      </w:pPr>
    </w:p>
    <w:p>
      <w:pPr>
        <w:pStyle w:val="229"/>
        <w:numPr>
          <w:ilvl w:val="0"/>
          <w:numId w:val="71"/>
        </w:numPr>
        <w:tabs>
          <w:tab w:val="left" w:pos="504"/>
        </w:tabs>
        <w:rPr>
          <w:szCs w:val="21"/>
        </w:rPr>
      </w:pPr>
      <w:r>
        <w:rPr>
          <w:rFonts w:hint="eastAsia"/>
        </w:rPr>
        <w:t>应付票据</w:t>
      </w:r>
    </w:p>
    <w:p>
      <w:pPr>
        <w:pStyle w:val="196"/>
        <w:numPr>
          <w:ilvl w:val="0"/>
          <w:numId w:val="94"/>
        </w:numPr>
        <w:ind w:left="426" w:hanging="426"/>
      </w:pPr>
      <w:r>
        <w:rPr>
          <w:rFonts w:hint="eastAsia"/>
        </w:rPr>
        <w:t>应付票据列示</w:t>
      </w:r>
    </w:p>
    <w:sdt>
      <w:sdtPr>
        <w:alias w:val="是否适用：应付票据[双击切换]"/>
        <w:tag w:val="_GBC_c0116f9cd6f34dcfa483a1f112dac85a"/>
        <w:id w:val="27263"/>
        <w:lock w:val="contentLocked"/>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bookmarkStart w:id="278" w:name="_Hlk24103817"/>
      <w:r>
        <w:rPr>
          <w:rFonts w:hint="eastAsia"/>
        </w:rPr>
        <w:t>单位：</w:t>
      </w:r>
      <w:sdt>
        <w:sdtPr>
          <w:rPr>
            <w:rFonts w:hint="eastAsia"/>
          </w:rPr>
          <w:alias w:val="单位：财务附注：应付票据"/>
          <w:tag w:val="_GBC_15d55f1cad24473fb8cfaa98468213e2"/>
          <w:id w:val="272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27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51"/>
        <w:gridCol w:w="3398"/>
        <w:gridCol w:w="33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tag w:val="_PLD_73e624e5fe424f71bbf918594e2a1c9a"/>
            <w:id w:val="27266"/>
          </w:sdt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7267"/>
          </w:sdtPr>
          <w:sdtContent>
            <w:tc>
              <w:tcPr>
                <w:tcW w:w="18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27268"/>
          </w:sdtPr>
          <w:sdtContent>
            <w:tc>
              <w:tcPr>
                <w:tcW w:w="182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szCs w:val="21"/>
              </w:rPr>
            </w:pPr>
            <w:r>
              <w:rPr>
                <w:rFonts w:hint="eastAsia"/>
                <w:szCs w:val="21"/>
              </w:rPr>
              <w:t>商业承兑汇票</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szCs w:val="21"/>
              </w:rPr>
            </w:pPr>
          </w:p>
        </w:tc>
        <w:tc>
          <w:tcPr>
            <w:tcW w:w="1823" w:type="pct"/>
            <w:tcBorders>
              <w:top w:val="single" w:color="auto" w:sz="6" w:space="0"/>
              <w:left w:val="single" w:color="auto" w:sz="6" w:space="0"/>
              <w:bottom w:val="single" w:color="auto" w:sz="6" w:space="0"/>
              <w:right w:val="single" w:color="auto" w:sz="6" w:space="0"/>
            </w:tcBorders>
            <w:shd w:val="clear" w:color="auto" w:fill="auto"/>
          </w:tcPr>
          <w:p>
            <w:pPr>
              <w:jc w:val="right"/>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szCs w:val="21"/>
              </w:rPr>
            </w:pPr>
            <w:r>
              <w:rPr>
                <w:rFonts w:hint="eastAsia"/>
                <w:szCs w:val="21"/>
              </w:rPr>
              <w:t>银行承兑汇票</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szCs w:val="21"/>
              </w:rPr>
            </w:pPr>
          </w:p>
        </w:tc>
        <w:tc>
          <w:tcPr>
            <w:tcW w:w="1823" w:type="pct"/>
            <w:tcBorders>
              <w:top w:val="single" w:color="auto" w:sz="6" w:space="0"/>
              <w:left w:val="single" w:color="auto" w:sz="6" w:space="0"/>
              <w:bottom w:val="single" w:color="auto" w:sz="6" w:space="0"/>
              <w:right w:val="single" w:color="auto" w:sz="6" w:space="0"/>
            </w:tcBorders>
            <w:shd w:val="clear" w:color="auto" w:fill="auto"/>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138,550.05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合计</w:t>
            </w:r>
          </w:p>
        </w:tc>
        <w:tc>
          <w:tcPr>
            <w:tcW w:w="1877" w:type="pct"/>
            <w:tcBorders>
              <w:top w:val="single" w:color="auto" w:sz="6" w:space="0"/>
              <w:left w:val="single" w:color="auto" w:sz="6" w:space="0"/>
              <w:bottom w:val="single" w:color="auto" w:sz="6" w:space="0"/>
              <w:right w:val="single" w:color="auto" w:sz="6" w:space="0"/>
            </w:tcBorders>
          </w:tcPr>
          <w:p>
            <w:pPr>
              <w:jc w:val="right"/>
              <w:rPr>
                <w:szCs w:val="21"/>
              </w:rPr>
            </w:pPr>
          </w:p>
        </w:tc>
        <w:tc>
          <w:tcPr>
            <w:tcW w:w="1823" w:type="pct"/>
            <w:tcBorders>
              <w:top w:val="single" w:color="auto" w:sz="6" w:space="0"/>
              <w:left w:val="single" w:color="auto" w:sz="6" w:space="0"/>
              <w:bottom w:val="single" w:color="auto" w:sz="6" w:space="0"/>
              <w:right w:val="single" w:color="auto" w:sz="6" w:space="0"/>
            </w:tcBorders>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138,550.05</w:t>
            </w:r>
          </w:p>
        </w:tc>
      </w:tr>
    </w:tbl>
    <w:p>
      <w:pPr>
        <w:snapToGrid w:val="0"/>
        <w:spacing w:line="240" w:lineRule="atLeast"/>
        <w:rPr>
          <w:szCs w:val="21"/>
          <w:highlight w:val="none"/>
        </w:rPr>
      </w:pPr>
      <w:r>
        <w:rPr>
          <w:rFonts w:hint="eastAsia"/>
          <w:szCs w:val="21"/>
          <w:highlight w:val="none"/>
        </w:rPr>
        <w:t>本期末已到期未支付的应付票据总额为</w:t>
      </w:r>
      <w:sdt>
        <w:sdtPr>
          <w:rPr>
            <w:rFonts w:hint="eastAsia"/>
            <w:szCs w:val="21"/>
            <w:highlight w:val="none"/>
          </w:rPr>
          <w:alias w:val="已到期未支付的应付票据总额"/>
          <w:tag w:val="_GBC_0987f9272cb2419f937357595042911e"/>
          <w:id w:val="27269"/>
          <w:lock w:val="sdtLocked"/>
          <w:placeholder>
            <w:docPart w:val="GBC22222222222222222222222222222"/>
          </w:placeholder>
        </w:sdtPr>
        <w:sdtEndPr>
          <w:rPr>
            <w:rFonts w:hint="eastAsia"/>
            <w:szCs w:val="21"/>
            <w:highlight w:val="none"/>
          </w:rPr>
        </w:sdtEndPr>
        <w:sdtContent>
          <w:r>
            <w:rPr>
              <w:rFonts w:hint="eastAsia"/>
              <w:szCs w:val="21"/>
              <w:highlight w:val="none"/>
              <w:lang w:eastAsia="zh-CN"/>
            </w:rPr>
            <w:t>0</w:t>
          </w:r>
        </w:sdtContent>
      </w:sdt>
      <w:r>
        <w:rPr>
          <w:rFonts w:hint="eastAsia"/>
          <w:szCs w:val="21"/>
          <w:highlight w:val="none"/>
        </w:rPr>
        <w:t xml:space="preserve"> </w:t>
      </w:r>
      <w:sdt>
        <w:sdtPr>
          <w:rPr>
            <w:rFonts w:hint="eastAsia"/>
            <w:szCs w:val="21"/>
            <w:highlight w:val="none"/>
          </w:rPr>
          <w:alias w:val="单位：财务附注：应付票据"/>
          <w:tag w:val="_GBC_f1610b1fed6e494b87377ce35347d10d"/>
          <w:id w:val="272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highlight w:val="none"/>
          </w:rPr>
        </w:sdtEndPr>
        <w:sdtContent>
          <w:r>
            <w:rPr>
              <w:rFonts w:hint="eastAsia"/>
              <w:szCs w:val="21"/>
              <w:highlight w:val="none"/>
            </w:rPr>
            <w:t>元</w:t>
          </w:r>
        </w:sdtContent>
      </w:sdt>
      <w:r>
        <w:rPr>
          <w:rFonts w:hint="eastAsia"/>
          <w:szCs w:val="21"/>
          <w:highlight w:val="none"/>
        </w:rPr>
        <w:t>。到期未付的原因是</w:t>
      </w:r>
      <w:sdt>
        <w:sdtPr>
          <w:rPr>
            <w:rFonts w:hint="eastAsia"/>
            <w:szCs w:val="21"/>
            <w:highlight w:val="none"/>
          </w:rPr>
          <w:alias w:val="应付票据到期未付的原因"/>
          <w:tag w:val="_GBC_7f73cbd02b7f4388af4ef7afbedd1152"/>
          <w:id w:val="27271"/>
          <w:lock w:val="sdtLocked"/>
          <w:placeholder>
            <w:docPart w:val="GBC22222222222222222222222222222"/>
          </w:placeholder>
        </w:sdtPr>
        <w:sdtEndPr>
          <w:rPr>
            <w:rFonts w:hint="eastAsia"/>
            <w:szCs w:val="21"/>
            <w:highlight w:val="none"/>
          </w:rPr>
        </w:sdtEndPr>
        <w:sdtContent>
          <w:r>
            <w:rPr>
              <w:rFonts w:hint="eastAsia"/>
              <w:szCs w:val="21"/>
              <w:highlight w:val="none"/>
              <w:lang w:eastAsia="zh-CN"/>
            </w:rPr>
            <w:t>无</w:t>
          </w:r>
        </w:sdtContent>
      </w:sdt>
    </w:p>
    <w:bookmarkEnd w:id="278"/>
    <w:p>
      <w:pPr>
        <w:rPr>
          <w:szCs w:val="21"/>
        </w:rPr>
      </w:pPr>
    </w:p>
    <w:p>
      <w:pPr>
        <w:pStyle w:val="229"/>
        <w:numPr>
          <w:ilvl w:val="0"/>
          <w:numId w:val="71"/>
        </w:numPr>
        <w:tabs>
          <w:tab w:val="left" w:pos="504"/>
        </w:tabs>
      </w:pPr>
      <w:r>
        <w:rPr>
          <w:rFonts w:hint="eastAsia"/>
        </w:rPr>
        <w:t>应付账款</w:t>
      </w:r>
    </w:p>
    <w:p>
      <w:pPr>
        <w:pStyle w:val="196"/>
        <w:numPr>
          <w:ilvl w:val="0"/>
          <w:numId w:val="95"/>
        </w:numPr>
        <w:ind w:left="426" w:hanging="426"/>
      </w:pPr>
      <w:r>
        <w:rPr>
          <w:rFonts w:hint="eastAsia"/>
        </w:rPr>
        <w:t>应付账款列示</w:t>
      </w:r>
    </w:p>
    <w:sdt>
      <w:sdtPr>
        <w:alias w:val="是否适用：应付账款列示[双击切换]"/>
        <w:tag w:val="_GBC_dfb190a9e762454c9f89eb6be64b6eae"/>
        <w:id w:val="27272"/>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账款情况"/>
          <w:tag w:val="_GBC_c14fe17937b74139aa7e100941fb21e9"/>
          <w:id w:val="272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272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70d78e97cf4a1cb18154c5c5dafe58"/>
            <w:id w:val="27275"/>
          </w:sdtPr>
          <w:sdtContent>
            <w:tc>
              <w:tcPr>
                <w:tcW w:w="1570" w:type="pct"/>
                <w:shd w:val="clear" w:color="auto" w:fill="auto"/>
              </w:tcPr>
              <w:p>
                <w:pPr>
                  <w:jc w:val="center"/>
                  <w:rPr>
                    <w:szCs w:val="21"/>
                  </w:rPr>
                </w:pPr>
                <w:r>
                  <w:rPr>
                    <w:rFonts w:hint="eastAsia"/>
                    <w:szCs w:val="21"/>
                  </w:rPr>
                  <w:t>项目</w:t>
                </w:r>
              </w:p>
            </w:tc>
          </w:sdtContent>
        </w:sdt>
        <w:sdt>
          <w:sdtPr>
            <w:tag w:val="_PLD_56127cd5754c44aaacae0a1320139a7a"/>
            <w:id w:val="27276"/>
          </w:sdtPr>
          <w:sdtContent>
            <w:tc>
              <w:tcPr>
                <w:tcW w:w="1584" w:type="pct"/>
                <w:shd w:val="clear" w:color="auto" w:fill="auto"/>
              </w:tcPr>
              <w:p>
                <w:pPr>
                  <w:jc w:val="center"/>
                  <w:rPr>
                    <w:szCs w:val="21"/>
                  </w:rPr>
                </w:pPr>
                <w:r>
                  <w:rPr>
                    <w:rFonts w:hint="eastAsia"/>
                    <w:szCs w:val="21"/>
                  </w:rPr>
                  <w:t>期末余额</w:t>
                </w:r>
              </w:p>
            </w:tc>
          </w:sdtContent>
        </w:sdt>
        <w:sdt>
          <w:sdtPr>
            <w:tag w:val="_PLD_27c6d2ca479446539fe00ab23ee1dc13"/>
            <w:id w:val="27277"/>
          </w:sdtPr>
          <w:sdtContent>
            <w:tc>
              <w:tcPr>
                <w:tcW w:w="1846"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t>1年以内（含1年）</w:t>
            </w:r>
          </w:p>
        </w:tc>
        <w:tc>
          <w:tcPr>
            <w:tcW w:w="158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200,944,358.86</w:t>
            </w:r>
          </w:p>
        </w:tc>
        <w:tc>
          <w:tcPr>
            <w:tcW w:w="184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155,766,108.69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t>1年以上</w:t>
            </w:r>
          </w:p>
        </w:tc>
        <w:tc>
          <w:tcPr>
            <w:tcW w:w="158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59,557,812.01</w:t>
            </w:r>
          </w:p>
        </w:tc>
        <w:tc>
          <w:tcPr>
            <w:tcW w:w="184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23,255,930.74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58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260,502,170.87</w:t>
            </w:r>
          </w:p>
        </w:tc>
        <w:tc>
          <w:tcPr>
            <w:tcW w:w="1846"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179,022,039.43</w:t>
            </w:r>
          </w:p>
        </w:tc>
      </w:tr>
    </w:tbl>
    <w:p/>
    <w:p/>
    <w:p>
      <w:pPr>
        <w:pStyle w:val="196"/>
        <w:numPr>
          <w:ilvl w:val="0"/>
          <w:numId w:val="95"/>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2727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00afb873eea4650b57e850422f00616"/>
          <w:id w:val="272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272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236"/>
        <w:gridCol w:w="4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sz w:val="21"/>
              <w:szCs w:val="21"/>
            </w:rPr>
            <w:tag w:val="_PLD_fdad43e863d14167af7eeaf4873d2a72"/>
            <w:id w:val="27281"/>
          </w:sdtPr>
          <w:sdtEndPr>
            <w:rPr>
              <w:rFonts w:hint="default" w:ascii="Times New Roman" w:hAnsi="Times New Roman" w:cs="Times New Roman"/>
              <w:sz w:val="21"/>
              <w:szCs w:val="21"/>
            </w:rPr>
          </w:sdtEndPr>
          <w:sdtContent>
            <w:tc>
              <w:tcPr>
                <w:tcW w:w="1194" w:type="pc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sdtContent>
        </w:sdt>
        <w:sdt>
          <w:sdtPr>
            <w:rPr>
              <w:rFonts w:hint="default" w:ascii="Times New Roman" w:hAnsi="Times New Roman" w:cs="Times New Roman"/>
              <w:sz w:val="21"/>
              <w:szCs w:val="21"/>
            </w:rPr>
            <w:tag w:val="_PLD_cd3e87440a294e4685cb5994a6fce19b"/>
            <w:id w:val="27282"/>
          </w:sdtPr>
          <w:sdtEndPr>
            <w:rPr>
              <w:rFonts w:hint="default" w:ascii="Times New Roman" w:hAnsi="Times New Roman" w:cs="Times New Roman"/>
              <w:sz w:val="21"/>
              <w:szCs w:val="21"/>
            </w:rPr>
          </w:sdtEndPr>
          <w:sdtContent>
            <w:tc>
              <w:tcPr>
                <w:tcW w:w="1235" w:type="pc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期末余额</w:t>
                </w:r>
              </w:p>
            </w:tc>
          </w:sdtContent>
        </w:sdt>
        <w:sdt>
          <w:sdtPr>
            <w:rPr>
              <w:rFonts w:hint="default" w:ascii="Times New Roman" w:hAnsi="Times New Roman" w:cs="Times New Roman"/>
              <w:sz w:val="21"/>
              <w:szCs w:val="21"/>
            </w:rPr>
            <w:tag w:val="_PLD_3948dc08dbd84dbd875d1bd042c28c03"/>
            <w:id w:val="27283"/>
          </w:sdtPr>
          <w:sdtEndPr>
            <w:rPr>
              <w:rFonts w:hint="default" w:ascii="Times New Roman" w:hAnsi="Times New Roman" w:cs="Times New Roman"/>
              <w:sz w:val="21"/>
              <w:szCs w:val="21"/>
            </w:rPr>
          </w:sdtEndPr>
          <w:sdtContent>
            <w:tc>
              <w:tcPr>
                <w:tcW w:w="2570" w:type="pc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未偿还或结转的原因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pct"/>
            <w:tcBorders>
              <w:bottom w:val="single" w:color="auto" w:sz="4" w:space="0"/>
            </w:tcBorders>
            <w:shd w:val="clear" w:color="auto" w:fill="auto"/>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单位1</w:t>
            </w:r>
          </w:p>
        </w:tc>
        <w:tc>
          <w:tcPr>
            <w:tcW w:w="1235"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3,020,822.94</w:t>
            </w:r>
          </w:p>
        </w:tc>
        <w:tc>
          <w:tcPr>
            <w:tcW w:w="2570" w:type="pct"/>
            <w:shd w:val="clear" w:color="auto" w:fill="auto"/>
          </w:tcPr>
          <w:p>
            <w:pPr>
              <w:jc w:val="both"/>
              <w:rPr>
                <w:rFonts w:hint="default" w:ascii="Times New Roman" w:hAnsi="Times New Roman" w:cs="Times New Roman"/>
                <w:sz w:val="21"/>
                <w:szCs w:val="21"/>
              </w:rPr>
            </w:pPr>
            <w:r>
              <w:rPr>
                <w:rFonts w:hint="default" w:ascii="Times New Roman" w:hAnsi="Times New Roman" w:cs="Times New Roman"/>
                <w:sz w:val="21"/>
                <w:szCs w:val="21"/>
              </w:rPr>
              <w:t>安徽芳草日化股份有限公司2006年改制成安徽两面针•芳草日化有限公司时遗留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pct"/>
            <w:tcBorders>
              <w:bottom w:val="single" w:color="auto" w:sz="4" w:space="0"/>
            </w:tcBorders>
            <w:shd w:val="clear" w:color="auto" w:fill="auto"/>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单位2</w:t>
            </w:r>
          </w:p>
        </w:tc>
        <w:tc>
          <w:tcPr>
            <w:tcW w:w="1235"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2,498,215.13</w:t>
            </w:r>
          </w:p>
        </w:tc>
        <w:tc>
          <w:tcPr>
            <w:tcW w:w="2570" w:type="pct"/>
            <w:shd w:val="clear" w:color="auto" w:fill="auto"/>
          </w:tcPr>
          <w:p>
            <w:pPr>
              <w:jc w:val="both"/>
              <w:rPr>
                <w:rFonts w:hint="default" w:ascii="Times New Roman" w:hAnsi="Times New Roman" w:cs="Times New Roman"/>
                <w:sz w:val="21"/>
                <w:szCs w:val="21"/>
              </w:rPr>
            </w:pPr>
            <w:r>
              <w:rPr>
                <w:rFonts w:hint="default" w:ascii="Times New Roman" w:hAnsi="Times New Roman" w:cs="Times New Roman"/>
                <w:sz w:val="21"/>
                <w:szCs w:val="21"/>
              </w:rPr>
              <w:t>2010年及2010年前发生的购包装盒欠款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pc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235"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eastAsia="宋体" w:cs="Times New Roman"/>
                <w:sz w:val="21"/>
                <w:szCs w:val="21"/>
              </w:rPr>
              <w:t>5,519,038.07</w:t>
            </w:r>
          </w:p>
        </w:tc>
        <w:tc>
          <w:tcPr>
            <w:tcW w:w="2570" w:type="pct"/>
            <w:shd w:val="clear" w:color="auto" w:fill="auto"/>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
    <w:p>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2728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napToGrid w:val="0"/>
        <w:spacing w:line="240" w:lineRule="atLeast"/>
        <w:rPr>
          <w:szCs w:val="21"/>
        </w:rPr>
      </w:pPr>
    </w:p>
    <w:p>
      <w:pPr>
        <w:pStyle w:val="229"/>
        <w:numPr>
          <w:ilvl w:val="0"/>
          <w:numId w:val="71"/>
        </w:numPr>
        <w:tabs>
          <w:tab w:val="left" w:pos="504"/>
        </w:tabs>
        <w:rPr>
          <w:rFonts w:ascii="宋体" w:hAnsi="宋体"/>
          <w:szCs w:val="21"/>
        </w:rPr>
      </w:pPr>
      <w:r>
        <w:rPr>
          <w:rFonts w:hint="eastAsia" w:ascii="宋体" w:hAnsi="宋体"/>
          <w:szCs w:val="21"/>
        </w:rPr>
        <w:t>预收款项</w:t>
      </w:r>
    </w:p>
    <w:p>
      <w:pPr>
        <w:pStyle w:val="196"/>
        <w:numPr>
          <w:ilvl w:val="0"/>
          <w:numId w:val="96"/>
        </w:numPr>
      </w:pPr>
      <w:r>
        <w:rPr>
          <w:rFonts w:hint="eastAsia"/>
        </w:rPr>
        <w:t>预收账款项列示</w:t>
      </w:r>
    </w:p>
    <w:sdt>
      <w:sdtPr>
        <w:alias w:val="是否适用：预收账款项列示[双击切换]"/>
        <w:tag w:val="_GBC_87fabe8d5b22400ca19233d7f82c54fc"/>
        <w:id w:val="27285"/>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0"/>
          <w:numId w:val="96"/>
        </w:numPr>
      </w:pPr>
      <w:r>
        <w:rPr>
          <w:rFonts w:hint="eastAsia"/>
        </w:rPr>
        <w:t>账龄超过</w:t>
      </w:r>
      <w:r>
        <w:t>1年的重要预收款项</w:t>
      </w:r>
    </w:p>
    <w:sdt>
      <w:sdtPr>
        <w:alias w:val="是否适用：账龄超过1年的重要预收款项[双击切换]"/>
        <w:tag w:val="_GBC_79146ea4ecd2426b824d2bcf21203a69"/>
        <w:id w:val="27286"/>
        <w:placeholder>
          <w:docPart w:val="GBC22222222222222222222222222222"/>
        </w:placeholder>
      </w:sdtPr>
      <w:sdtContent>
        <w:p>
          <w:pPr>
            <w:tabs>
              <w:tab w:val="left" w:pos="8280"/>
              <w:tab w:val="left" w:pos="9720"/>
            </w:tabs>
            <w:ind w:right="25" w:rightChars="12"/>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tabs>
          <w:tab w:val="left" w:pos="8280"/>
          <w:tab w:val="left" w:pos="9720"/>
        </w:tabs>
        <w:ind w:right="25" w:rightChars="12"/>
        <w:outlineLvl w:val="9"/>
      </w:pPr>
    </w:p>
    <w:p>
      <w:pPr>
        <w:pStyle w:val="196"/>
        <w:numPr>
          <w:ilvl w:val="0"/>
          <w:numId w:val="96"/>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27287"/>
        <w:placeholder>
          <w:docPart w:val="GBC22222222222222222222222222222"/>
        </w:placeholder>
      </w:sdtPr>
      <w:sdtEndPr>
        <w:rPr>
          <w:szCs w:val="21"/>
        </w:rPr>
      </w:sdtEndPr>
      <w:sdtContent>
        <w:p>
          <w:pPr>
            <w:tabs>
              <w:tab w:val="left" w:pos="8280"/>
              <w:tab w:val="left" w:pos="9720"/>
            </w:tabs>
            <w:ind w:right="25" w:rightChars="12"/>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8280"/>
          <w:tab w:val="left" w:pos="9720"/>
        </w:tabs>
        <w:ind w:right="25" w:rightChars="12"/>
        <w:outlineLvl w:val="9"/>
        <w:rPr>
          <w:szCs w:val="21"/>
        </w:rPr>
      </w:pPr>
    </w:p>
    <w:p>
      <w:r>
        <w:rPr>
          <w:rFonts w:hint="eastAsia"/>
        </w:rPr>
        <w:t>其他说明</w:t>
      </w:r>
    </w:p>
    <w:sdt>
      <w:sdtPr>
        <w:alias w:val="是否适用：预收账款的其他说明[双击切换]"/>
        <w:tag w:val="_GBC_c0e961ba454e4e2cb91293bde731349d"/>
        <w:id w:val="27288"/>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theme="minorBidi"/>
          <w:color w:val="000000" w:themeColor="text1"/>
          <w:kern w:val="2"/>
          <w:szCs w:val="21"/>
          <w14:textFill>
            <w14:solidFill>
              <w14:schemeClr w14:val="tx1"/>
            </w14:solidFill>
          </w14:textFill>
        </w:rPr>
      </w:pPr>
    </w:p>
    <w:p>
      <w:pPr>
        <w:pStyle w:val="229"/>
        <w:numPr>
          <w:ilvl w:val="0"/>
          <w:numId w:val="71"/>
        </w:numPr>
        <w:tabs>
          <w:tab w:val="left" w:pos="504"/>
        </w:tabs>
        <w:rPr>
          <w:szCs w:val="21"/>
        </w:rPr>
      </w:pPr>
      <w:r>
        <w:rPr>
          <w:rFonts w:hint="eastAsia"/>
          <w:szCs w:val="21"/>
        </w:rPr>
        <w:t>合同负债</w:t>
      </w:r>
    </w:p>
    <w:p>
      <w:pPr>
        <w:pStyle w:val="196"/>
        <w:numPr>
          <w:ilvl w:val="0"/>
          <w:numId w:val="97"/>
        </w:numPr>
      </w:pPr>
      <w:r>
        <w:rPr>
          <w:rFonts w:hint="eastAsia"/>
        </w:rPr>
        <w:t>合同负债情况</w:t>
      </w:r>
    </w:p>
    <w:sdt>
      <w:sdtPr>
        <w:alias w:val="是否适用：合同负债情况[双击切换]"/>
        <w:tag w:val="_GBC_257112066c884c67acfede3a1536844a"/>
        <w:id w:val="27289"/>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ea58ca5e76b74f328a4691ca7c6cc941"/>
          <w:id w:val="272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272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31ae60cae44b02b2a16eccd02434b1"/>
            <w:id w:val="17210"/>
          </w:sdtPr>
          <w:sdtContent>
            <w:tc>
              <w:tcPr>
                <w:tcW w:w="1600" w:type="pct"/>
                <w:shd w:val="clear" w:color="auto" w:fill="auto"/>
              </w:tcPr>
              <w:p>
                <w:pPr>
                  <w:jc w:val="center"/>
                  <w:rPr>
                    <w:szCs w:val="21"/>
                  </w:rPr>
                </w:pPr>
                <w:r>
                  <w:rPr>
                    <w:rFonts w:hint="eastAsia"/>
                    <w:szCs w:val="21"/>
                  </w:rPr>
                  <w:t>项目</w:t>
                </w:r>
              </w:p>
            </w:tc>
          </w:sdtContent>
        </w:sdt>
        <w:sdt>
          <w:sdtPr>
            <w:tag w:val="_PLD_1619b2dd861a497cbc814256ed0e2957"/>
            <w:id w:val="17211"/>
          </w:sdtPr>
          <w:sdtContent>
            <w:tc>
              <w:tcPr>
                <w:tcW w:w="1700"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7212"/>
          </w:sdtPr>
          <w:sdtContent>
            <w:tc>
              <w:tcPr>
                <w:tcW w:w="169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shd w:val="clear" w:color="auto" w:fill="auto"/>
          </w:tcPr>
          <w:p>
            <w:pPr>
              <w:rPr>
                <w:szCs w:val="21"/>
              </w:rPr>
            </w:pPr>
            <w:r>
              <w:t>预收销售款</w:t>
            </w:r>
          </w:p>
        </w:tc>
        <w:tc>
          <w:tcPr>
            <w:tcW w:w="170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40,303,817.62</w:t>
            </w:r>
          </w:p>
        </w:tc>
        <w:tc>
          <w:tcPr>
            <w:tcW w:w="169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34,357,780.16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shd w:val="clear" w:color="auto" w:fill="auto"/>
          </w:tcPr>
          <w:p>
            <w:pPr>
              <w:jc w:val="center"/>
              <w:rPr>
                <w:color w:val="000000"/>
                <w:szCs w:val="21"/>
              </w:rPr>
            </w:pPr>
            <w:r>
              <w:rPr>
                <w:rFonts w:hint="eastAsia"/>
                <w:color w:val="000000"/>
                <w:szCs w:val="21"/>
              </w:rPr>
              <w:t>合计</w:t>
            </w:r>
          </w:p>
        </w:tc>
        <w:tc>
          <w:tcPr>
            <w:tcW w:w="170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40,303,817.62</w:t>
            </w:r>
          </w:p>
        </w:tc>
        <w:tc>
          <w:tcPr>
            <w:tcW w:w="1698"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34,357,780.16</w:t>
            </w:r>
          </w:p>
        </w:tc>
      </w:tr>
    </w:tbl>
    <w:p/>
    <w:p/>
    <w:p>
      <w:pPr>
        <w:pStyle w:val="196"/>
        <w:numPr>
          <w:ilvl w:val="0"/>
          <w:numId w:val="97"/>
        </w:numPr>
        <w:ind w:left="450" w:hanging="450"/>
      </w:pPr>
      <w:r>
        <w:rPr>
          <w:rFonts w:hint="eastAsia"/>
        </w:rPr>
        <w:t>账龄超过</w:t>
      </w:r>
      <w:r>
        <w:t>1年的重要合同负债</w:t>
      </w:r>
    </w:p>
    <w:sdt>
      <w:sdtPr>
        <w:alias w:val="是否适用：账龄超过1年的重要合同负债明细[双击切换]"/>
        <w:tag w:val="_GBC_743f27908aba47b4a5755e98b31475ae"/>
        <w:id w:val="2729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0"/>
          <w:numId w:val="97"/>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27296"/>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rPr>
          <w:szCs w:val="21"/>
        </w:rPr>
      </w:pPr>
      <w:r>
        <w:rPr>
          <w:rFonts w:hint="eastAsia"/>
          <w:szCs w:val="21"/>
        </w:rPr>
        <w:t>其他说明：</w:t>
      </w:r>
    </w:p>
    <w:sdt>
      <w:sdtPr>
        <w:rPr>
          <w:szCs w:val="21"/>
        </w:rPr>
        <w:alias w:val="是否适用：合同负债其他说明[双击切换]"/>
        <w:tag w:val="_GBC_1c99003b181f47ebb73e6452f4bfa446"/>
        <w:id w:val="27297"/>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229"/>
        <w:numPr>
          <w:ilvl w:val="0"/>
          <w:numId w:val="71"/>
        </w:numPr>
        <w:tabs>
          <w:tab w:val="left" w:pos="504"/>
        </w:tabs>
        <w:rPr>
          <w:rFonts w:ascii="宋体" w:hAnsi="宋体"/>
          <w:szCs w:val="21"/>
        </w:rPr>
      </w:pPr>
      <w:r>
        <w:rPr>
          <w:rFonts w:hint="eastAsia" w:ascii="宋体" w:hAnsi="宋体"/>
          <w:szCs w:val="21"/>
        </w:rPr>
        <w:t>应付职工薪酬</w:t>
      </w:r>
    </w:p>
    <w:p>
      <w:pPr>
        <w:pStyle w:val="196"/>
        <w:numPr>
          <w:ilvl w:val="0"/>
          <w:numId w:val="98"/>
        </w:numPr>
      </w:pPr>
      <w:r>
        <w:rPr>
          <w:rFonts w:hint="eastAsia"/>
        </w:rPr>
        <w:t>应付职工薪酬列示</w:t>
      </w:r>
    </w:p>
    <w:sdt>
      <w:sdtPr>
        <w:alias w:val="是否适用：应付职工薪酬列示[双击切换]"/>
        <w:tag w:val="_GBC_215b41e091df4b2bbb2009fd3c8040b5"/>
        <w:id w:val="2729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6889c0e435324d63b7c01ed595a8e140"/>
          <w:id w:val="272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273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563"/>
        <w:gridCol w:w="1642"/>
        <w:gridCol w:w="1609"/>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27301"/>
          </w:sdtPr>
          <w:sdtContent>
            <w:tc>
              <w:tcPr>
                <w:tcW w:w="1503" w:type="pct"/>
                <w:shd w:val="clear" w:color="auto" w:fill="auto"/>
                <w:vAlign w:val="center"/>
              </w:tcPr>
              <w:p>
                <w:pPr>
                  <w:jc w:val="center"/>
                </w:pPr>
                <w:r>
                  <w:rPr>
                    <w:rFonts w:hint="eastAsia"/>
                  </w:rPr>
                  <w:t>项目</w:t>
                </w:r>
              </w:p>
            </w:tc>
          </w:sdtContent>
        </w:sdt>
        <w:sdt>
          <w:sdtPr>
            <w:tag w:val="_PLD_f666739d3c0f4f9891bd8f4974d101ec"/>
            <w:id w:val="27302"/>
          </w:sdtPr>
          <w:sdtContent>
            <w:tc>
              <w:tcPr>
                <w:tcW w:w="863" w:type="pct"/>
                <w:shd w:val="clear" w:color="auto" w:fill="auto"/>
                <w:vAlign w:val="center"/>
              </w:tcPr>
              <w:p>
                <w:pPr>
                  <w:jc w:val="center"/>
                </w:pPr>
                <w:r>
                  <w:rPr>
                    <w:rFonts w:hint="eastAsia"/>
                  </w:rPr>
                  <w:t>期初余额</w:t>
                </w:r>
              </w:p>
            </w:tc>
          </w:sdtContent>
        </w:sdt>
        <w:sdt>
          <w:sdtPr>
            <w:tag w:val="_PLD_cc701d3a5a44484d862c996437df1e7d"/>
            <w:id w:val="27303"/>
          </w:sdtPr>
          <w:sdtContent>
            <w:tc>
              <w:tcPr>
                <w:tcW w:w="907" w:type="pct"/>
                <w:shd w:val="clear" w:color="auto" w:fill="auto"/>
                <w:vAlign w:val="center"/>
              </w:tcPr>
              <w:p>
                <w:pPr>
                  <w:jc w:val="center"/>
                </w:pPr>
                <w:r>
                  <w:rPr>
                    <w:rFonts w:hint="eastAsia"/>
                  </w:rPr>
                  <w:t>本期增加</w:t>
                </w:r>
              </w:p>
            </w:tc>
          </w:sdtContent>
        </w:sdt>
        <w:sdt>
          <w:sdtPr>
            <w:tag w:val="_PLD_0e8f833fca684ce592b0cba6d04c75ef"/>
            <w:id w:val="27304"/>
          </w:sdtPr>
          <w:sdtContent>
            <w:tc>
              <w:tcPr>
                <w:tcW w:w="889" w:type="pct"/>
                <w:shd w:val="clear" w:color="auto" w:fill="auto"/>
                <w:vAlign w:val="center"/>
              </w:tcPr>
              <w:p>
                <w:pPr>
                  <w:jc w:val="center"/>
                </w:pPr>
                <w:r>
                  <w:rPr>
                    <w:rFonts w:hint="eastAsia"/>
                  </w:rPr>
                  <w:t>本期减少</w:t>
                </w:r>
              </w:p>
            </w:tc>
          </w:sdtContent>
        </w:sdt>
        <w:sdt>
          <w:sdtPr>
            <w:tag w:val="_PLD_c39a265e94994f0480d13abd59d3eb39"/>
            <w:id w:val="27305"/>
          </w:sdtPr>
          <w:sdtContent>
            <w:tc>
              <w:tcPr>
                <w:tcW w:w="836" w:type="pct"/>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shd w:val="clear" w:color="auto" w:fill="auto"/>
          </w:tcPr>
          <w:p>
            <w:r>
              <w:rPr>
                <w:rFonts w:hint="eastAsia"/>
              </w:rPr>
              <w:t>一、短期薪酬</w:t>
            </w:r>
          </w:p>
        </w:tc>
        <w:tc>
          <w:tcPr>
            <w:tcW w:w="86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812,433.63</w:t>
            </w:r>
          </w:p>
        </w:tc>
        <w:tc>
          <w:tcPr>
            <w:tcW w:w="907" w:type="pct"/>
            <w:shd w:val="clear" w:color="auto" w:fill="auto"/>
            <w:vAlign w:val="center"/>
          </w:tcPr>
          <w:p>
            <w:pPr>
              <w:jc w:val="right"/>
              <w:rPr>
                <w:rFonts w:hint="default" w:ascii="Times New Roman" w:hAnsi="Times New Roman" w:cs="Times New Roman"/>
                <w:highlight w:val="yellow"/>
              </w:rPr>
            </w:pPr>
            <w:r>
              <w:rPr>
                <w:rFonts w:hint="default" w:ascii="Times New Roman" w:hAnsi="Times New Roman" w:cs="Times New Roman"/>
              </w:rPr>
              <w:t>147,229,115.50</w:t>
            </w:r>
          </w:p>
        </w:tc>
        <w:tc>
          <w:tcPr>
            <w:tcW w:w="889" w:type="pct"/>
            <w:shd w:val="clear" w:color="auto" w:fill="auto"/>
            <w:vAlign w:val="center"/>
          </w:tcPr>
          <w:p>
            <w:pPr>
              <w:jc w:val="right"/>
              <w:rPr>
                <w:rFonts w:hint="default" w:ascii="Times New Roman" w:hAnsi="Times New Roman" w:cs="Times New Roman"/>
                <w:highlight w:val="yellow"/>
              </w:rPr>
            </w:pPr>
            <w:r>
              <w:rPr>
                <w:rFonts w:hint="default" w:ascii="Times New Roman" w:hAnsi="Times New Roman" w:cs="Times New Roman"/>
              </w:rPr>
              <w:t xml:space="preserve">143,949,997.69 </w:t>
            </w:r>
          </w:p>
        </w:tc>
        <w:tc>
          <w:tcPr>
            <w:tcW w:w="836"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4,091,551.44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shd w:val="clear" w:color="auto" w:fill="auto"/>
          </w:tcPr>
          <w:p>
            <w:r>
              <w:rPr>
                <w:rFonts w:hint="eastAsia"/>
              </w:rPr>
              <w:t>二、离职后福利-设定提存计划</w:t>
            </w:r>
          </w:p>
        </w:tc>
        <w:tc>
          <w:tcPr>
            <w:tcW w:w="86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320,120.00</w:t>
            </w:r>
          </w:p>
        </w:tc>
        <w:tc>
          <w:tcPr>
            <w:tcW w:w="90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9,480,051.51</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9,780,985.51</w:t>
            </w:r>
          </w:p>
        </w:tc>
        <w:tc>
          <w:tcPr>
            <w:tcW w:w="836"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19,186.00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shd w:val="clear" w:color="auto" w:fill="auto"/>
          </w:tcPr>
          <w:p>
            <w:r>
              <w:rPr>
                <w:rFonts w:hint="eastAsia"/>
              </w:rPr>
              <w:t>三、辞退福利</w:t>
            </w:r>
          </w:p>
        </w:tc>
        <w:tc>
          <w:tcPr>
            <w:tcW w:w="86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1,196,605.04</w:t>
            </w:r>
          </w:p>
        </w:tc>
        <w:tc>
          <w:tcPr>
            <w:tcW w:w="90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679,863.99</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547,034.26</w:t>
            </w:r>
          </w:p>
        </w:tc>
        <w:tc>
          <w:tcPr>
            <w:tcW w:w="836"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1,329,434.77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shd w:val="clear" w:color="auto" w:fill="auto"/>
          </w:tcPr>
          <w:p>
            <w:r>
              <w:rPr>
                <w:rFonts w:hint="eastAsia"/>
              </w:rPr>
              <w:t>四、一年内到期的其他福利</w:t>
            </w:r>
          </w:p>
        </w:tc>
        <w:tc>
          <w:tcPr>
            <w:tcW w:w="863" w:type="pct"/>
            <w:shd w:val="clear" w:color="auto" w:fill="auto"/>
            <w:vAlign w:val="center"/>
          </w:tcPr>
          <w:p>
            <w:pPr>
              <w:jc w:val="right"/>
              <w:rPr>
                <w:rFonts w:hint="default" w:ascii="Times New Roman" w:hAnsi="Times New Roman" w:cs="Times New Roman"/>
              </w:rPr>
            </w:pPr>
          </w:p>
        </w:tc>
        <w:tc>
          <w:tcPr>
            <w:tcW w:w="907" w:type="pct"/>
            <w:shd w:val="clear" w:color="auto" w:fill="auto"/>
            <w:vAlign w:val="center"/>
          </w:tcPr>
          <w:p>
            <w:pPr>
              <w:jc w:val="right"/>
              <w:rPr>
                <w:rFonts w:hint="default" w:ascii="Times New Roman" w:hAnsi="Times New Roman" w:cs="Times New Roman"/>
              </w:rPr>
            </w:pPr>
          </w:p>
        </w:tc>
        <w:tc>
          <w:tcPr>
            <w:tcW w:w="889" w:type="pct"/>
            <w:shd w:val="clear" w:color="auto" w:fill="auto"/>
            <w:vAlign w:val="center"/>
          </w:tcPr>
          <w:p>
            <w:pPr>
              <w:jc w:val="right"/>
              <w:rPr>
                <w:rFonts w:hint="default" w:ascii="Times New Roman" w:hAnsi="Times New Roman" w:cs="Times New Roman"/>
              </w:rPr>
            </w:pPr>
          </w:p>
        </w:tc>
        <w:tc>
          <w:tcPr>
            <w:tcW w:w="836" w:type="pct"/>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shd w:val="clear" w:color="auto" w:fill="auto"/>
            <w:vAlign w:val="center"/>
          </w:tcPr>
          <w:p>
            <w:pPr>
              <w:jc w:val="center"/>
            </w:pPr>
            <w:r>
              <w:rPr>
                <w:rFonts w:hint="eastAsia"/>
              </w:rPr>
              <w:t>合计</w:t>
            </w:r>
          </w:p>
        </w:tc>
        <w:tc>
          <w:tcPr>
            <w:tcW w:w="863"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2,329,158.67</w:t>
            </w:r>
          </w:p>
        </w:tc>
        <w:tc>
          <w:tcPr>
            <w:tcW w:w="907"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157,389,031.00</w:t>
            </w:r>
          </w:p>
        </w:tc>
        <w:tc>
          <w:tcPr>
            <w:tcW w:w="889"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154,278,017.46</w:t>
            </w:r>
          </w:p>
        </w:tc>
        <w:tc>
          <w:tcPr>
            <w:tcW w:w="836" w:type="pct"/>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5,440,172.21</w:t>
            </w:r>
          </w:p>
        </w:tc>
      </w:tr>
    </w:tbl>
    <w:p/>
    <w:p>
      <w:pPr>
        <w:pStyle w:val="196"/>
        <w:numPr>
          <w:ilvl w:val="0"/>
          <w:numId w:val="98"/>
        </w:numPr>
      </w:pPr>
      <w:r>
        <w:rPr>
          <w:rFonts w:hint="eastAsia"/>
        </w:rPr>
        <w:t>短期薪酬列示</w:t>
      </w:r>
    </w:p>
    <w:sdt>
      <w:sdtPr>
        <w:alias w:val="是否适用：短期薪酬列示[双击切换]"/>
        <w:tag w:val="_GBC_531fef0ef27e47ad98c1bb26abdf204f"/>
        <w:id w:val="2730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薪酬"/>
          <w:tag w:val="_GBC_4710a4978b1b4a4bbcd5757aaf80b8d7"/>
          <w:id w:val="27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73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357"/>
        <w:gridCol w:w="1738"/>
        <w:gridCol w:w="1721"/>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7153d49ca449b191bb833cd5f689b2"/>
            <w:id w:val="27309"/>
          </w:sdtPr>
          <w:sdtContent>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557c49ee2a4f40de99f948c76f4c3adc"/>
            <w:id w:val="27310"/>
          </w:sdtPr>
          <w:sdtContent>
            <w:tc>
              <w:tcPr>
                <w:tcW w:w="7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期初余额</w:t>
                </w:r>
              </w:p>
            </w:tc>
          </w:sdtContent>
        </w:sdt>
        <w:sdt>
          <w:sdtPr>
            <w:tag w:val="_PLD_98d1ab48f8084264aff0ef3a30e8ba71"/>
            <w:id w:val="27311"/>
          </w:sdtPr>
          <w:sdtContent>
            <w:tc>
              <w:tcPr>
                <w:tcW w:w="960"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本期增加</w:t>
                </w:r>
              </w:p>
            </w:tc>
          </w:sdtContent>
        </w:sdt>
        <w:sdt>
          <w:sdtPr>
            <w:tag w:val="_PLD_e35c4f26db444503b2f9a32896872169"/>
            <w:id w:val="27312"/>
          </w:sdtPr>
          <w:sdtContent>
            <w:tc>
              <w:tcPr>
                <w:tcW w:w="951" w:type="pct"/>
                <w:tcBorders>
                  <w:top w:val="single" w:color="auto" w:sz="4" w:space="0"/>
                  <w:left w:val="single" w:color="auto" w:sz="4" w:space="0"/>
                  <w:bottom w:val="single" w:color="auto" w:sz="4" w:space="0"/>
                  <w:right w:val="single" w:color="auto" w:sz="4" w:space="0"/>
                </w:tcBorders>
                <w:vAlign w:val="center"/>
              </w:tcPr>
              <w:p>
                <w:pPr>
                  <w:jc w:val="center"/>
                </w:pPr>
                <w:r>
                  <w:t>本期减少</w:t>
                </w:r>
              </w:p>
            </w:tc>
          </w:sdtContent>
        </w:sdt>
        <w:sdt>
          <w:sdtPr>
            <w:tag w:val="_PLD_e67d191300ac43c2b1b07c1beddfe891"/>
            <w:id w:val="27313"/>
          </w:sdtPr>
          <w:sdtContent>
            <w:tc>
              <w:tcPr>
                <w:tcW w:w="89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一、工资、奖金、津贴和补贴</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130,103.88</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134,013,838.80</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130,525,367.05</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3,618,575.63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二、职工福利费</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3,734,333.41</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3,734,333.41</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三、社会保险费</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167,971.62</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5,193,465.00</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5,360,438.95</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997.67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rPr>
                <w:color w:val="008000"/>
                <w:szCs w:val="21"/>
              </w:rPr>
            </w:pPr>
            <w:r>
              <w:rPr>
                <w:rFonts w:hint="eastAsia"/>
                <w:szCs w:val="21"/>
              </w:rPr>
              <w:t>其中：</w:t>
            </w:r>
            <w:r>
              <w:rPr>
                <w:szCs w:val="21"/>
              </w:rPr>
              <w:t>医疗保险费</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143,543.69</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4,731,663.19</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4,875,206.88</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ind w:firstLine="630" w:firstLineChars="300"/>
              <w:rPr>
                <w:szCs w:val="21"/>
              </w:rPr>
            </w:pPr>
            <w:r>
              <w:rPr>
                <w:rFonts w:hint="eastAsia"/>
                <w:szCs w:val="21"/>
              </w:rPr>
              <w:t>工伤保险费</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24,427.93</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461,801.81</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485,232.07</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997.67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ind w:firstLine="630" w:firstLineChars="300"/>
              <w:rPr>
                <w:szCs w:val="21"/>
              </w:rPr>
            </w:pPr>
            <w:r>
              <w:rPr>
                <w:rFonts w:hint="eastAsia"/>
                <w:szCs w:val="21"/>
              </w:rPr>
              <w:t>生育保险费</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四、住房公积金</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121,666.00</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3,523,005.93</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3,580,429.93</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64,242.00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五、工会经费和职工教育经费</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392,692.13</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764,472.36</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749,428.35</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407,736.14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六、短期带薪缺勤</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七、短期利润分享计划</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tc>
          <w:tcPr>
            <w:tcW w:w="74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812,433.63</w:t>
            </w:r>
          </w:p>
        </w:tc>
        <w:tc>
          <w:tcPr>
            <w:tcW w:w="96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147,229,115.50 </w:t>
            </w:r>
          </w:p>
        </w:tc>
        <w:tc>
          <w:tcPr>
            <w:tcW w:w="95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143,949,997.69 </w:t>
            </w:r>
          </w:p>
        </w:tc>
        <w:tc>
          <w:tcPr>
            <w:tcW w:w="89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4,091,551.44</w:t>
            </w:r>
          </w:p>
        </w:tc>
      </w:tr>
    </w:tbl>
    <w:p/>
    <w:p>
      <w:pPr>
        <w:rPr>
          <w:color w:val="000000" w:themeColor="text1"/>
          <w:szCs w:val="21"/>
          <w14:textFill>
            <w14:solidFill>
              <w14:schemeClr w14:val="tx1"/>
            </w14:solidFill>
          </w14:textFill>
        </w:rPr>
      </w:pPr>
    </w:p>
    <w:p>
      <w:pPr>
        <w:pStyle w:val="196"/>
        <w:numPr>
          <w:ilvl w:val="0"/>
          <w:numId w:val="98"/>
        </w:numPr>
      </w:pPr>
      <w:r>
        <w:rPr>
          <w:rFonts w:hint="eastAsia"/>
        </w:rPr>
        <w:t>设定提存计划列示</w:t>
      </w:r>
    </w:p>
    <w:p>
      <w:sdt>
        <w:sdtPr>
          <w:alias w:val="是否适用：设定提存计划列示[双击切换]"/>
          <w:tag w:val="_GBC_b10b1dbaca2d418ba8658bab8f732ec8"/>
          <w:id w:val="27314"/>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设定提存计划列示"/>
          <w:tag w:val="_GBC_925094ba622346ba8857a40cf7e6f1b2"/>
          <w:id w:val="273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73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624"/>
        <w:gridCol w:w="1609"/>
        <w:gridCol w:w="163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05fd1b5f8842ba9ae6094f6792dfbe"/>
            <w:id w:val="27317"/>
          </w:sdtPr>
          <w:sdtContent>
            <w:tc>
              <w:tcPr>
                <w:tcW w:w="142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项目</w:t>
                </w:r>
              </w:p>
            </w:tc>
          </w:sdtContent>
        </w:sdt>
        <w:sdt>
          <w:sdtPr>
            <w:tag w:val="_PLD_fae7d76d85e4429d925f3d30ff27566f"/>
            <w:id w:val="27318"/>
          </w:sdtPr>
          <w:sdtContent>
            <w:tc>
              <w:tcPr>
                <w:tcW w:w="89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期初余额</w:t>
                </w:r>
              </w:p>
            </w:tc>
          </w:sdtContent>
        </w:sdt>
        <w:sdt>
          <w:sdtPr>
            <w:tag w:val="_PLD_cd3c897871944aa0a1ea524d70e51704"/>
            <w:id w:val="27319"/>
          </w:sdtPr>
          <w:sdtContent>
            <w:tc>
              <w:tcPr>
                <w:tcW w:w="88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本期增加</w:t>
                </w:r>
              </w:p>
            </w:tc>
          </w:sdtContent>
        </w:sdt>
        <w:sdt>
          <w:sdtPr>
            <w:tag w:val="_PLD_5ef10b06a3d24730bad93c45f119182f"/>
            <w:id w:val="27320"/>
          </w:sdtPr>
          <w:sdtContent>
            <w:tc>
              <w:tcPr>
                <w:tcW w:w="90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本期减少</w:t>
                </w:r>
              </w:p>
            </w:tc>
          </w:sdtContent>
        </w:sdt>
        <w:sdt>
          <w:sdtPr>
            <w:tag w:val="_PLD_13d5e5df016d4921aa56218755dfb8f4"/>
            <w:id w:val="27321"/>
          </w:sdtPr>
          <w:sdtContent>
            <w:tc>
              <w:tcPr>
                <w:tcW w:w="88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1、基本养老保险</w:t>
            </w:r>
          </w:p>
        </w:tc>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310,326.66</w:t>
            </w: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9,183,158.53</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9,475,066.63</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18,418.56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2、失业保险费</w:t>
            </w:r>
          </w:p>
        </w:tc>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9,793.34</w:t>
            </w: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296,892.98</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305,918.88</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767.44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3、企业年金缴费</w:t>
            </w:r>
          </w:p>
        </w:tc>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合计</w:t>
            </w:r>
          </w:p>
        </w:tc>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320,120.00</w:t>
            </w: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9,480,051.51</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9,780,985.51</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19,186.00</w:t>
            </w:r>
          </w:p>
        </w:tc>
      </w:tr>
    </w:tbl>
    <w:p/>
    <w:p>
      <w:pPr>
        <w:autoSpaceDE w:val="0"/>
        <w:autoSpaceDN w:val="0"/>
        <w:adjustRightInd w:val="0"/>
        <w:rPr>
          <w:szCs w:val="21"/>
        </w:rPr>
      </w:pPr>
    </w:p>
    <w:p>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7322"/>
        <w:placeholder>
          <w:docPart w:val="GBC22222222222222222222222222222"/>
        </w:placeholder>
      </w:sdtPr>
      <w:sdtEndPr>
        <w:rPr>
          <w:szCs w:val="21"/>
        </w:rPr>
      </w:sdtEndPr>
      <w:sdtContent>
        <w:p>
          <w:pPr>
            <w:autoSpaceDE w:val="0"/>
            <w:autoSpaceDN w:val="0"/>
            <w:adjustRightInd w:val="0"/>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rPr>
          <w:szCs w:val="21"/>
        </w:rPr>
      </w:pPr>
    </w:p>
    <w:p>
      <w:pPr>
        <w:pStyle w:val="229"/>
        <w:numPr>
          <w:ilvl w:val="0"/>
          <w:numId w:val="71"/>
        </w:numPr>
        <w:tabs>
          <w:tab w:val="left" w:pos="504"/>
        </w:tabs>
        <w:rPr>
          <w:rFonts w:ascii="宋体" w:hAnsi="宋体"/>
          <w:szCs w:val="21"/>
        </w:rPr>
      </w:pPr>
      <w:r>
        <w:rPr>
          <w:rFonts w:hint="eastAsia" w:ascii="宋体" w:hAnsi="宋体"/>
          <w:szCs w:val="21"/>
        </w:rPr>
        <w:t>应交税费</w:t>
      </w:r>
    </w:p>
    <w:sdt>
      <w:sdtPr>
        <w:alias w:val="是否适用：应交税费[双击切换]"/>
        <w:tag w:val="_GBC_2ed6216b8f4c4523a1de5c2628cc02a2"/>
        <w:id w:val="2732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交税费"/>
          <w:tag w:val="_GBC_9fe49c1b8a984180ae11c305f9fe5484"/>
          <w:id w:val="273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273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06"/>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ac0907441450eac644085301d6804"/>
            <w:id w:val="27326"/>
          </w:sdtPr>
          <w:sdtContent>
            <w:tc>
              <w:tcPr>
                <w:tcW w:w="1674" w:type="pct"/>
                <w:vAlign w:val="center"/>
              </w:tcPr>
              <w:p>
                <w:pPr>
                  <w:ind w:right="105"/>
                  <w:jc w:val="center"/>
                  <w:rPr>
                    <w:szCs w:val="21"/>
                  </w:rPr>
                </w:pPr>
                <w:r>
                  <w:rPr>
                    <w:rFonts w:hint="eastAsia"/>
                    <w:szCs w:val="21"/>
                  </w:rPr>
                  <w:t>项目</w:t>
                </w:r>
              </w:p>
            </w:tc>
          </w:sdtContent>
        </w:sdt>
        <w:sdt>
          <w:sdtPr>
            <w:tag w:val="_PLD_8dab1e5e153c4b93a2d18673e1365591"/>
            <w:id w:val="27327"/>
          </w:sdtPr>
          <w:sdtContent>
            <w:tc>
              <w:tcPr>
                <w:tcW w:w="1660" w:type="pct"/>
                <w:vAlign w:val="center"/>
              </w:tcPr>
              <w:p>
                <w:pPr>
                  <w:jc w:val="center"/>
                  <w:rPr>
                    <w:szCs w:val="21"/>
                  </w:rPr>
                </w:pPr>
                <w:r>
                  <w:rPr>
                    <w:rFonts w:hint="eastAsia"/>
                    <w:szCs w:val="21"/>
                  </w:rPr>
                  <w:t>期末余额</w:t>
                </w:r>
              </w:p>
            </w:tc>
          </w:sdtContent>
        </w:sdt>
        <w:sdt>
          <w:sdtPr>
            <w:tag w:val="_PLD_9793c5ba001a43cb914658d949d3dcec"/>
            <w:id w:val="27328"/>
          </w:sdtPr>
          <w:sdtContent>
            <w:tc>
              <w:tcPr>
                <w:tcW w:w="166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shd w:val="clear" w:color="auto" w:fill="auto"/>
          </w:tcPr>
          <w:p>
            <w:pPr>
              <w:ind w:right="105"/>
              <w:rPr>
                <w:szCs w:val="21"/>
              </w:rPr>
            </w:pPr>
            <w:r>
              <w:rPr>
                <w:rFonts w:hint="eastAsia"/>
                <w:color w:val="auto"/>
                <w:szCs w:val="21"/>
              </w:rPr>
              <w:t>增值税</w:t>
            </w:r>
          </w:p>
        </w:tc>
        <w:tc>
          <w:tcPr>
            <w:tcW w:w="1660" w:type="pct"/>
            <w:shd w:val="clear" w:color="auto" w:fill="auto"/>
            <w:vAlign w:val="center"/>
          </w:tcPr>
          <w:p>
            <w:pPr>
              <w:ind w:right="73"/>
              <w:jc w:val="right"/>
              <w:rPr>
                <w:rFonts w:hint="default" w:ascii="Times New Roman" w:hAnsi="Times New Roman" w:cs="Times New Roman"/>
                <w:szCs w:val="21"/>
              </w:rPr>
            </w:pPr>
            <w:r>
              <w:rPr>
                <w:rFonts w:hint="default" w:ascii="Times New Roman" w:hAnsi="Times New Roman" w:cs="Times New Roman"/>
              </w:rPr>
              <w:t> 2,567,396.18</w:t>
            </w:r>
          </w:p>
        </w:tc>
        <w:tc>
          <w:tcPr>
            <w:tcW w:w="166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10,646,777.62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shd w:val="clear" w:color="auto" w:fill="auto"/>
          </w:tcPr>
          <w:p>
            <w:pPr>
              <w:ind w:right="105"/>
              <w:rPr>
                <w:szCs w:val="21"/>
              </w:rPr>
            </w:pPr>
            <w:r>
              <w:rPr>
                <w:rFonts w:hint="eastAsia"/>
                <w:color w:val="auto"/>
                <w:szCs w:val="21"/>
              </w:rPr>
              <w:t>房产税</w:t>
            </w:r>
          </w:p>
        </w:tc>
        <w:tc>
          <w:tcPr>
            <w:tcW w:w="1660" w:type="pct"/>
            <w:shd w:val="clear" w:color="auto" w:fill="auto"/>
            <w:vAlign w:val="center"/>
          </w:tcPr>
          <w:p>
            <w:pPr>
              <w:ind w:right="73"/>
              <w:jc w:val="right"/>
              <w:rPr>
                <w:rFonts w:hint="default" w:ascii="Times New Roman" w:hAnsi="Times New Roman" w:cs="Times New Roman"/>
                <w:szCs w:val="21"/>
              </w:rPr>
            </w:pPr>
            <w:r>
              <w:rPr>
                <w:rFonts w:hint="default" w:ascii="Times New Roman" w:hAnsi="Times New Roman" w:cs="Times New Roman"/>
              </w:rPr>
              <w:t> 401,142.23</w:t>
            </w:r>
          </w:p>
        </w:tc>
        <w:tc>
          <w:tcPr>
            <w:tcW w:w="166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419,431.39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shd w:val="clear" w:color="auto" w:fill="auto"/>
          </w:tcPr>
          <w:p>
            <w:pPr>
              <w:ind w:right="105"/>
              <w:rPr>
                <w:szCs w:val="21"/>
              </w:rPr>
            </w:pPr>
            <w:r>
              <w:rPr>
                <w:rFonts w:hint="eastAsia"/>
                <w:color w:val="auto"/>
                <w:szCs w:val="21"/>
              </w:rPr>
              <w:t>个人所得税</w:t>
            </w:r>
          </w:p>
        </w:tc>
        <w:tc>
          <w:tcPr>
            <w:tcW w:w="1660" w:type="pct"/>
            <w:shd w:val="clear" w:color="auto" w:fill="auto"/>
            <w:vAlign w:val="center"/>
          </w:tcPr>
          <w:p>
            <w:pPr>
              <w:ind w:right="73"/>
              <w:jc w:val="right"/>
              <w:rPr>
                <w:rFonts w:hint="default" w:ascii="Times New Roman" w:hAnsi="Times New Roman" w:cs="Times New Roman"/>
                <w:szCs w:val="21"/>
              </w:rPr>
            </w:pPr>
            <w:r>
              <w:rPr>
                <w:rFonts w:hint="default" w:ascii="Times New Roman" w:hAnsi="Times New Roman" w:cs="Times New Roman"/>
              </w:rPr>
              <w:t> 252,589.84</w:t>
            </w:r>
          </w:p>
        </w:tc>
        <w:tc>
          <w:tcPr>
            <w:tcW w:w="166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303,401.80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shd w:val="clear" w:color="auto" w:fill="auto"/>
          </w:tcPr>
          <w:p>
            <w:pPr>
              <w:ind w:right="105"/>
              <w:rPr>
                <w:szCs w:val="21"/>
              </w:rPr>
            </w:pPr>
            <w:r>
              <w:rPr>
                <w:rFonts w:hint="eastAsia"/>
                <w:color w:val="auto"/>
                <w:szCs w:val="21"/>
              </w:rPr>
              <w:t>城市维护建设税</w:t>
            </w:r>
          </w:p>
        </w:tc>
        <w:tc>
          <w:tcPr>
            <w:tcW w:w="1660" w:type="pct"/>
            <w:shd w:val="clear" w:color="auto" w:fill="auto"/>
            <w:vAlign w:val="center"/>
          </w:tcPr>
          <w:p>
            <w:pPr>
              <w:ind w:right="73"/>
              <w:jc w:val="right"/>
              <w:rPr>
                <w:rFonts w:hint="default" w:ascii="Times New Roman" w:hAnsi="Times New Roman" w:cs="Times New Roman"/>
                <w:szCs w:val="21"/>
              </w:rPr>
            </w:pPr>
            <w:r>
              <w:rPr>
                <w:rFonts w:hint="default" w:ascii="Times New Roman" w:hAnsi="Times New Roman" w:cs="Times New Roman"/>
              </w:rPr>
              <w:t> 135,143.73</w:t>
            </w:r>
          </w:p>
        </w:tc>
        <w:tc>
          <w:tcPr>
            <w:tcW w:w="166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692,926.37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shd w:val="clear" w:color="auto" w:fill="auto"/>
          </w:tcPr>
          <w:p>
            <w:pPr>
              <w:ind w:right="105"/>
              <w:rPr>
                <w:szCs w:val="21"/>
              </w:rPr>
            </w:pPr>
            <w:r>
              <w:rPr>
                <w:rFonts w:hint="eastAsia"/>
                <w:color w:val="auto"/>
                <w:szCs w:val="21"/>
              </w:rPr>
              <w:t>教育费附加</w:t>
            </w:r>
          </w:p>
        </w:tc>
        <w:tc>
          <w:tcPr>
            <w:tcW w:w="1660" w:type="pct"/>
            <w:shd w:val="clear" w:color="auto" w:fill="auto"/>
            <w:vAlign w:val="center"/>
          </w:tcPr>
          <w:p>
            <w:pPr>
              <w:ind w:right="73"/>
              <w:jc w:val="right"/>
              <w:rPr>
                <w:rFonts w:hint="default" w:ascii="Times New Roman" w:hAnsi="Times New Roman" w:cs="Times New Roman"/>
                <w:szCs w:val="21"/>
              </w:rPr>
            </w:pPr>
            <w:r>
              <w:rPr>
                <w:rFonts w:hint="default" w:ascii="Times New Roman" w:hAnsi="Times New Roman" w:cs="Times New Roman"/>
              </w:rPr>
              <w:t> 122,116.01</w:t>
            </w:r>
          </w:p>
        </w:tc>
        <w:tc>
          <w:tcPr>
            <w:tcW w:w="166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552,239.38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shd w:val="clear" w:color="auto" w:fill="auto"/>
          </w:tcPr>
          <w:p>
            <w:pPr>
              <w:ind w:right="105"/>
              <w:rPr>
                <w:szCs w:val="21"/>
              </w:rPr>
            </w:pPr>
            <w:r>
              <w:rPr>
                <w:rFonts w:hint="eastAsia"/>
                <w:color w:val="auto"/>
                <w:szCs w:val="21"/>
              </w:rPr>
              <w:t>土地使用税</w:t>
            </w:r>
          </w:p>
        </w:tc>
        <w:tc>
          <w:tcPr>
            <w:tcW w:w="1660" w:type="pct"/>
            <w:shd w:val="clear" w:color="auto" w:fill="auto"/>
            <w:vAlign w:val="center"/>
          </w:tcPr>
          <w:p>
            <w:pPr>
              <w:ind w:right="73"/>
              <w:jc w:val="right"/>
              <w:rPr>
                <w:rFonts w:hint="default" w:ascii="Times New Roman" w:hAnsi="Times New Roman" w:cs="Times New Roman"/>
                <w:szCs w:val="21"/>
              </w:rPr>
            </w:pPr>
            <w:r>
              <w:rPr>
                <w:rFonts w:hint="default" w:ascii="Times New Roman" w:hAnsi="Times New Roman" w:cs="Times New Roman"/>
              </w:rPr>
              <w:t> 99,755.41</w:t>
            </w:r>
          </w:p>
        </w:tc>
        <w:tc>
          <w:tcPr>
            <w:tcW w:w="1664"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99,827.53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tcPr>
          <w:p>
            <w:pPr>
              <w:ind w:right="105"/>
              <w:rPr>
                <w:rFonts w:hint="eastAsia"/>
                <w:szCs w:val="21"/>
              </w:rPr>
            </w:pPr>
            <w:r>
              <w:t>企业所得税</w:t>
            </w:r>
          </w:p>
        </w:tc>
        <w:tc>
          <w:tcPr>
            <w:tcW w:w="1660"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 82,111.16</w:t>
            </w:r>
          </w:p>
        </w:tc>
        <w:tc>
          <w:tcPr>
            <w:tcW w:w="1664" w:type="pct"/>
            <w:vAlign w:val="center"/>
          </w:tcPr>
          <w:p>
            <w:pPr>
              <w:jc w:val="right"/>
              <w:rPr>
                <w:rFonts w:hint="default" w:ascii="Times New Roman" w:hAnsi="Times New Roman" w:cs="Times New Roman"/>
                <w:szCs w:val="21"/>
              </w:rPr>
            </w:pPr>
            <w:r>
              <w:rPr>
                <w:rFonts w:hint="default" w:ascii="Times New Roman" w:hAnsi="Times New Roman" w:cs="Times New Roman"/>
              </w:rPr>
              <w:t>665,791.46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tcPr>
          <w:p>
            <w:pPr>
              <w:ind w:right="105"/>
              <w:rPr>
                <w:rFonts w:hint="eastAsia"/>
                <w:szCs w:val="21"/>
              </w:rPr>
            </w:pPr>
            <w:r>
              <w:t>环境保护税</w:t>
            </w:r>
          </w:p>
        </w:tc>
        <w:tc>
          <w:tcPr>
            <w:tcW w:w="1660"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 925.08</w:t>
            </w:r>
          </w:p>
        </w:tc>
        <w:tc>
          <w:tcPr>
            <w:tcW w:w="1664" w:type="pct"/>
            <w:vAlign w:val="center"/>
          </w:tcPr>
          <w:p>
            <w:pPr>
              <w:jc w:val="right"/>
              <w:rPr>
                <w:rFonts w:hint="default" w:ascii="Times New Roman" w:hAnsi="Times New Roman" w:cs="Times New Roman"/>
                <w:szCs w:val="21"/>
              </w:rPr>
            </w:pPr>
            <w:r>
              <w:rPr>
                <w:rFonts w:hint="default" w:ascii="Times New Roman" w:hAnsi="Times New Roman" w:cs="Times New Roman"/>
              </w:rPr>
              <w:t>925.08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tcPr>
          <w:p>
            <w:pPr>
              <w:ind w:right="105"/>
              <w:rPr>
                <w:rFonts w:hint="eastAsia"/>
                <w:szCs w:val="21"/>
              </w:rPr>
            </w:pPr>
            <w:r>
              <w:t>其他税费</w:t>
            </w:r>
          </w:p>
        </w:tc>
        <w:tc>
          <w:tcPr>
            <w:tcW w:w="1660"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 205,121.84</w:t>
            </w:r>
          </w:p>
        </w:tc>
        <w:tc>
          <w:tcPr>
            <w:tcW w:w="1664" w:type="pct"/>
            <w:vAlign w:val="center"/>
          </w:tcPr>
          <w:p>
            <w:pPr>
              <w:jc w:val="right"/>
              <w:rPr>
                <w:rFonts w:hint="default" w:ascii="Times New Roman" w:hAnsi="Times New Roman" w:cs="Times New Roman"/>
                <w:szCs w:val="21"/>
              </w:rPr>
            </w:pPr>
            <w:r>
              <w:rPr>
                <w:rFonts w:hint="default" w:ascii="Times New Roman" w:hAnsi="Times New Roman" w:cs="Times New Roman"/>
              </w:rPr>
              <w:t>201,537.50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4" w:type="pct"/>
            <w:vAlign w:val="center"/>
          </w:tcPr>
          <w:p>
            <w:pPr>
              <w:ind w:right="105"/>
              <w:jc w:val="center"/>
              <w:rPr>
                <w:rFonts w:hint="default" w:ascii="Times New Roman" w:hAnsi="Times New Roman" w:cs="Times New Roman"/>
                <w:szCs w:val="21"/>
              </w:rPr>
            </w:pPr>
            <w:r>
              <w:rPr>
                <w:rFonts w:hint="default" w:ascii="Times New Roman" w:hAnsi="Times New Roman" w:cs="Times New Roman"/>
                <w:szCs w:val="21"/>
              </w:rPr>
              <w:t>合计</w:t>
            </w:r>
          </w:p>
        </w:tc>
        <w:tc>
          <w:tcPr>
            <w:tcW w:w="1660" w:type="pct"/>
          </w:tcPr>
          <w:p>
            <w:pPr>
              <w:ind w:right="73"/>
              <w:jc w:val="right"/>
              <w:rPr>
                <w:rFonts w:hint="default" w:ascii="Times New Roman" w:hAnsi="Times New Roman" w:cs="Times New Roman"/>
                <w:szCs w:val="21"/>
              </w:rPr>
            </w:pPr>
            <w:r>
              <w:rPr>
                <w:rFonts w:hint="default" w:ascii="Times New Roman" w:hAnsi="Times New Roman" w:cs="Times New Roman"/>
              </w:rPr>
              <w:t>3,866,301.48</w:t>
            </w:r>
          </w:p>
        </w:tc>
        <w:tc>
          <w:tcPr>
            <w:tcW w:w="1664" w:type="pct"/>
          </w:tcPr>
          <w:p>
            <w:pPr>
              <w:jc w:val="right"/>
              <w:rPr>
                <w:rFonts w:hint="default" w:ascii="Times New Roman" w:hAnsi="Times New Roman" w:cs="Times New Roman"/>
                <w:szCs w:val="21"/>
              </w:rPr>
            </w:pPr>
            <w:r>
              <w:rPr>
                <w:rFonts w:hint="default" w:ascii="Times New Roman" w:hAnsi="Times New Roman" w:cs="Times New Roman"/>
              </w:rPr>
              <w:t>13,582,858.13</w:t>
            </w:r>
          </w:p>
        </w:tc>
      </w:tr>
    </w:tbl>
    <w:p/>
    <w:p>
      <w:pPr>
        <w:rPr>
          <w:szCs w:val="21"/>
        </w:rPr>
      </w:pPr>
      <w:r>
        <w:rPr>
          <w:rFonts w:hint="eastAsia"/>
          <w:szCs w:val="21"/>
        </w:rPr>
        <w:t>其他说明：</w:t>
      </w:r>
    </w:p>
    <w:sdt>
      <w:sdtPr>
        <w:rPr>
          <w:szCs w:val="21"/>
        </w:rPr>
        <w:alias w:val="应交税金的说明"/>
        <w:tag w:val="_GBC_e365cc8f407645ca84ccf91263d3cc28"/>
        <w:id w:val="27329"/>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rPr>
          <w:szCs w:val="21"/>
        </w:rPr>
      </w:pPr>
      <w:r>
        <w:rPr>
          <w:rFonts w:hint="eastAsia"/>
          <w:szCs w:val="21"/>
        </w:rPr>
        <w:t>其他应付款</w:t>
      </w:r>
    </w:p>
    <w:p>
      <w:pPr>
        <w:pStyle w:val="196"/>
        <w:numPr>
          <w:ilvl w:val="0"/>
          <w:numId w:val="99"/>
        </w:numPr>
      </w:pPr>
      <w:bookmarkStart w:id="279" w:name="_Hlk532910042"/>
      <w:r>
        <w:rPr>
          <w:rFonts w:hint="eastAsia"/>
        </w:rPr>
        <w:t>项目列示</w:t>
      </w:r>
    </w:p>
    <w:sdt>
      <w:sdtPr>
        <w:alias w:val="是否适用：其他应付款分类列示[双击切换]"/>
        <w:tag w:val="_GBC_66f20e30acfe43c3b4edf860d086ad10"/>
        <w:id w:val="27330"/>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付款分类列示"/>
          <w:tag w:val="_GBC_1d2c755c7a60470390b86f677f589d52"/>
          <w:id w:val="27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273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2863"/>
        <w:gridCol w:w="2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b32323c48c441e4832da1fe28654990"/>
            <w:id w:val="27333"/>
          </w:sdtPr>
          <w:sdtContent>
            <w:tc>
              <w:tcPr>
                <w:tcW w:w="1827"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27334"/>
          </w:sdtPr>
          <w:sdtContent>
            <w:tc>
              <w:tcPr>
                <w:tcW w:w="1581" w:type="pct"/>
                <w:shd w:val="clear" w:color="auto" w:fill="auto"/>
                <w:vAlign w:val="center"/>
              </w:tcPr>
              <w:p>
                <w:pPr>
                  <w:jc w:val="center"/>
                  <w:rPr>
                    <w:szCs w:val="21"/>
                  </w:rPr>
                </w:pPr>
                <w:r>
                  <w:rPr>
                    <w:rFonts w:hint="eastAsia"/>
                    <w:szCs w:val="21"/>
                  </w:rPr>
                  <w:t>期末余额</w:t>
                </w:r>
              </w:p>
            </w:tc>
          </w:sdtContent>
        </w:sdt>
        <w:sdt>
          <w:sdtPr>
            <w:tag w:val="_PLD_963dd0fff1a644319fa667127e37c635"/>
            <w:id w:val="27335"/>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tc>
          <w:tcPr>
            <w:tcW w:w="1581"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 8,537,790.48</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 28,627,996.71</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29,045,852.08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 37,165,787.19</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rFonts w:hint="default" w:ascii="Times New Roman" w:hAnsi="Times New Roman" w:cs="Times New Roman"/>
                <w:szCs w:val="21"/>
              </w:rPr>
            </w:pPr>
            <w:r>
              <w:rPr>
                <w:rFonts w:hint="default" w:ascii="Times New Roman" w:hAnsi="Times New Roman" w:cs="Times New Roman"/>
              </w:rPr>
              <w:t>37,583,642.56</w:t>
            </w:r>
          </w:p>
        </w:tc>
      </w:tr>
    </w:tbl>
    <w:p/>
    <w:p/>
    <w:p>
      <w:pPr>
        <w:rPr>
          <w:szCs w:val="21"/>
        </w:rPr>
      </w:pPr>
      <w:bookmarkStart w:id="280" w:name="_Hlk155097683"/>
      <w:r>
        <w:rPr>
          <w:rFonts w:hint="eastAsia"/>
          <w:szCs w:val="21"/>
        </w:rPr>
        <w:t>其他说明：</w:t>
      </w:r>
    </w:p>
    <w:sdt>
      <w:sdtPr>
        <w:rPr>
          <w:szCs w:val="21"/>
        </w:rPr>
        <w:alias w:val="是否适用：其他应付款分类列示其他说明[双击切换]"/>
        <w:tag w:val="_GBC_9cfb2316deee44a8a3605ab376f15408"/>
        <w:id w:val="27336"/>
        <w:placeholder>
          <w:docPart w:val="GBC22222222222222222222222222222"/>
        </w:placeholder>
      </w:sdtPr>
      <w:sdtEndPr>
        <w:rPr>
          <w:szCs w:val="21"/>
        </w:rPr>
      </w:sdtEndPr>
      <w:sdtContent>
        <w:p>
          <w:pPr>
            <w:outlineLvl w:val="9"/>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196"/>
        <w:numPr>
          <w:ilvl w:val="0"/>
          <w:numId w:val="99"/>
        </w:numPr>
        <w:rPr>
          <w:rFonts w:ascii="宋体" w:hAnsi="宋体" w:eastAsia="宋体" w:cs="宋体"/>
          <w:kern w:val="0"/>
          <w:szCs w:val="24"/>
        </w:rPr>
      </w:pPr>
      <w:r>
        <w:rPr>
          <w:rFonts w:hint="eastAsia" w:ascii="宋体" w:hAnsi="宋体" w:eastAsia="宋体" w:cs="宋体"/>
          <w:kern w:val="0"/>
          <w:szCs w:val="24"/>
        </w:rPr>
        <w:t>应付利息</w:t>
      </w:r>
    </w:p>
    <w:p>
      <w:r>
        <w:rPr>
          <w:rFonts w:hint="eastAsia"/>
        </w:rPr>
        <w:t>分类列示</w:t>
      </w:r>
    </w:p>
    <w:sdt>
      <w:sdtPr>
        <w:alias w:val="是否适用：应付利息[双击切换]"/>
        <w:tag w:val="_GBC_563016e83d32408f90ee8ae140b7dccd"/>
        <w:id w:val="2733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27338"/>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spacing w:before="60" w:after="60"/>
        <w:rPr>
          <w:szCs w:val="21"/>
        </w:rPr>
      </w:pPr>
      <w:r>
        <w:rPr>
          <w:rFonts w:hint="eastAsia"/>
          <w:szCs w:val="21"/>
        </w:rPr>
        <w:t>其他说明：</w:t>
      </w:r>
    </w:p>
    <w:sdt>
      <w:sdtPr>
        <w:rPr>
          <w:szCs w:val="21"/>
        </w:rPr>
        <w:alias w:val="是否适用：应付利息说明[双击切换]"/>
        <w:tag w:val="_GBC_8e7eb675343843e89996290865d02478"/>
        <w:id w:val="27339"/>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numPr>
          <w:ilvl w:val="0"/>
          <w:numId w:val="99"/>
        </w:numPr>
        <w:rPr>
          <w:rFonts w:ascii="宋体" w:hAnsi="宋体" w:eastAsia="宋体" w:cs="宋体"/>
          <w:kern w:val="0"/>
          <w:szCs w:val="24"/>
        </w:rPr>
      </w:pPr>
      <w:r>
        <w:rPr>
          <w:rFonts w:hint="eastAsia" w:ascii="宋体" w:hAnsi="宋体" w:eastAsia="宋体" w:cs="宋体"/>
          <w:kern w:val="0"/>
          <w:szCs w:val="24"/>
        </w:rPr>
        <w:t>应付股利</w:t>
      </w:r>
    </w:p>
    <w:p>
      <w:r>
        <w:rPr>
          <w:rFonts w:hint="eastAsia"/>
        </w:rPr>
        <w:t>分类列示</w:t>
      </w:r>
    </w:p>
    <w:sdt>
      <w:sdtPr>
        <w:alias w:val="是否适用：应付股利[双击切换]"/>
        <w:tag w:val="_GBC_b5ae3881f6d849679d4053b7e1707366"/>
        <w:id w:val="2734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股利"/>
          <w:tag w:val="_GBC_746e24ac62424d15a96488b86eb826bf"/>
          <w:id w:val="273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27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859"/>
        <w:gridCol w:w="3017"/>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88e24e44527e4710873d9194ba96a0df"/>
            <w:id w:val="27343"/>
          </w:sdtPr>
          <w:sdtContent>
            <w:tc>
              <w:tcPr>
                <w:tcW w:w="1607" w:type="pct"/>
              </w:tcPr>
              <w:p>
                <w:pPr>
                  <w:ind w:right="105"/>
                  <w:jc w:val="center"/>
                  <w:rPr>
                    <w:szCs w:val="21"/>
                  </w:rPr>
                </w:pPr>
                <w:r>
                  <w:rPr>
                    <w:rFonts w:hint="eastAsia"/>
                    <w:szCs w:val="21"/>
                  </w:rPr>
                  <w:t>项目</w:t>
                </w:r>
              </w:p>
            </w:tc>
          </w:sdtContent>
        </w:sdt>
        <w:sdt>
          <w:sdtPr>
            <w:tag w:val="_PLD_af903224d39d4058972c7eba8a903356"/>
            <w:id w:val="27344"/>
          </w:sdtPr>
          <w:sdtContent>
            <w:tc>
              <w:tcPr>
                <w:tcW w:w="1696" w:type="pct"/>
              </w:tcPr>
              <w:p>
                <w:pPr>
                  <w:jc w:val="center"/>
                  <w:rPr>
                    <w:szCs w:val="21"/>
                  </w:rPr>
                </w:pPr>
                <w:r>
                  <w:rPr>
                    <w:rFonts w:hint="eastAsia"/>
                    <w:szCs w:val="21"/>
                  </w:rPr>
                  <w:t>期末余额</w:t>
                </w:r>
              </w:p>
            </w:tc>
          </w:sdtContent>
        </w:sdt>
        <w:sdt>
          <w:sdtPr>
            <w:tag w:val="_PLD_11459cf9081a4b309da14403cad71071"/>
            <w:id w:val="27345"/>
          </w:sdtPr>
          <w:sdtContent>
            <w:tc>
              <w:tcPr>
                <w:tcW w:w="1697" w:type="pct"/>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right="105"/>
              <w:rPr>
                <w:szCs w:val="21"/>
              </w:rPr>
            </w:pPr>
            <w:r>
              <w:rPr>
                <w:rFonts w:hint="eastAsia"/>
                <w:szCs w:val="21"/>
              </w:rPr>
              <w:t>普通股股利</w:t>
            </w:r>
          </w:p>
        </w:tc>
        <w:tc>
          <w:tcPr>
            <w:tcW w:w="169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8,537,790.48</w:t>
            </w:r>
          </w:p>
        </w:tc>
        <w:tc>
          <w:tcPr>
            <w:tcW w:w="1697"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right="105"/>
              <w:rPr>
                <w:color w:val="000000" w:themeColor="text1"/>
                <w:szCs w:val="21"/>
                <w14:textFill>
                  <w14:solidFill>
                    <w14:schemeClr w14:val="tx1"/>
                  </w14:solidFill>
                </w14:textFill>
              </w:rPr>
            </w:pPr>
            <w:r>
              <w:rPr>
                <w:rFonts w:hint="eastAsia"/>
                <w:szCs w:val="21"/>
              </w:rPr>
              <w:t>划分为权益工具的优先股\永续债股利</w:t>
            </w:r>
          </w:p>
        </w:tc>
        <w:tc>
          <w:tcPr>
            <w:tcW w:w="1696" w:type="pct"/>
            <w:vAlign w:val="center"/>
          </w:tcPr>
          <w:p>
            <w:pPr>
              <w:ind w:right="73"/>
              <w:jc w:val="right"/>
              <w:rPr>
                <w:rFonts w:hint="default" w:ascii="Times New Roman" w:hAnsi="Times New Roman" w:cs="Times New Roman"/>
                <w:szCs w:val="21"/>
              </w:rPr>
            </w:pPr>
          </w:p>
        </w:tc>
        <w:tc>
          <w:tcPr>
            <w:tcW w:w="1697" w:type="pct"/>
            <w:vAlign w:val="center"/>
          </w:tcPr>
          <w:p>
            <w:pPr>
              <w:ind w:right="7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firstLine="420" w:firstLineChars="200"/>
              <w:rPr>
                <w:szCs w:val="21"/>
              </w:rPr>
            </w:pPr>
            <w:r>
              <w:rPr>
                <w:rFonts w:hint="eastAsia"/>
                <w:color w:val="auto"/>
                <w:szCs w:val="21"/>
              </w:rPr>
              <w:t>优先股</w:t>
            </w:r>
            <w:r>
              <w:rPr>
                <w:color w:val="auto"/>
                <w:szCs w:val="21"/>
              </w:rPr>
              <w:t>\永续债股利-XXX</w:t>
            </w:r>
          </w:p>
        </w:tc>
        <w:tc>
          <w:tcPr>
            <w:tcW w:w="1696" w:type="pct"/>
            <w:vAlign w:val="center"/>
          </w:tcPr>
          <w:p>
            <w:pPr>
              <w:ind w:right="73"/>
              <w:jc w:val="right"/>
              <w:rPr>
                <w:rFonts w:hint="default" w:ascii="Times New Roman" w:hAnsi="Times New Roman" w:cs="Times New Roman"/>
                <w:szCs w:val="21"/>
              </w:rPr>
            </w:pPr>
          </w:p>
        </w:tc>
        <w:tc>
          <w:tcPr>
            <w:tcW w:w="1697" w:type="pct"/>
            <w:vAlign w:val="center"/>
          </w:tcPr>
          <w:p>
            <w:pPr>
              <w:ind w:right="7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firstLine="420" w:firstLineChars="200"/>
              <w:rPr>
                <w:szCs w:val="21"/>
              </w:rPr>
            </w:pPr>
            <w:r>
              <w:rPr>
                <w:rFonts w:hint="eastAsia"/>
                <w:color w:val="auto"/>
                <w:szCs w:val="21"/>
              </w:rPr>
              <w:t>优先股</w:t>
            </w:r>
            <w:r>
              <w:rPr>
                <w:color w:val="auto"/>
                <w:szCs w:val="21"/>
              </w:rPr>
              <w:t>\永续债股利-XXX</w:t>
            </w:r>
          </w:p>
        </w:tc>
        <w:tc>
          <w:tcPr>
            <w:tcW w:w="1696" w:type="pct"/>
            <w:vAlign w:val="center"/>
          </w:tcPr>
          <w:p>
            <w:pPr>
              <w:ind w:right="73"/>
              <w:jc w:val="right"/>
              <w:rPr>
                <w:rFonts w:hint="default" w:ascii="Times New Roman" w:hAnsi="Times New Roman" w:cs="Times New Roman"/>
                <w:szCs w:val="21"/>
              </w:rPr>
            </w:pPr>
          </w:p>
        </w:tc>
        <w:tc>
          <w:tcPr>
            <w:tcW w:w="1697" w:type="pct"/>
            <w:vAlign w:val="center"/>
          </w:tcPr>
          <w:p>
            <w:pPr>
              <w:ind w:right="7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jc w:val="both"/>
              <w:rPr>
                <w:szCs w:val="21"/>
              </w:rPr>
            </w:pPr>
            <w:r>
              <w:rPr>
                <w:rFonts w:hint="eastAsia"/>
                <w:color w:val="auto"/>
                <w:szCs w:val="21"/>
              </w:rPr>
              <w:t>应付股利</w:t>
            </w:r>
            <w:r>
              <w:rPr>
                <w:color w:val="auto"/>
                <w:szCs w:val="21"/>
              </w:rPr>
              <w:t>-XXX</w:t>
            </w:r>
          </w:p>
        </w:tc>
        <w:tc>
          <w:tcPr>
            <w:tcW w:w="1696" w:type="pct"/>
            <w:vAlign w:val="center"/>
          </w:tcPr>
          <w:p>
            <w:pPr>
              <w:ind w:right="73"/>
              <w:jc w:val="right"/>
              <w:rPr>
                <w:rFonts w:hint="default" w:ascii="Times New Roman" w:hAnsi="Times New Roman" w:cs="Times New Roman"/>
                <w:szCs w:val="21"/>
              </w:rPr>
            </w:pPr>
          </w:p>
        </w:tc>
        <w:tc>
          <w:tcPr>
            <w:tcW w:w="1697" w:type="pct"/>
            <w:vAlign w:val="center"/>
          </w:tcPr>
          <w:p>
            <w:pPr>
              <w:ind w:right="7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jc w:val="both"/>
              <w:rPr>
                <w:szCs w:val="21"/>
              </w:rPr>
            </w:pPr>
            <w:r>
              <w:rPr>
                <w:rFonts w:hint="eastAsia"/>
                <w:color w:val="auto"/>
                <w:szCs w:val="21"/>
              </w:rPr>
              <w:t>应付股利</w:t>
            </w:r>
            <w:r>
              <w:rPr>
                <w:color w:val="auto"/>
                <w:szCs w:val="21"/>
              </w:rPr>
              <w:t>-XXX</w:t>
            </w:r>
          </w:p>
        </w:tc>
        <w:tc>
          <w:tcPr>
            <w:tcW w:w="1696" w:type="pct"/>
            <w:vAlign w:val="center"/>
          </w:tcPr>
          <w:p>
            <w:pPr>
              <w:ind w:right="73"/>
              <w:jc w:val="right"/>
              <w:rPr>
                <w:rFonts w:hint="default" w:ascii="Times New Roman" w:hAnsi="Times New Roman" w:cs="Times New Roman"/>
                <w:szCs w:val="21"/>
              </w:rPr>
            </w:pPr>
          </w:p>
        </w:tc>
        <w:tc>
          <w:tcPr>
            <w:tcW w:w="1697" w:type="pct"/>
            <w:vAlign w:val="center"/>
          </w:tcPr>
          <w:p>
            <w:pPr>
              <w:ind w:right="73"/>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right="105"/>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69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8,537,790.48</w:t>
            </w:r>
          </w:p>
        </w:tc>
        <w:tc>
          <w:tcPr>
            <w:tcW w:w="1697"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8,537,790.48</w:t>
            </w:r>
          </w:p>
        </w:tc>
      </w:tr>
    </w:tbl>
    <w:p/>
    <w:p>
      <w:pPr>
        <w:snapToGrid w:val="0"/>
        <w:rPr>
          <w:szCs w:val="21"/>
        </w:rPr>
      </w:pPr>
      <w:r>
        <w:rPr>
          <w:rFonts w:hint="eastAsia"/>
          <w:szCs w:val="21"/>
        </w:rPr>
        <w:t>其他说明，包括重要的超过</w:t>
      </w:r>
      <w:r>
        <w:rPr>
          <w:szCs w:val="21"/>
        </w:rPr>
        <w:t>1年未支付的应付股利，应披露未支付原因：</w:t>
      </w:r>
    </w:p>
    <w:p>
      <w:pPr>
        <w:snapToGrid w:val="0"/>
        <w:rPr>
          <w:szCs w:val="21"/>
        </w:rPr>
      </w:pPr>
      <w:sdt>
        <w:sdtPr>
          <w:rPr>
            <w:rFonts w:hint="eastAsia"/>
            <w:szCs w:val="21"/>
          </w:rPr>
          <w:alias w:val="应付股利的说明"/>
          <w:tag w:val="_GBC_9ce4b2e8b2314e3ab29de5513773410c"/>
          <w:id w:val="27346"/>
          <w:placeholder>
            <w:docPart w:val="GBC22222222222222222222222222222"/>
          </w:placeholder>
        </w:sdtPr>
        <w:sdtEndPr>
          <w:rPr>
            <w:rFonts w:hint="eastAsia"/>
            <w:szCs w:val="21"/>
          </w:rPr>
        </w:sdtEndPr>
        <w:sdtContent>
          <w:r>
            <w:rPr>
              <w:rFonts w:hint="eastAsia"/>
              <w:szCs w:val="21"/>
            </w:rPr>
            <w:t>历史遗留原因未支付</w:t>
          </w:r>
        </w:sdtContent>
      </w:sdt>
    </w:p>
    <w:p>
      <w:pPr>
        <w:pStyle w:val="196"/>
        <w:numPr>
          <w:ilvl w:val="0"/>
          <w:numId w:val="99"/>
        </w:numPr>
        <w:rPr>
          <w:rFonts w:ascii="宋体" w:hAnsi="宋体" w:eastAsia="宋体" w:cs="宋体"/>
          <w:kern w:val="0"/>
          <w:szCs w:val="24"/>
        </w:rPr>
      </w:pPr>
      <w:r>
        <w:rPr>
          <w:rFonts w:hint="eastAsia" w:ascii="宋体" w:hAnsi="宋体" w:eastAsia="宋体" w:cs="宋体"/>
          <w:kern w:val="0"/>
          <w:szCs w:val="24"/>
        </w:rPr>
        <w:t>其他应付款</w:t>
      </w:r>
    </w:p>
    <w:p>
      <w:r>
        <w:rPr>
          <w:rFonts w:hint="eastAsia"/>
        </w:rPr>
        <w:t>按款项性质列示其他应付款</w:t>
      </w:r>
    </w:p>
    <w:sdt>
      <w:sdtPr>
        <w:alias w:val="是否适用：按款项性质列示其他应付款[双击切换]"/>
        <w:tag w:val="_GBC_57fbe084a94a43569e8618c84187e188"/>
        <w:id w:val="2734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应付款情况"/>
          <w:tag w:val="_GBC_d726e1428c6749b29d7f0a192835a738"/>
          <w:id w:val="273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27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3c8bd274adc4f10996e441415613a6a"/>
            <w:id w:val="27350"/>
          </w:sdtPr>
          <w:sdtContent>
            <w:tc>
              <w:tcPr>
                <w:tcW w:w="1615" w:type="pct"/>
                <w:shd w:val="clear" w:color="auto" w:fill="auto"/>
              </w:tcPr>
              <w:p>
                <w:pPr>
                  <w:jc w:val="center"/>
                  <w:rPr>
                    <w:szCs w:val="21"/>
                  </w:rPr>
                </w:pPr>
                <w:r>
                  <w:rPr>
                    <w:rFonts w:hint="eastAsia"/>
                    <w:szCs w:val="21"/>
                  </w:rPr>
                  <w:t>项目</w:t>
                </w:r>
              </w:p>
            </w:tc>
          </w:sdtContent>
        </w:sdt>
        <w:sdt>
          <w:sdtPr>
            <w:tag w:val="_PLD_a5c3f7ebd9dd4870a971a7b858fb9f49"/>
            <w:id w:val="27351"/>
          </w:sdtPr>
          <w:sdtContent>
            <w:tc>
              <w:tcPr>
                <w:tcW w:w="1657" w:type="pct"/>
                <w:shd w:val="clear" w:color="auto" w:fill="auto"/>
              </w:tcPr>
              <w:p>
                <w:pPr>
                  <w:jc w:val="center"/>
                  <w:rPr>
                    <w:szCs w:val="21"/>
                  </w:rPr>
                </w:pPr>
                <w:r>
                  <w:rPr>
                    <w:rFonts w:hint="eastAsia"/>
                    <w:szCs w:val="21"/>
                  </w:rPr>
                  <w:t>期末余额</w:t>
                </w:r>
              </w:p>
            </w:tc>
          </w:sdtContent>
        </w:sdt>
        <w:sdt>
          <w:sdtPr>
            <w:tag w:val="_PLD_f8823e49aba34d32b07cafa41f32e166"/>
            <w:id w:val="27352"/>
          </w:sdtPr>
          <w:sdtContent>
            <w:tc>
              <w:tcPr>
                <w:tcW w:w="1728"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hint="default" w:ascii="Times New Roman" w:hAnsi="Times New Roman" w:cs="Times New Roman"/>
                <w:szCs w:val="21"/>
              </w:rPr>
            </w:pPr>
            <w:r>
              <w:rPr>
                <w:rFonts w:hint="default" w:ascii="Times New Roman" w:hAnsi="Times New Roman" w:cs="Times New Roman"/>
              </w:rPr>
              <w:t>往来款</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 24,923,607.50</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23,660,086.33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hint="default" w:ascii="Times New Roman" w:hAnsi="Times New Roman" w:cs="Times New Roman"/>
                <w:szCs w:val="21"/>
              </w:rPr>
            </w:pPr>
            <w:r>
              <w:rPr>
                <w:rFonts w:hint="default" w:ascii="Times New Roman" w:hAnsi="Times New Roman" w:cs="Times New Roman"/>
              </w:rPr>
              <w:t>保证金及押金</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 3,614,997.30</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5,145,192.87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hint="default" w:ascii="Times New Roman" w:hAnsi="Times New Roman" w:cs="Times New Roman"/>
                <w:szCs w:val="21"/>
              </w:rPr>
            </w:pPr>
            <w:r>
              <w:rPr>
                <w:rFonts w:hint="default" w:ascii="Times New Roman" w:hAnsi="Times New Roman" w:cs="Times New Roman"/>
              </w:rPr>
              <w:t>其他</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 89,391.91</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240,572.88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合计</w:t>
            </w:r>
          </w:p>
        </w:tc>
        <w:tc>
          <w:tcPr>
            <w:tcW w:w="1657"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 28,627,996.71</w:t>
            </w:r>
          </w:p>
        </w:tc>
        <w:tc>
          <w:tcPr>
            <w:tcW w:w="172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rPr>
              <w:t>29,045,852.08</w:t>
            </w:r>
          </w:p>
        </w:tc>
      </w:tr>
    </w:tbl>
    <w:p>
      <w:pPr>
        <w:rPr>
          <w:rFonts w:hint="default" w:ascii="Times New Roman" w:hAnsi="Times New Roman" w:cs="Times New Roman"/>
        </w:rPr>
      </w:pPr>
    </w:p>
    <w:p>
      <w:r>
        <w:rPr>
          <w:rFonts w:hint="eastAsia"/>
        </w:rPr>
        <w:t>账龄超过</w:t>
      </w:r>
      <w:r>
        <w:t>1年</w:t>
      </w:r>
      <w:r>
        <w:rPr>
          <w:rFonts w:hint="eastAsia"/>
        </w:rPr>
        <w:t>或逾期</w:t>
      </w:r>
      <w:r>
        <w:t>的重要其他应付款</w:t>
      </w:r>
    </w:p>
    <w:p>
      <w:sdt>
        <w:sdtPr>
          <w:alias w:val="是否适用：账龄超过1年的重要其他应付款[双击切换]"/>
          <w:tag w:val="_GBC_fcaee62c74504c20ba2aca131c060029"/>
          <w:id w:val="27353"/>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e21231b7e5484676830a99cc2a6d76a0"/>
          <w:id w:val="273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273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tag w:val="_PLD_14d2af0850664c16b8395770ef822d33"/>
            <w:id w:val="27356"/>
          </w:sdtPr>
          <w:sdtContent>
            <w:tc>
              <w:tcPr>
                <w:tcW w:w="1607" w:type="pct"/>
                <w:shd w:val="clear" w:color="auto" w:fill="auto"/>
                <w:vAlign w:val="center"/>
              </w:tcPr>
              <w:p>
                <w:pPr>
                  <w:jc w:val="center"/>
                  <w:rPr>
                    <w:szCs w:val="21"/>
                  </w:rPr>
                </w:pPr>
                <w:r>
                  <w:rPr>
                    <w:rFonts w:hint="eastAsia"/>
                    <w:szCs w:val="21"/>
                  </w:rPr>
                  <w:t>项目</w:t>
                </w:r>
              </w:p>
            </w:tc>
          </w:sdtContent>
        </w:sdt>
        <w:sdt>
          <w:sdtPr>
            <w:tag w:val="_PLD_c469b5a44aaf475d9fd5270a942f9c4a"/>
            <w:id w:val="27357"/>
          </w:sdtPr>
          <w:sdtContent>
            <w:tc>
              <w:tcPr>
                <w:tcW w:w="1673" w:type="pct"/>
                <w:shd w:val="clear" w:color="auto" w:fill="auto"/>
                <w:vAlign w:val="center"/>
              </w:tcPr>
              <w:p>
                <w:pPr>
                  <w:jc w:val="center"/>
                  <w:rPr>
                    <w:szCs w:val="21"/>
                  </w:rPr>
                </w:pPr>
                <w:r>
                  <w:rPr>
                    <w:rFonts w:hint="eastAsia"/>
                    <w:szCs w:val="21"/>
                  </w:rPr>
                  <w:t>期末余额</w:t>
                </w:r>
              </w:p>
            </w:tc>
          </w:sdtContent>
        </w:sdt>
        <w:sdt>
          <w:sdtPr>
            <w:tag w:val="_PLD_94367c3bf4fa488b95d154694ccf77ca"/>
            <w:id w:val="27358"/>
          </w:sdtPr>
          <w:sdtContent>
            <w:tc>
              <w:tcPr>
                <w:tcW w:w="1720" w:type="pct"/>
                <w:shd w:val="clear" w:color="auto" w:fill="auto"/>
                <w:vAlign w:val="center"/>
              </w:tcPr>
              <w:p>
                <w:pPr>
                  <w:jc w:val="center"/>
                  <w:rPr>
                    <w:szCs w:val="21"/>
                  </w:rPr>
                </w:pPr>
                <w:r>
                  <w:rPr>
                    <w:rFonts w:hint="eastAsia"/>
                    <w:szCs w:val="21"/>
                  </w:rPr>
                  <w:t>未偿还或结转的原因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szCs w:val="21"/>
              </w:rPr>
            </w:pPr>
            <w:r>
              <w:t>单位1</w:t>
            </w:r>
          </w:p>
        </w:tc>
        <w:tc>
          <w:tcPr>
            <w:tcW w:w="167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5,825,688.23</w:t>
            </w:r>
          </w:p>
        </w:tc>
        <w:tc>
          <w:tcPr>
            <w:tcW w:w="1720" w:type="pct"/>
            <w:shd w:val="clear" w:color="auto" w:fill="auto"/>
            <w:vAlign w:val="center"/>
          </w:tcPr>
          <w:p>
            <w:pPr>
              <w:jc w:val="right"/>
              <w:rPr>
                <w:szCs w:val="21"/>
              </w:rPr>
            </w:pPr>
            <w:r>
              <w:t>未到偿还期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szCs w:val="21"/>
              </w:rPr>
            </w:pPr>
            <w:r>
              <w:t>单位2</w:t>
            </w:r>
          </w:p>
        </w:tc>
        <w:tc>
          <w:tcPr>
            <w:tcW w:w="167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4,470,000.00</w:t>
            </w:r>
          </w:p>
        </w:tc>
        <w:tc>
          <w:tcPr>
            <w:tcW w:w="1720" w:type="pct"/>
            <w:shd w:val="clear" w:color="auto" w:fill="auto"/>
            <w:vAlign w:val="center"/>
          </w:tcPr>
          <w:p>
            <w:pPr>
              <w:jc w:val="right"/>
              <w:rPr>
                <w:szCs w:val="21"/>
              </w:rPr>
            </w:pPr>
            <w:r>
              <w:t>未到偿还期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szCs w:val="21"/>
              </w:rPr>
            </w:pPr>
            <w:r>
              <w:t>单位3</w:t>
            </w:r>
          </w:p>
        </w:tc>
        <w:tc>
          <w:tcPr>
            <w:tcW w:w="167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1,000,000.00</w:t>
            </w:r>
          </w:p>
        </w:tc>
        <w:tc>
          <w:tcPr>
            <w:tcW w:w="1720" w:type="pct"/>
            <w:shd w:val="clear" w:color="auto" w:fill="auto"/>
            <w:vAlign w:val="center"/>
          </w:tcPr>
          <w:p>
            <w:pPr>
              <w:jc w:val="right"/>
              <w:rPr>
                <w:szCs w:val="21"/>
              </w:rPr>
            </w:pPr>
            <w:r>
              <w:t>未到偿还期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vAlign w:val="center"/>
          </w:tcPr>
          <w:p>
            <w:pPr>
              <w:jc w:val="center"/>
              <w:rPr>
                <w:szCs w:val="21"/>
              </w:rPr>
            </w:pPr>
            <w:r>
              <w:rPr>
                <w:rFonts w:hint="eastAsia"/>
                <w:szCs w:val="21"/>
              </w:rPr>
              <w:t>合计</w:t>
            </w:r>
          </w:p>
        </w:tc>
        <w:tc>
          <w:tcPr>
            <w:tcW w:w="167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11,295,688.23</w:t>
            </w:r>
          </w:p>
        </w:tc>
        <w:tc>
          <w:tcPr>
            <w:tcW w:w="1720" w:type="pct"/>
            <w:shd w:val="clear" w:color="auto" w:fill="auto"/>
          </w:tcPr>
          <w:p>
            <w:pPr>
              <w:jc w:val="center"/>
              <w:rPr>
                <w:szCs w:val="21"/>
              </w:rPr>
            </w:pPr>
            <w:r>
              <w:rPr>
                <w:rFonts w:hint="eastAsia"/>
                <w:szCs w:val="21"/>
              </w:rPr>
              <w:t>/</w:t>
            </w:r>
          </w:p>
        </w:tc>
      </w:tr>
    </w:tbl>
    <w:p/>
    <w:p>
      <w:r>
        <w:rPr>
          <w:rFonts w:hint="eastAsia"/>
        </w:rPr>
        <w:t>其他说明：</w:t>
      </w:r>
    </w:p>
    <w:sdt>
      <w:sdtPr>
        <w:alias w:val="是否适用：其他应付款的其他说明[双击切换]"/>
        <w:tag w:val="_GBC_b02a256e4ac940019e9d9179cb6dc349"/>
        <w:id w:val="27359"/>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bookmarkEnd w:id="279"/>
    <w:bookmarkEnd w:id="280"/>
    <w:p>
      <w:pPr>
        <w:pStyle w:val="229"/>
        <w:numPr>
          <w:ilvl w:val="0"/>
          <w:numId w:val="71"/>
        </w:numPr>
        <w:tabs>
          <w:tab w:val="left" w:pos="504"/>
        </w:tabs>
        <w:rPr>
          <w:szCs w:val="21"/>
        </w:rPr>
      </w:pPr>
      <w:r>
        <w:rPr>
          <w:rFonts w:hint="eastAsia" w:ascii="宋体" w:hAnsi="宋体"/>
          <w:szCs w:val="21"/>
        </w:rPr>
        <w:t>持有</w:t>
      </w:r>
      <w:r>
        <w:rPr>
          <w:rFonts w:hint="eastAsia"/>
          <w:szCs w:val="21"/>
        </w:rPr>
        <w:t>待售负债</w:t>
      </w:r>
    </w:p>
    <w:sdt>
      <w:sdtPr>
        <w:alias w:val="是否适用：划分为持有待售的负债[双击切换]"/>
        <w:tag w:val="_GBC_4ea9b2c6d4024d74b39e491f80a07798"/>
        <w:id w:val="27360"/>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71"/>
        </w:numPr>
        <w:tabs>
          <w:tab w:val="left" w:pos="504"/>
        </w:tabs>
        <w:rPr>
          <w:rFonts w:ascii="宋体" w:hAnsi="宋体"/>
          <w:szCs w:val="21"/>
        </w:rPr>
      </w:pPr>
      <w:bookmarkStart w:id="281" w:name="_Hlk24104125"/>
      <w:r>
        <w:rPr>
          <w:rFonts w:hint="eastAsia" w:ascii="宋体" w:hAnsi="宋体"/>
          <w:szCs w:val="21"/>
        </w:rPr>
        <w:t>1年内到期的非流动负债</w:t>
      </w:r>
    </w:p>
    <w:sdt>
      <w:sdtPr>
        <w:alias w:val="是否适用：1年内到期的非流动负债[双击切换]"/>
        <w:tag w:val="_GBC_bf40c7464345405f8470856436e2c6a3"/>
        <w:id w:val="2736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1年内到期的非流动负债情况"/>
          <w:tag w:val="_GBC_fc5bef9f043c4967ab706b443fc31d3c"/>
          <w:id w:val="273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273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7"/>
        <w:gridCol w:w="3038"/>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e20bf58d6f134f4caedbea03f8659c14"/>
            <w:id w:val="17216"/>
          </w:sdtPr>
          <w:sdtEndPr>
            <w:rPr>
              <w:rFonts w:ascii="Times New Roman" w:hAnsi="Times New Roman"/>
            </w:rPr>
          </w:sdtEndPr>
          <w:sdtContent>
            <w:tc>
              <w:tcPr>
                <w:tcW w:w="1606" w:type="pct"/>
                <w:shd w:val="clear" w:color="auto" w:fill="auto"/>
              </w:tcPr>
              <w:p>
                <w:pPr>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dad829d6a45646668218857399318d20"/>
            <w:id w:val="17217"/>
          </w:sdtPr>
          <w:sdtEndPr>
            <w:rPr>
              <w:rFonts w:ascii="Times New Roman" w:hAnsi="Times New Roman"/>
            </w:rPr>
          </w:sdtEndPr>
          <w:sdtContent>
            <w:tc>
              <w:tcPr>
                <w:tcW w:w="1678" w:type="pct"/>
                <w:shd w:val="clear" w:color="auto" w:fill="auto"/>
              </w:tcPr>
              <w:p>
                <w:pPr>
                  <w:jc w:val="center"/>
                  <w:rPr>
                    <w:rFonts w:ascii="Times New Roman" w:hAnsi="Times New Roman"/>
                    <w:szCs w:val="21"/>
                  </w:rPr>
                </w:pPr>
                <w:r>
                  <w:rPr>
                    <w:rFonts w:hint="eastAsia" w:ascii="Times New Roman" w:hAnsi="Times New Roman"/>
                    <w:szCs w:val="21"/>
                  </w:rPr>
                  <w:t>期末余额</w:t>
                </w:r>
              </w:p>
            </w:tc>
          </w:sdtContent>
        </w:sdt>
        <w:sdt>
          <w:sdtPr>
            <w:rPr>
              <w:rFonts w:ascii="Times New Roman" w:hAnsi="Times New Roman"/>
            </w:rPr>
            <w:tag w:val="_PLD_9d1d036ddf0544b2b2ddd1dc5633a114"/>
            <w:id w:val="17218"/>
          </w:sdtPr>
          <w:sdtEndPr>
            <w:rPr>
              <w:rFonts w:ascii="Times New Roman" w:hAnsi="Times New Roman"/>
            </w:rPr>
          </w:sdtEndPr>
          <w:sdtContent>
            <w:tc>
              <w:tcPr>
                <w:tcW w:w="1715" w:type="pct"/>
                <w:shd w:val="clear" w:color="auto" w:fill="auto"/>
              </w:tcPr>
              <w:p>
                <w:pPr>
                  <w:jc w:val="center"/>
                  <w:rPr>
                    <w:rFonts w:ascii="Times New Roman" w:hAnsi="Times New Roman"/>
                    <w:szCs w:val="21"/>
                  </w:rPr>
                </w:pPr>
                <w:r>
                  <w:rPr>
                    <w:rFonts w:hint="eastAsia" w:ascii="Times New Roman" w:hAnsi="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ascii="Times New Roman" w:hAnsi="Times New Roman"/>
                <w:szCs w:val="21"/>
              </w:rPr>
            </w:pPr>
            <w:r>
              <w:rPr>
                <w:rFonts w:hint="eastAsia" w:ascii="Times New Roman" w:hAnsi="Times New Roman"/>
                <w:szCs w:val="21"/>
              </w:rPr>
              <w:t>1年内到期的长期借款</w:t>
            </w:r>
          </w:p>
        </w:tc>
        <w:tc>
          <w:tcPr>
            <w:tcW w:w="1678" w:type="pct"/>
            <w:shd w:val="clear" w:color="auto" w:fill="auto"/>
          </w:tcPr>
          <w:p>
            <w:pPr>
              <w:jc w:val="right"/>
              <w:rPr>
                <w:rFonts w:hint="default" w:ascii="Times New Roman" w:hAnsi="Times New Roman" w:cs="Times New Roman"/>
                <w:color w:val="auto"/>
              </w:rPr>
            </w:pPr>
            <w:r>
              <w:rPr>
                <w:rFonts w:hint="default" w:ascii="Times New Roman" w:hAnsi="Times New Roman" w:cs="Times New Roman"/>
                <w:color w:val="auto"/>
              </w:rPr>
              <w:t>24,000,000.00</w:t>
            </w:r>
          </w:p>
        </w:tc>
        <w:tc>
          <w:tcPr>
            <w:tcW w:w="1715" w:type="pct"/>
            <w:shd w:val="clear" w:color="auto" w:fill="auto"/>
          </w:tcPr>
          <w:p>
            <w:pPr>
              <w:jc w:val="righ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ascii="Times New Roman" w:hAnsi="Times New Roman"/>
                <w:szCs w:val="21"/>
              </w:rPr>
            </w:pPr>
            <w:r>
              <w:rPr>
                <w:rFonts w:hint="eastAsia" w:ascii="Times New Roman" w:hAnsi="Times New Roman"/>
                <w:szCs w:val="21"/>
              </w:rPr>
              <w:t>1年内到期的应付债券</w:t>
            </w:r>
          </w:p>
        </w:tc>
        <w:tc>
          <w:tcPr>
            <w:tcW w:w="1678" w:type="pct"/>
            <w:shd w:val="clear" w:color="auto" w:fill="auto"/>
          </w:tcPr>
          <w:p>
            <w:pPr>
              <w:jc w:val="right"/>
              <w:rPr>
                <w:rFonts w:ascii="Times New Roman" w:hAnsi="Times New Roman"/>
                <w:szCs w:val="21"/>
              </w:rPr>
            </w:pPr>
          </w:p>
        </w:tc>
        <w:tc>
          <w:tcPr>
            <w:tcW w:w="1715" w:type="pct"/>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ascii="Times New Roman" w:hAnsi="Times New Roman"/>
                <w:szCs w:val="21"/>
              </w:rPr>
            </w:pPr>
            <w:r>
              <w:rPr>
                <w:rFonts w:hint="eastAsia" w:ascii="Times New Roman" w:hAnsi="Times New Roman"/>
                <w:szCs w:val="21"/>
              </w:rPr>
              <w:t>1年内到期的长期应付款</w:t>
            </w:r>
          </w:p>
        </w:tc>
        <w:tc>
          <w:tcPr>
            <w:tcW w:w="1678" w:type="pct"/>
            <w:shd w:val="clear" w:color="auto" w:fill="auto"/>
          </w:tcPr>
          <w:p>
            <w:pPr>
              <w:jc w:val="right"/>
              <w:rPr>
                <w:rFonts w:ascii="Times New Roman" w:hAnsi="Times New Roman"/>
                <w:szCs w:val="21"/>
              </w:rPr>
            </w:pPr>
          </w:p>
        </w:tc>
        <w:tc>
          <w:tcPr>
            <w:tcW w:w="1715" w:type="pct"/>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rPr>
                <w:rFonts w:hint="default" w:ascii="Times New Roman" w:hAnsi="Times New Roman" w:cs="Times New Roman"/>
              </w:rPr>
            </w:pPr>
            <w:r>
              <w:rPr>
                <w:rFonts w:hint="default" w:ascii="Times New Roman" w:hAnsi="Times New Roman" w:cs="Times New Roman"/>
              </w:rPr>
              <w:t>1年内到期的租赁负债</w:t>
            </w:r>
          </w:p>
        </w:tc>
        <w:tc>
          <w:tcPr>
            <w:tcW w:w="167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color w:val="auto"/>
              </w:rPr>
              <w:t>1,667,756.84</w:t>
            </w:r>
          </w:p>
        </w:tc>
        <w:tc>
          <w:tcPr>
            <w:tcW w:w="1715" w:type="pct"/>
            <w:shd w:val="clear" w:color="auto" w:fill="auto"/>
          </w:tcPr>
          <w:p>
            <w:pPr>
              <w:jc w:val="right"/>
              <w:rPr>
                <w:rFonts w:hint="default" w:ascii="Times New Roman" w:hAnsi="Times New Roman" w:cs="Times New Roman"/>
                <w:szCs w:val="21"/>
              </w:rPr>
            </w:pPr>
            <w:r>
              <w:rPr>
                <w:rFonts w:hint="default" w:ascii="Times New Roman" w:hAnsi="Times New Roman" w:cs="Times New Roman"/>
                <w:color w:val="auto"/>
              </w:rPr>
              <w:t>666,149.95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pct"/>
            <w:shd w:val="clear" w:color="auto" w:fill="auto"/>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678" w:type="pct"/>
            <w:shd w:val="clear" w:color="auto" w:fill="auto"/>
          </w:tcPr>
          <w:p>
            <w:pPr>
              <w:jc w:val="right"/>
              <w:rPr>
                <w:rFonts w:hint="default" w:ascii="Times New Roman" w:hAnsi="Times New Roman" w:cs="Times New Roman"/>
                <w:szCs w:val="21"/>
              </w:rPr>
            </w:pPr>
            <w:r>
              <w:rPr>
                <w:rFonts w:hint="default" w:ascii="Times New Roman" w:hAnsi="Times New Roman" w:cs="Times New Roman"/>
                <w:color w:val="auto"/>
              </w:rPr>
              <w:t>25,667,756.84</w:t>
            </w:r>
          </w:p>
        </w:tc>
        <w:tc>
          <w:tcPr>
            <w:tcW w:w="1715" w:type="pct"/>
            <w:shd w:val="clear" w:color="auto" w:fill="auto"/>
          </w:tcPr>
          <w:p>
            <w:pPr>
              <w:jc w:val="right"/>
              <w:rPr>
                <w:rFonts w:hint="default" w:ascii="Times New Roman" w:hAnsi="Times New Roman" w:cs="Times New Roman"/>
                <w:szCs w:val="21"/>
              </w:rPr>
            </w:pPr>
            <w:r>
              <w:rPr>
                <w:rFonts w:hint="default" w:ascii="Times New Roman" w:hAnsi="Times New Roman" w:cs="Times New Roman"/>
                <w:color w:val="auto"/>
              </w:rPr>
              <w:t>666,149.95</w:t>
            </w:r>
          </w:p>
        </w:tc>
      </w:tr>
    </w:tbl>
    <w:p>
      <w:pPr>
        <w:rPr>
          <w:rFonts w:hint="default" w:ascii="Times New Roman" w:hAnsi="Times New Roman" w:cs="Times New Roman"/>
        </w:rPr>
      </w:pPr>
    </w:p>
    <w:p>
      <w:pPr>
        <w:spacing w:before="60" w:after="60"/>
        <w:rPr>
          <w:szCs w:val="21"/>
        </w:rPr>
      </w:pPr>
      <w:r>
        <w:rPr>
          <w:rFonts w:hint="eastAsia"/>
          <w:szCs w:val="21"/>
        </w:rPr>
        <w:t>其他说明：</w:t>
      </w:r>
    </w:p>
    <w:sdt>
      <w:sdtPr>
        <w:rPr>
          <w:szCs w:val="21"/>
        </w:rPr>
        <w:alias w:val="1年内到期的非流动负债说明"/>
        <w:tag w:val="_GBC_8d20cbb6880f4895b7051ae6dee973ca"/>
        <w:id w:val="27367"/>
        <w:placeholder>
          <w:docPart w:val="GBC22222222222222222222222222222"/>
        </w:placeholder>
      </w:sdtPr>
      <w:sdtEndPr>
        <w:rPr>
          <w:szCs w:val="21"/>
        </w:rPr>
      </w:sdtEndPr>
      <w:sdtContent>
        <w:p>
          <w:pPr>
            <w:rPr>
              <w:szCs w:val="21"/>
            </w:rPr>
          </w:pPr>
          <w:r>
            <w:rPr>
              <w:rFonts w:hint="eastAsia"/>
              <w:szCs w:val="21"/>
              <w:lang w:eastAsia="zh-CN"/>
            </w:rPr>
            <w:t>无</w:t>
          </w:r>
        </w:p>
      </w:sdtContent>
    </w:sdt>
    <w:bookmarkEnd w:id="281"/>
    <w:p>
      <w:pPr>
        <w:pStyle w:val="229"/>
        <w:numPr>
          <w:ilvl w:val="0"/>
          <w:numId w:val="71"/>
        </w:numPr>
        <w:tabs>
          <w:tab w:val="left" w:pos="504"/>
        </w:tabs>
        <w:rPr>
          <w:rFonts w:ascii="宋体" w:hAnsi="宋体"/>
          <w:szCs w:val="21"/>
        </w:rPr>
      </w:pPr>
      <w:r>
        <w:rPr>
          <w:rFonts w:hint="eastAsia" w:ascii="宋体" w:hAnsi="宋体"/>
          <w:szCs w:val="21"/>
        </w:rPr>
        <w:t>其他流动负债</w:t>
      </w:r>
    </w:p>
    <w:p>
      <w:pPr>
        <w:rPr>
          <w:szCs w:val="21"/>
        </w:rPr>
      </w:pPr>
      <w:bookmarkStart w:id="282" w:name="_Hlk533670262"/>
      <w:r>
        <w:rPr>
          <w:rFonts w:hint="eastAsia"/>
          <w:szCs w:val="21"/>
        </w:rPr>
        <w:t>其他流动负债情况</w:t>
      </w:r>
    </w:p>
    <w:sdt>
      <w:sdtPr>
        <w:rPr>
          <w:rFonts w:hint="eastAsia"/>
          <w:szCs w:val="21"/>
        </w:rPr>
        <w:alias w:val="是否适用：其他流动负债情况 [双击切换]"/>
        <w:tag w:val="_GBC_a84ebf5eebf04d4ab9f07c3da85115c2"/>
        <w:id w:val="27368"/>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其他流动负债"/>
          <w:tag w:val="_GBC_1a3ea80bd2b9426ead4537785c82d01e"/>
          <w:id w:val="273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273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82"/>
    <w:tbl>
      <w:tblPr>
        <w:tblStyle w:val="1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118"/>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6b7e8e5e688449c87d23adc1b63439f"/>
            <w:id w:val="17222"/>
          </w:sdtPr>
          <w:sdtContent>
            <w:tc>
              <w:tcPr>
                <w:tcW w:w="1548"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szCs w:val="21"/>
                  </w:rPr>
                </w:pPr>
                <w:r>
                  <w:rPr>
                    <w:rFonts w:hint="eastAsia"/>
                    <w:szCs w:val="21"/>
                  </w:rPr>
                  <w:t>项目</w:t>
                </w:r>
              </w:p>
            </w:tc>
          </w:sdtContent>
        </w:sdt>
        <w:sdt>
          <w:sdtPr>
            <w:tag w:val="_PLD_741229e75da644bb809ec002cfe06423"/>
            <w:id w:val="17223"/>
          </w:sdtPr>
          <w:sdtContent>
            <w:tc>
              <w:tcPr>
                <w:tcW w:w="1723"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szCs w:val="21"/>
                  </w:rPr>
                  <w:t>期末余额</w:t>
                </w:r>
              </w:p>
            </w:tc>
          </w:sdtContent>
        </w:sdt>
        <w:sdt>
          <w:sdtPr>
            <w:tag w:val="_PLD_426d25a331b04af9b2ec53d6a7e168d4"/>
            <w:id w:val="17224"/>
          </w:sdtPr>
          <w:sdtContent>
            <w:tc>
              <w:tcPr>
                <w:tcW w:w="1729"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color w:val="000000" w:themeColor="text1"/>
                <w:szCs w:val="21"/>
                <w14:textFill>
                  <w14:solidFill>
                    <w14:schemeClr w14:val="tx1"/>
                  </w14:solidFill>
                </w14:textFill>
              </w:rPr>
            </w:pPr>
            <w:r>
              <w:rPr>
                <w:rFonts w:hint="eastAsia"/>
                <w:szCs w:val="21"/>
              </w:rPr>
              <w:t>短期应付债券</w:t>
            </w:r>
          </w:p>
        </w:tc>
        <w:tc>
          <w:tcPr>
            <w:tcW w:w="172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29"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48" w:type="pct"/>
            <w:tcBorders>
              <w:top w:val="single" w:color="auto" w:sz="4" w:space="0"/>
              <w:left w:val="single" w:color="auto" w:sz="4" w:space="0"/>
              <w:bottom w:val="single" w:color="auto" w:sz="4" w:space="0"/>
              <w:right w:val="single" w:color="auto" w:sz="4" w:space="0"/>
            </w:tcBorders>
          </w:tcPr>
          <w:p>
            <w:r>
              <w:rPr>
                <w:rFonts w:hint="eastAsia"/>
              </w:rPr>
              <w:t>应付退货款</w:t>
            </w:r>
          </w:p>
        </w:tc>
        <w:tc>
          <w:tcPr>
            <w:tcW w:w="172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29"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预提各项费用</w:t>
            </w:r>
          </w:p>
        </w:tc>
        <w:tc>
          <w:tcPr>
            <w:tcW w:w="172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18,375,491.64</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20,815,033.93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待转销项税</w:t>
            </w:r>
          </w:p>
        </w:tc>
        <w:tc>
          <w:tcPr>
            <w:tcW w:w="172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4,819,371.89</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3,976,661.54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其他</w:t>
            </w:r>
          </w:p>
        </w:tc>
        <w:tc>
          <w:tcPr>
            <w:tcW w:w="172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9,900.00</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34,383.33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72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rPr>
              <w:t> 23,204,763.53</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24,826,078.80</w:t>
            </w:r>
          </w:p>
        </w:tc>
      </w:tr>
    </w:tbl>
    <w:p>
      <w:pPr>
        <w:rPr>
          <w:szCs w:val="21"/>
        </w:rPr>
      </w:pPr>
    </w:p>
    <w:p>
      <w:r>
        <w:rPr>
          <w:rFonts w:hint="eastAsia"/>
        </w:rPr>
        <w:t>短期</w:t>
      </w:r>
      <w:r>
        <w:t>应付债券的增减变动</w:t>
      </w:r>
      <w:r>
        <w:rPr>
          <w:rFonts w:hint="eastAsia"/>
        </w:rPr>
        <w:t>：</w:t>
      </w:r>
    </w:p>
    <w:sdt>
      <w:sdtPr>
        <w:alias w:val="是否适用：短期应付债券的增减变动[双击切换]"/>
        <w:tag w:val="_GBC_9702365af41547e6b7eeb62225fd79a4"/>
        <w:id w:val="2737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27375"/>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长期借款</w:t>
      </w:r>
    </w:p>
    <w:p>
      <w:pPr>
        <w:pStyle w:val="196"/>
        <w:numPr>
          <w:ilvl w:val="3"/>
          <w:numId w:val="100"/>
        </w:numPr>
      </w:pPr>
      <w:r>
        <w:rPr>
          <w:rFonts w:hint="eastAsia"/>
        </w:rPr>
        <w:t>长期借款分类</w:t>
      </w:r>
    </w:p>
    <w:sdt>
      <w:sdtPr>
        <w:alias w:val="是否适用：长期借款分类[双击切换]"/>
        <w:tag w:val="_GBC_f97d0882083646ed86769469b3ee8875"/>
        <w:id w:val="27376"/>
        <w:placeholder>
          <w:docPart w:val="GBC22222222222222222222222222222"/>
        </w:placeholder>
      </w:sdtPr>
      <w:sdtContent>
        <w:p>
          <w:pPr>
            <w:snapToGrid w:val="0"/>
            <w:outlineLvl w:val="9"/>
            <w:rPr>
              <w:rFonts w:cstheme="minorBidi"/>
              <w:color w:val="000000" w:themeColor="text1"/>
              <w:kern w:val="2"/>
              <w:szCs w:val="21"/>
              <w14:textFill>
                <w14:solidFill>
                  <w14:schemeClr w14:val="tx1"/>
                </w14:solidFill>
              </w14:textFill>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rPr>
          <w:rFonts w:cstheme="minorBidi"/>
          <w:color w:val="000000" w:themeColor="text1"/>
          <w:kern w:val="2"/>
          <w:szCs w:val="21"/>
          <w14:textFill>
            <w14:solidFill>
              <w14:schemeClr w14:val="tx1"/>
            </w14:solidFill>
          </w14:textFill>
        </w:rPr>
      </w:pPr>
    </w:p>
    <w:p>
      <w:pPr>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其他说明：</w:t>
      </w:r>
    </w:p>
    <w:sdt>
      <w:sdtPr>
        <w:rPr>
          <w:color w:val="000000" w:themeColor="text1"/>
          <w:szCs w:val="21"/>
          <w14:textFill>
            <w14:solidFill>
              <w14:schemeClr w14:val="tx1"/>
            </w14:solidFill>
          </w14:textFill>
        </w:rPr>
        <w:alias w:val="是否适用：长期借款的说明[双击切换]"/>
        <w:tag w:val="_GBC_81b19a673078421a910ba8721333fbbe"/>
        <w:id w:val="27377"/>
        <w:placeholder>
          <w:docPart w:val="GBC22222222222222222222222222222"/>
        </w:placeholder>
      </w:sdtPr>
      <w:sdtEndPr>
        <w:rPr>
          <w:color w:val="000000" w:themeColor="text1"/>
          <w:szCs w:val="21"/>
          <w14:textFill>
            <w14:solidFill>
              <w14:schemeClr w14:val="tx1"/>
            </w14:solidFill>
          </w14:textFill>
        </w:rPr>
      </w:sdtEndPr>
      <w:sdtContent>
        <w:p>
          <w:pPr>
            <w:snapToGrid w:val="0"/>
            <w:outlineLvl w:val="9"/>
            <w:rPr>
              <w:szCs w:val="21"/>
            </w:rPr>
          </w:pPr>
          <w:r>
            <w:rPr>
              <w:color w:val="000000" w:themeColor="text1"/>
              <w:szCs w:val="21"/>
              <w14:textFill>
                <w14:solidFill>
                  <w14:schemeClr w14:val="tx1"/>
                </w14:solidFill>
              </w14:textFill>
            </w:rPr>
            <w:fldChar w:fldCharType="begin"/>
          </w:r>
          <w:r>
            <w:rPr>
              <w:rFonts w:hint="eastAsia"/>
              <w:color w:val="000000" w:themeColor="text1"/>
              <w:szCs w:val="21"/>
              <w:lang w:eastAsia="zh-CN"/>
              <w14:textFill>
                <w14:solidFill>
                  <w14:schemeClr w14:val="tx1"/>
                </w14:solidFill>
              </w14:textFill>
            </w:rPr>
            <w:instrText xml:space="preserve">MACROBUTTON  SnrToggleCheckbox □适用 </w:instrTex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fldChar w:fldCharType="begin"/>
          </w:r>
          <w:r>
            <w:rPr>
              <w:rFonts w:hint="eastAsia"/>
              <w:color w:val="000000" w:themeColor="text1"/>
              <w:szCs w:val="21"/>
              <w:lang w:eastAsia="zh-CN"/>
              <w14:textFill>
                <w14:solidFill>
                  <w14:schemeClr w14:val="tx1"/>
                </w14:solidFill>
              </w14:textFill>
            </w:rPr>
            <w:instrText xml:space="preserve"> MACROBUTTON  SnrToggleCheckbox √不适用 </w:instrText>
          </w:r>
          <w:r>
            <w:rPr>
              <w:color w:val="000000" w:themeColor="text1"/>
              <w:szCs w:val="21"/>
              <w14:textFill>
                <w14:solidFill>
                  <w14:schemeClr w14:val="tx1"/>
                </w14:solidFill>
              </w14:textFill>
            </w:rP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应付债券</w:t>
      </w:r>
    </w:p>
    <w:p>
      <w:pPr>
        <w:pStyle w:val="196"/>
        <w:numPr>
          <w:ilvl w:val="0"/>
          <w:numId w:val="101"/>
        </w:numPr>
        <w:ind w:left="426" w:hanging="426"/>
      </w:pPr>
      <w:r>
        <w:rPr>
          <w:rFonts w:hint="eastAsia"/>
        </w:rPr>
        <w:t>应付债券</w:t>
      </w:r>
    </w:p>
    <w:sdt>
      <w:sdtPr>
        <w:alias w:val="是否适用：应付债券[双击切换]"/>
        <w:tag w:val="_GBC_645b020b25af4284b8eff88f14f8c5c2"/>
        <w:id w:val="27378"/>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outlineLvl w:val="9"/>
          </w:pPr>
        </w:p>
      </w:sdtContent>
    </w:sdt>
    <w:p>
      <w:pPr>
        <w:pStyle w:val="196"/>
        <w:numPr>
          <w:ilvl w:val="0"/>
          <w:numId w:val="101"/>
        </w:numPr>
        <w:ind w:left="426" w:hanging="426"/>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2737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196"/>
        <w:numPr>
          <w:ilvl w:val="0"/>
          <w:numId w:val="101"/>
        </w:numPr>
        <w:ind w:left="426" w:hanging="426"/>
      </w:pPr>
      <w:bookmarkStart w:id="283" w:name="OLE_LINK18"/>
      <w:bookmarkStart w:id="284" w:name="OLE_LINK16"/>
      <w:r>
        <w:rPr>
          <w:rFonts w:hint="eastAsia"/>
        </w:rPr>
        <w:t>可</w:t>
      </w:r>
      <w:r>
        <w:rPr>
          <w:rFonts w:hint="eastAsia" w:ascii="宋体" w:hAnsi="宋体"/>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27380"/>
        <w:placeholder>
          <w:docPart w:val="GBC22222222222222222222222222222"/>
        </w:placeholder>
      </w:sdtPr>
      <w:sdtEndPr>
        <w:rPr>
          <w:rFonts w:hint="eastAsia"/>
          <w:szCs w:val="21"/>
        </w:rPr>
      </w:sdtEndPr>
      <w:sdtContent>
        <w:p>
          <w:pPr>
            <w:spacing w:before="60" w:after="60"/>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pacing w:before="60" w:after="60"/>
        <w:outlineLvl w:val="9"/>
        <w:rPr>
          <w:rFonts w:hint="eastAsia"/>
          <w:szCs w:val="21"/>
        </w:rPr>
      </w:pPr>
    </w:p>
    <w:p>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27381"/>
        <w:placeholder>
          <w:docPart w:val="GBC22222222222222222222222222222"/>
        </w:placeholder>
      </w:sdtPr>
      <w:sdtEndPr>
        <w:rPr>
          <w:szCs w:val="21"/>
        </w:rPr>
      </w:sdtEndPr>
      <w:sdtContent>
        <w:p>
          <w:pPr>
            <w:spacing w:before="60" w:after="60"/>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196"/>
        <w:numPr>
          <w:ilvl w:val="0"/>
          <w:numId w:val="101"/>
        </w:numPr>
        <w:ind w:left="426" w:hanging="426"/>
      </w:pPr>
      <w:r>
        <w:rPr>
          <w:rFonts w:hint="eastAsia"/>
        </w:rPr>
        <w:t>划分为金融负债的其他金融工具说明</w:t>
      </w:r>
    </w:p>
    <w:p>
      <w:r>
        <w:rPr>
          <w:rFonts w:hint="eastAsia"/>
        </w:rPr>
        <w:t>期末发行在外的优先股、永续债等其他金融工具基本情况</w:t>
      </w:r>
    </w:p>
    <w:sdt>
      <w:sdtPr>
        <w:alias w:val="是否适用：划分为金融负债的其他金融工具说明[双击切换]"/>
        <w:tag w:val="_GBC_354a73ce52fe4fcaa9d974bff59ad9cc"/>
        <w:id w:val="27382"/>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27383"/>
        <w:placeholder>
          <w:docPart w:val="GBC22222222222222222222222222222"/>
        </w:placeholder>
      </w:sdtPr>
      <w:sdtEndPr>
        <w:rPr>
          <w:szCs w:val="21"/>
        </w:rPr>
      </w:sdtEndPr>
      <w:sdtContent>
        <w:p>
          <w:pPr>
            <w:spacing w:before="60" w:after="60"/>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bookmarkEnd w:id="283"/>
          <w:bookmarkEnd w:id="284"/>
        </w:p>
      </w:sdtContent>
    </w:sdt>
    <w:p>
      <w:pPr>
        <w:spacing w:before="60" w:after="60"/>
        <w:outlineLvl w:val="9"/>
        <w:rPr>
          <w:szCs w:val="21"/>
        </w:rPr>
      </w:pPr>
    </w:p>
    <w:p>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7384"/>
        <w:placeholder>
          <w:docPart w:val="GBC22222222222222222222222222222"/>
        </w:placeholder>
      </w:sdtPr>
      <w:sdtEndPr>
        <w:rPr>
          <w:szCs w:val="21"/>
        </w:rPr>
      </w:sdtEndPr>
      <w:sdtContent>
        <w:p>
          <w:pPr>
            <w:spacing w:before="60" w:after="60"/>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27385"/>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szCs w:val="21"/>
        </w:rPr>
      </w:pPr>
    </w:p>
    <w:p>
      <w:pPr>
        <w:pStyle w:val="229"/>
        <w:numPr>
          <w:ilvl w:val="0"/>
          <w:numId w:val="71"/>
        </w:numPr>
        <w:tabs>
          <w:tab w:val="left" w:pos="504"/>
        </w:tabs>
        <w:rPr>
          <w:szCs w:val="21"/>
        </w:rPr>
      </w:pPr>
      <w:bookmarkStart w:id="285" w:name="_Hlk24026742"/>
      <w:r>
        <w:rPr>
          <w:rFonts w:hint="eastAsia"/>
          <w:szCs w:val="21"/>
        </w:rPr>
        <w:t>租赁负债</w:t>
      </w:r>
    </w:p>
    <w:sdt>
      <w:sdtPr>
        <w:rPr>
          <w:szCs w:val="21"/>
        </w:rPr>
        <w:alias w:val="是否适用：租赁负债[双击切换]"/>
        <w:tag w:val="_GBC_abf9a23b0ddc4b63b6f39d768c084973"/>
        <w:id w:val="27386"/>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租赁负债"/>
          <w:tag w:val="_GBC_33e504b2a4a34d41946083d1a309022f"/>
          <w:id w:val="273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27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2921"/>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tag w:val="_PLD_a05982b715d74082b7e01db9e1e265ef"/>
            <w:id w:val="27389"/>
          </w:sdtPr>
          <w:sdtContent>
            <w:tc>
              <w:tcPr>
                <w:tcW w:w="1771" w:type="pct"/>
                <w:shd w:val="clear" w:color="auto" w:fill="auto"/>
                <w:vAlign w:val="center"/>
              </w:tcPr>
              <w:p>
                <w:pPr>
                  <w:jc w:val="center"/>
                  <w:rPr>
                    <w:szCs w:val="21"/>
                  </w:rPr>
                </w:pPr>
                <w:r>
                  <w:rPr>
                    <w:rFonts w:hint="eastAsia"/>
                    <w:szCs w:val="21"/>
                  </w:rPr>
                  <w:t>项目</w:t>
                </w:r>
              </w:p>
            </w:tc>
          </w:sdtContent>
        </w:sdt>
        <w:sdt>
          <w:sdtPr>
            <w:tag w:val="_PLD_84a0d8719b674f50bfcfc1c6ed86fed6"/>
            <w:id w:val="27390"/>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d601589800f8414abb18e7477e7b41d6"/>
            <w:id w:val="27391"/>
          </w:sdtPr>
          <w:sdtContent>
            <w:tc>
              <w:tcPr>
                <w:tcW w:w="1615"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szCs w:val="21"/>
              </w:rPr>
            </w:pPr>
            <w:r>
              <w:t>租赁付款额</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 3,052,136.00</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1,373,280.00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szCs w:val="21"/>
              </w:rPr>
            </w:pPr>
            <w:r>
              <w:t>减：未确认融资费用</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 189,026.38</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63,509.52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szCs w:val="21"/>
              </w:rPr>
            </w:pPr>
            <w:r>
              <w:t>小计</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 2,863,109.62</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1,309,770.48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szCs w:val="21"/>
              </w:rPr>
            </w:pPr>
            <w:r>
              <w:t>减：一年内到期的租赁负债</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 1,667,756.84</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666,149.95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jc w:val="center"/>
              <w:rPr>
                <w:szCs w:val="21"/>
              </w:rPr>
            </w:pPr>
            <w:r>
              <w:rPr>
                <w:rFonts w:hint="eastAsia"/>
                <w:szCs w:val="21"/>
              </w:rPr>
              <w:t>合计</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 1,195,352.78</w:t>
            </w:r>
          </w:p>
        </w:tc>
        <w:tc>
          <w:tcPr>
            <w:tcW w:w="1615" w:type="pct"/>
          </w:tcPr>
          <w:p>
            <w:pPr>
              <w:jc w:val="right"/>
              <w:rPr>
                <w:rFonts w:hint="default" w:ascii="Times New Roman" w:hAnsi="Times New Roman" w:cs="Times New Roman"/>
                <w:szCs w:val="21"/>
              </w:rPr>
            </w:pPr>
            <w:r>
              <w:rPr>
                <w:rFonts w:hint="default" w:ascii="Times New Roman" w:hAnsi="Times New Roman" w:cs="Times New Roman"/>
              </w:rPr>
              <w:t>643,620.53</w:t>
            </w:r>
          </w:p>
        </w:tc>
      </w:tr>
    </w:tbl>
    <w:p>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27392"/>
        <w:placeholder>
          <w:docPart w:val="GBC22222222222222222222222222222"/>
        </w:placeholder>
      </w:sdtPr>
      <w:sdtContent>
        <w:p>
          <w:pPr>
            <w:rPr>
              <w:rFonts w:hint="eastAsia" w:eastAsia="宋体"/>
              <w:lang w:val="en-US" w:eastAsia="zh-CN"/>
            </w:rPr>
          </w:pPr>
          <w:r>
            <w:rPr>
              <w:rFonts w:hint="eastAsia"/>
              <w:lang w:val="en-US" w:eastAsia="zh-CN"/>
            </w:rPr>
            <w:t>无</w:t>
          </w:r>
        </w:p>
        <w:p>
          <w:pPr>
            <w:rPr>
              <w:szCs w:val="21"/>
            </w:rPr>
          </w:pPr>
        </w:p>
      </w:sdtContent>
    </w:sdt>
    <w:bookmarkEnd w:id="285"/>
    <w:p>
      <w:pPr>
        <w:pStyle w:val="229"/>
        <w:numPr>
          <w:ilvl w:val="0"/>
          <w:numId w:val="71"/>
        </w:numPr>
        <w:tabs>
          <w:tab w:val="left" w:pos="504"/>
        </w:tabs>
        <w:rPr>
          <w:rFonts w:ascii="宋体" w:hAnsi="宋体"/>
          <w:szCs w:val="21"/>
        </w:rPr>
      </w:pPr>
      <w:r>
        <w:rPr>
          <w:rFonts w:hint="eastAsia" w:ascii="宋体" w:hAnsi="宋体"/>
          <w:szCs w:val="21"/>
        </w:rPr>
        <w:t>长期</w:t>
      </w:r>
      <w:r>
        <w:rPr>
          <w:rFonts w:hint="eastAsia"/>
          <w:szCs w:val="21"/>
        </w:rPr>
        <w:t>应付</w:t>
      </w:r>
      <w:r>
        <w:rPr>
          <w:rFonts w:hint="eastAsia" w:ascii="宋体" w:hAnsi="宋体"/>
          <w:szCs w:val="21"/>
        </w:rPr>
        <w:t>款</w:t>
      </w:r>
    </w:p>
    <w:p>
      <w:pPr>
        <w:pStyle w:val="196"/>
      </w:pPr>
      <w:bookmarkStart w:id="286" w:name="_Hlk532911038"/>
      <w:r>
        <w:rPr>
          <w:rFonts w:hint="eastAsia"/>
        </w:rPr>
        <w:t>项目列示</w:t>
      </w:r>
    </w:p>
    <w:sdt>
      <w:sdtPr>
        <w:alias w:val="是否适用：长期应付款分类列示[双击切换]"/>
        <w:tag w:val="_GBC_90d4a9bd673140ef9c99898da48d1614"/>
        <w:id w:val="27393"/>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286"/>
    <w:p>
      <w:pPr>
        <w:rPr>
          <w:szCs w:val="21"/>
        </w:rPr>
      </w:pPr>
      <w:bookmarkStart w:id="287" w:name="_Hlk532911057"/>
      <w:r>
        <w:rPr>
          <w:rFonts w:hint="eastAsia"/>
          <w:szCs w:val="21"/>
        </w:rPr>
        <w:t>其他说明：</w:t>
      </w:r>
    </w:p>
    <w:sdt>
      <w:sdtPr>
        <w:rPr>
          <w:szCs w:val="21"/>
        </w:rPr>
        <w:alias w:val="是否适用：长期应付款分类列示其他说明[双击切换]"/>
        <w:tag w:val="_GBC_e7daa7f55cea4e3d835be6ee6457b35d"/>
        <w:id w:val="2739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287"/>
    <w:p>
      <w:pPr>
        <w:pStyle w:val="196"/>
        <w:ind w:left="360" w:hanging="360"/>
      </w:pPr>
      <w:r>
        <w:rPr>
          <w:rFonts w:hint="eastAsia"/>
        </w:rPr>
        <w:t>长期应付款</w:t>
      </w:r>
    </w:p>
    <w:p>
      <w:pPr>
        <w:pStyle w:val="203"/>
        <w:numPr>
          <w:ilvl w:val="0"/>
          <w:numId w:val="102"/>
        </w:numPr>
        <w:ind w:leftChars="0"/>
      </w:pPr>
      <w:r>
        <w:rPr>
          <w:rFonts w:hint="eastAsia"/>
        </w:rPr>
        <w:t>按款项性质列示长期应付款</w:t>
      </w:r>
    </w:p>
    <w:sdt>
      <w:sdtPr>
        <w:alias w:val="是否适用：按款项性质列示长期应付款[双击切换]"/>
        <w:tag w:val="_GBC_6a4cca7cce5341018cd4836f32746cd9"/>
        <w:id w:val="27395"/>
        <w:placeholder>
          <w:docPart w:val="GBC22222222222222222222222222222"/>
        </w:placeholder>
      </w:sdtPr>
      <w:sdtContent>
        <w:p>
          <w:pPr>
            <w:snapToGrid w:val="0"/>
            <w:spacing w:line="240" w:lineRule="atLeast"/>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rPr>
          <w:rFonts w:cstheme="minorBidi"/>
          <w:szCs w:val="21"/>
        </w:rPr>
      </w:pPr>
    </w:p>
    <w:p>
      <w:pPr>
        <w:pStyle w:val="196"/>
        <w:ind w:left="360" w:hanging="360"/>
      </w:pPr>
      <w:r>
        <w:rPr>
          <w:rFonts w:hint="eastAsia"/>
        </w:rPr>
        <w:t>专项应付款</w:t>
      </w:r>
    </w:p>
    <w:p>
      <w:pPr>
        <w:pStyle w:val="203"/>
        <w:numPr>
          <w:ilvl w:val="0"/>
          <w:numId w:val="102"/>
        </w:numPr>
        <w:ind w:leftChars="0"/>
        <w:rPr>
          <w:rFonts w:asciiTheme="minorHAnsi" w:hAnsiTheme="minorHAnsi" w:cstheme="minorBidi"/>
          <w:kern w:val="0"/>
          <w:szCs w:val="24"/>
        </w:rPr>
      </w:pPr>
      <w:r>
        <w:rPr>
          <w:rFonts w:hint="eastAsia" w:asciiTheme="minorHAnsi" w:hAnsiTheme="minorHAnsi" w:cstheme="minorBidi"/>
          <w:kern w:val="0"/>
          <w:szCs w:val="24"/>
        </w:rPr>
        <w:t>按款项性质列示专项应付款</w:t>
      </w:r>
    </w:p>
    <w:sdt>
      <w:sdtPr>
        <w:alias w:val="是否适用：专项应付款[双击切换]"/>
        <w:tag w:val="_GBC_857ddecb5bce4a0f99e428cd2635aa03"/>
        <w:id w:val="27396"/>
        <w:placeholder>
          <w:docPart w:val="GBC22222222222222222222222222222"/>
        </w:placeholder>
      </w:sdtPr>
      <w:sdtContent>
        <w:p>
          <w:pPr>
            <w:snapToGrid w:val="0"/>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rPr>
          <w:szCs w:val="21"/>
        </w:rPr>
      </w:pPr>
    </w:p>
    <w:p>
      <w:pPr>
        <w:pStyle w:val="229"/>
        <w:numPr>
          <w:ilvl w:val="0"/>
          <w:numId w:val="7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2739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196"/>
        <w:numPr>
          <w:ilvl w:val="0"/>
          <w:numId w:val="103"/>
        </w:numPr>
        <w:ind w:left="426" w:hanging="426"/>
      </w:pPr>
      <w:r>
        <w:rPr>
          <w:rFonts w:hint="eastAsia"/>
        </w:rPr>
        <w:t>长期应付职工薪酬表</w:t>
      </w:r>
    </w:p>
    <w:sdt>
      <w:sdtPr>
        <w:alias w:val="是否适用：长期应付职工薪酬表[双击切换]"/>
        <w:tag w:val="_GBC_b44de9fd198c4a3499852d2770fe541b"/>
        <w:id w:val="2739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职工薪酬"/>
          <w:tag w:val="_GBC_494e432bb7b842a4b2966c2a30e46b7c"/>
          <w:id w:val="273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274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5"/>
        <w:gridCol w:w="2630"/>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f8419ee43a44a3851aeb0ae20db3b3"/>
            <w:id w:val="27401"/>
          </w:sdtPr>
          <w:sdtContent>
            <w:tc>
              <w:tcPr>
                <w:tcW w:w="201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项目</w:t>
                </w:r>
              </w:p>
            </w:tc>
          </w:sdtContent>
        </w:sdt>
        <w:sdt>
          <w:sdtPr>
            <w:tag w:val="_PLD_dc953e100cbb4806858d7d10436872c1"/>
            <w:id w:val="27402"/>
          </w:sdtPr>
          <w:sdtContent>
            <w:tc>
              <w:tcPr>
                <w:tcW w:w="1453"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期末余额</w:t>
                </w:r>
              </w:p>
            </w:tc>
          </w:sdtContent>
        </w:sdt>
        <w:sdt>
          <w:sdtPr>
            <w:tag w:val="_PLD_28d4785454ea4bd99f4433899ff434f8"/>
            <w:id w:val="27403"/>
          </w:sdtPr>
          <w:sdtContent>
            <w:tc>
              <w:tcPr>
                <w:tcW w:w="15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一、离职后福利-设定受益计划净负债</w:t>
            </w:r>
          </w:p>
        </w:tc>
        <w:tc>
          <w:tcPr>
            <w:tcW w:w="1453" w:type="pct"/>
            <w:tcBorders>
              <w:top w:val="single" w:color="auto" w:sz="6" w:space="0"/>
              <w:left w:val="single" w:color="auto" w:sz="6"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2,975,563.00</w:t>
            </w:r>
          </w:p>
        </w:tc>
        <w:tc>
          <w:tcPr>
            <w:tcW w:w="1527" w:type="pct"/>
            <w:tcBorders>
              <w:top w:val="single" w:color="auto" w:sz="6"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2,502,256.00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二、辞退福利</w:t>
            </w:r>
          </w:p>
        </w:tc>
        <w:tc>
          <w:tcPr>
            <w:tcW w:w="1453" w:type="pct"/>
            <w:tcBorders>
              <w:top w:val="single" w:color="auto" w:sz="6" w:space="0"/>
              <w:left w:val="single" w:color="auto" w:sz="6"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1527" w:type="pct"/>
            <w:tcBorders>
              <w:top w:val="single" w:color="auto" w:sz="6"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tcPr>
          <w:p>
            <w:r>
              <w:rPr>
                <w:rFonts w:hint="eastAsia"/>
              </w:rPr>
              <w:t>三、其他长期福利</w:t>
            </w:r>
          </w:p>
        </w:tc>
        <w:tc>
          <w:tcPr>
            <w:tcW w:w="1453" w:type="pct"/>
            <w:tcBorders>
              <w:top w:val="single" w:color="auto" w:sz="4" w:space="0"/>
              <w:left w:val="single" w:color="auto" w:sz="6" w:space="0"/>
              <w:bottom w:val="single" w:color="auto" w:sz="4" w:space="0"/>
              <w:right w:val="single" w:color="auto" w:sz="4" w:space="0"/>
            </w:tcBorders>
            <w:shd w:val="clear" w:color="auto" w:fill="auto"/>
          </w:tcPr>
          <w:p>
            <w:pPr>
              <w:jc w:val="right"/>
              <w:rPr>
                <w:rFonts w:hint="default" w:ascii="Times New Roman" w:hAnsi="Times New Roman" w:cs="Times New Roman"/>
              </w:rPr>
            </w:pPr>
          </w:p>
        </w:tc>
        <w:tc>
          <w:tcPr>
            <w:tcW w:w="152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rPr>
        <w:tc>
          <w:tcPr>
            <w:tcW w:w="2019" w:type="pct"/>
            <w:tcBorders>
              <w:top w:val="single" w:color="auto" w:sz="4" w:space="0"/>
              <w:left w:val="single" w:color="auto" w:sz="4" w:space="0"/>
              <w:bottom w:val="single" w:color="auto" w:sz="6" w:space="0"/>
              <w:right w:val="single" w:color="auto" w:sz="4" w:space="0"/>
            </w:tcBorders>
            <w:shd w:val="clear" w:color="auto" w:fill="auto"/>
          </w:tcPr>
          <w:p>
            <w:r>
              <w:rPr>
                <w:rFonts w:ascii="Arial Narrow" w:hAnsi="Arial Narrow"/>
                <w:color w:val="000000"/>
                <w:sz w:val="18"/>
                <w:szCs w:val="18"/>
              </w:rPr>
              <w:t>减：一年以内到期的未折现长期应付职工薪酬</w:t>
            </w:r>
          </w:p>
        </w:tc>
        <w:tc>
          <w:tcPr>
            <w:tcW w:w="1453"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1,322,431.00</w:t>
            </w:r>
          </w:p>
        </w:tc>
        <w:tc>
          <w:tcPr>
            <w:tcW w:w="152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1,189,602.00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合计</w:t>
            </w:r>
          </w:p>
        </w:tc>
        <w:tc>
          <w:tcPr>
            <w:tcW w:w="1453" w:type="pct"/>
            <w:tcBorders>
              <w:top w:val="single" w:color="auto" w:sz="4" w:space="0"/>
              <w:left w:val="single" w:color="auto" w:sz="6"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1,653,132.00</w:t>
            </w:r>
          </w:p>
        </w:tc>
        <w:tc>
          <w:tcPr>
            <w:tcW w:w="1527"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1,312,654.00</w:t>
            </w:r>
          </w:p>
        </w:tc>
      </w:tr>
    </w:tbl>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注：公司对内退员工的内退福利计划，依据《企业会计准则第9号—职工薪酬》及公司会计政策，对此部分福利支出作为长期应付职工薪酬进行精算评估。内退员工的持续薪酬福利支出作为辞退福利计划进行精算评估。公司员工福利计划精算评估涉及以下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利率风险：计算计划福利义务现值时所采用的折现率的选取依据是中国国债收益率。国债收益率的下降会产生精算损失。</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福利水平增长风险：计算计划福利义务现值时所采用的各项福利增长率假设的选取依据是各项福利的历史增长水平和公司管理层对各项福利增长率的长期预期。若实际福利增长率水平高于精算假设，会产生精算损失。</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（1）长期应付职工薪酬重大精算假设说明</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本年度公司评估采用以下精算假设：</w:t>
      </w:r>
    </w:p>
    <w:tbl>
      <w:tblPr>
        <w:tblStyle w:val="125"/>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85" w:type="dxa"/>
          <w:bottom w:w="0" w:type="dxa"/>
          <w:right w:w="85" w:type="dxa"/>
        </w:tblCellMar>
      </w:tblPr>
      <w:tblGrid>
        <w:gridCol w:w="3290"/>
        <w:gridCol w:w="2630"/>
        <w:gridCol w:w="260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51" w:hRule="atLeast"/>
          <w:tblHeader/>
          <w:jc w:val="center"/>
        </w:trPr>
        <w:tc>
          <w:tcPr>
            <w:tcW w:w="1929" w:type="pct"/>
            <w:vAlign w:val="center"/>
          </w:tcPr>
          <w:p>
            <w:pPr>
              <w:widowControl w:val="0"/>
              <w:adjustRightInd w:val="0"/>
              <w:snapToGrid w:val="0"/>
              <w:spacing w:line="480" w:lineRule="exact"/>
              <w:ind w:firstLine="0" w:firstLineChars="0"/>
              <w:jc w:val="center"/>
              <w:textAlignment w:val="baseline"/>
              <w:rPr>
                <w:rFonts w:ascii="宋体" w:hAnsi="宋体" w:eastAsia="宋体" w:cs="Times New Roman"/>
                <w:kern w:val="2"/>
                <w:sz w:val="18"/>
                <w:szCs w:val="18"/>
              </w:rPr>
            </w:pPr>
            <w:r>
              <w:rPr>
                <w:rFonts w:hint="eastAsia" w:ascii="宋体" w:hAnsi="宋体" w:eastAsia="宋体" w:cs="Times New Roman"/>
                <w:kern w:val="2"/>
                <w:sz w:val="18"/>
                <w:szCs w:val="18"/>
              </w:rPr>
              <w:t>项目</w:t>
            </w:r>
          </w:p>
        </w:tc>
        <w:tc>
          <w:tcPr>
            <w:tcW w:w="1542" w:type="pct"/>
            <w:vAlign w:val="center"/>
          </w:tcPr>
          <w:p>
            <w:pPr>
              <w:widowControl w:val="0"/>
              <w:adjustRightInd w:val="0"/>
              <w:snapToGrid w:val="0"/>
              <w:spacing w:line="480" w:lineRule="exact"/>
              <w:ind w:firstLine="0" w:firstLineChars="0"/>
              <w:jc w:val="center"/>
              <w:textAlignment w:val="baseline"/>
              <w:rPr>
                <w:rFonts w:ascii="宋体" w:hAnsi="宋体" w:eastAsia="宋体" w:cs="Times New Roman"/>
                <w:kern w:val="2"/>
                <w:sz w:val="18"/>
                <w:szCs w:val="18"/>
              </w:rPr>
            </w:pPr>
            <w:r>
              <w:rPr>
                <w:rFonts w:hint="eastAsia" w:ascii="宋体" w:hAnsi="宋体" w:eastAsia="宋体" w:cs="Times New Roman"/>
                <w:kern w:val="2"/>
                <w:sz w:val="18"/>
                <w:szCs w:val="18"/>
              </w:rPr>
              <w:t>本期末</w:t>
            </w:r>
          </w:p>
        </w:tc>
        <w:tc>
          <w:tcPr>
            <w:tcW w:w="1529" w:type="pct"/>
            <w:vAlign w:val="center"/>
          </w:tcPr>
          <w:p>
            <w:pPr>
              <w:widowControl w:val="0"/>
              <w:adjustRightInd w:val="0"/>
              <w:snapToGrid w:val="0"/>
              <w:spacing w:line="480" w:lineRule="exact"/>
              <w:ind w:firstLine="0" w:firstLineChars="0"/>
              <w:jc w:val="center"/>
              <w:textAlignment w:val="baseline"/>
              <w:rPr>
                <w:rFonts w:ascii="宋体" w:hAnsi="宋体" w:eastAsia="宋体" w:cs="Times New Roman"/>
                <w:kern w:val="2"/>
                <w:sz w:val="18"/>
                <w:szCs w:val="18"/>
              </w:rPr>
            </w:pPr>
            <w:r>
              <w:rPr>
                <w:rFonts w:hint="eastAsia" w:ascii="宋体" w:hAnsi="宋体" w:eastAsia="宋体" w:cs="Times New Roman"/>
                <w:kern w:val="2"/>
                <w:sz w:val="18"/>
                <w:szCs w:val="18"/>
              </w:rPr>
              <w:t>上期末</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jc w:val="both"/>
              <w:rPr>
                <w:rFonts w:hint="eastAsia" w:ascii="宋体" w:hAnsi="宋体" w:eastAsia="宋体" w:cs="宋体"/>
                <w:color w:val="auto"/>
              </w:rPr>
            </w:pPr>
            <w:r>
              <w:rPr>
                <w:rFonts w:hint="eastAsia" w:ascii="宋体" w:hAnsi="宋体" w:eastAsia="宋体" w:cs="宋体"/>
                <w:color w:val="auto"/>
              </w:rPr>
              <w:t>年折现率</w:t>
            </w:r>
          </w:p>
        </w:tc>
        <w:tc>
          <w:tcPr>
            <w:tcW w:w="1542"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2.10%</w:t>
            </w:r>
          </w:p>
        </w:tc>
        <w:tc>
          <w:tcPr>
            <w:tcW w:w="1529"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2.10%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jc w:val="both"/>
              <w:rPr>
                <w:rFonts w:hint="eastAsia" w:ascii="宋体" w:hAnsi="宋体" w:eastAsia="宋体" w:cs="宋体"/>
                <w:color w:val="auto"/>
              </w:rPr>
            </w:pPr>
            <w:r>
              <w:rPr>
                <w:rFonts w:hint="eastAsia" w:ascii="宋体" w:hAnsi="宋体" w:eastAsia="宋体" w:cs="宋体"/>
                <w:color w:val="auto"/>
              </w:rPr>
              <w:t>内退工资年增长率</w:t>
            </w:r>
          </w:p>
        </w:tc>
        <w:tc>
          <w:tcPr>
            <w:tcW w:w="1542"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10%</w:t>
            </w:r>
          </w:p>
        </w:tc>
        <w:tc>
          <w:tcPr>
            <w:tcW w:w="1529"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jc w:val="both"/>
              <w:rPr>
                <w:rFonts w:hint="eastAsia" w:ascii="宋体" w:hAnsi="宋体" w:eastAsia="宋体" w:cs="宋体"/>
                <w:color w:val="auto"/>
              </w:rPr>
            </w:pPr>
            <w:r>
              <w:rPr>
                <w:rFonts w:hint="eastAsia" w:ascii="宋体" w:hAnsi="宋体" w:eastAsia="宋体" w:cs="宋体"/>
                <w:color w:val="auto"/>
              </w:rPr>
              <w:t>社保及公积金年增长率</w:t>
            </w:r>
          </w:p>
        </w:tc>
        <w:tc>
          <w:tcPr>
            <w:tcW w:w="1542"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7%</w:t>
            </w:r>
          </w:p>
        </w:tc>
        <w:tc>
          <w:tcPr>
            <w:tcW w:w="1529"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jc w:val="both"/>
              <w:rPr>
                <w:rFonts w:hint="eastAsia" w:ascii="宋体" w:hAnsi="宋体" w:eastAsia="宋体" w:cs="宋体"/>
                <w:color w:val="auto"/>
              </w:rPr>
            </w:pPr>
            <w:r>
              <w:rPr>
                <w:rFonts w:hint="eastAsia" w:ascii="宋体" w:hAnsi="宋体" w:eastAsia="宋体" w:cs="宋体"/>
                <w:color w:val="auto"/>
              </w:rPr>
              <w:t>过节费等其它按年支付的福利年增长率</w:t>
            </w:r>
          </w:p>
        </w:tc>
        <w:tc>
          <w:tcPr>
            <w:tcW w:w="1542"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3%</w:t>
            </w:r>
          </w:p>
        </w:tc>
        <w:tc>
          <w:tcPr>
            <w:tcW w:w="1529"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jc w:val="both"/>
              <w:rPr>
                <w:rFonts w:hint="eastAsia" w:ascii="宋体" w:hAnsi="宋体" w:eastAsia="宋体" w:cs="宋体"/>
                <w:color w:val="auto"/>
              </w:rPr>
            </w:pPr>
            <w:r>
              <w:rPr>
                <w:rFonts w:hint="eastAsia" w:ascii="宋体" w:hAnsi="宋体" w:eastAsia="宋体" w:cs="宋体"/>
                <w:color w:val="auto"/>
              </w:rPr>
              <w:t>体检费（每两年支付一次）年增长率</w:t>
            </w:r>
          </w:p>
        </w:tc>
        <w:tc>
          <w:tcPr>
            <w:tcW w:w="1542"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5%</w:t>
            </w:r>
          </w:p>
        </w:tc>
        <w:tc>
          <w:tcPr>
            <w:tcW w:w="1529" w:type="pct"/>
            <w:vAlign w:val="center"/>
          </w:tcPr>
          <w:p>
            <w:pPr>
              <w:jc w:val="right"/>
              <w:rPr>
                <w:rFonts w:hint="eastAsia" w:ascii="Times New Roman" w:hAnsi="Times New Roman" w:eastAsia="宋体" w:cs="宋体"/>
                <w:color w:val="auto"/>
                <w:sz w:val="21"/>
              </w:rPr>
            </w:pPr>
            <w:r>
              <w:rPr>
                <w:rFonts w:hint="eastAsia" w:ascii="Times New Roman" w:hAnsi="Times New Roman" w:eastAsia="宋体" w:cs="宋体"/>
                <w:color w:val="auto"/>
                <w:sz w:val="21"/>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jc w:val="both"/>
              <w:rPr>
                <w:rFonts w:hint="eastAsia" w:ascii="宋体" w:hAnsi="宋体" w:eastAsia="宋体" w:cs="宋体"/>
                <w:color w:val="auto"/>
              </w:rPr>
            </w:pPr>
            <w:r>
              <w:rPr>
                <w:rFonts w:hint="eastAsia" w:ascii="宋体" w:hAnsi="宋体" w:eastAsia="宋体" w:cs="宋体"/>
                <w:color w:val="auto"/>
              </w:rPr>
              <w:t>死亡率</w:t>
            </w:r>
          </w:p>
        </w:tc>
        <w:tc>
          <w:tcPr>
            <w:tcW w:w="1542" w:type="pct"/>
            <w:vAlign w:val="center"/>
          </w:tcPr>
          <w:p>
            <w:pPr>
              <w:jc w:val="both"/>
              <w:rPr>
                <w:rFonts w:hint="eastAsia" w:ascii="Times New Roman" w:hAnsi="Times New Roman" w:eastAsia="宋体" w:cs="宋体"/>
                <w:color w:val="auto"/>
                <w:sz w:val="21"/>
              </w:rPr>
            </w:pPr>
            <w:r>
              <w:rPr>
                <w:rFonts w:hint="eastAsia" w:ascii="Times New Roman" w:hAnsi="Times New Roman" w:eastAsia="宋体" w:cs="宋体"/>
                <w:color w:val="auto"/>
                <w:sz w:val="21"/>
              </w:rPr>
              <w:t>中国人寿保险业经验生命表（2010-2013）男性CL5和女性CL6</w:t>
            </w:r>
          </w:p>
        </w:tc>
        <w:tc>
          <w:tcPr>
            <w:tcW w:w="1529" w:type="pct"/>
            <w:vAlign w:val="center"/>
          </w:tcPr>
          <w:p>
            <w:pPr>
              <w:jc w:val="both"/>
              <w:rPr>
                <w:rFonts w:hint="eastAsia" w:ascii="Times New Roman" w:hAnsi="Times New Roman" w:eastAsia="宋体" w:cs="宋体"/>
                <w:color w:val="auto"/>
                <w:sz w:val="21"/>
              </w:rPr>
            </w:pPr>
            <w:r>
              <w:rPr>
                <w:rFonts w:hint="eastAsia" w:ascii="Times New Roman" w:hAnsi="Times New Roman" w:eastAsia="宋体" w:cs="宋体"/>
                <w:color w:val="auto"/>
                <w:sz w:val="21"/>
              </w:rPr>
              <w:t>中国人寿保险业经验生命表（2010-2013）男性CL5和女性CL6</w:t>
            </w:r>
          </w:p>
        </w:tc>
      </w:tr>
    </w:tbl>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折现率以国债即期收益率为设定折现率的参考标准，在各评估时点确定内退福利计划负债平均修正久期的年期，再参考相应年期的国债收益率数据，从而决定适用的年折现率。</w:t>
      </w:r>
    </w:p>
    <w:p/>
    <w:p>
      <w:pPr>
        <w:pStyle w:val="196"/>
        <w:numPr>
          <w:ilvl w:val="0"/>
          <w:numId w:val="103"/>
        </w:numPr>
        <w:ind w:left="426" w:hanging="426"/>
      </w:pPr>
      <w:r>
        <w:rPr>
          <w:rFonts w:hint="eastAsia"/>
        </w:rPr>
        <w:t>设定受益计划变动情况</w:t>
      </w:r>
    </w:p>
    <w:p>
      <w:pPr>
        <w:rPr>
          <w:szCs w:val="21"/>
        </w:rPr>
      </w:pPr>
      <w:r>
        <w:rPr>
          <w:rFonts w:hint="eastAsia"/>
          <w:szCs w:val="21"/>
        </w:rPr>
        <w:t>设定受益计划义务现值：</w:t>
      </w:r>
    </w:p>
    <w:sdt>
      <w:sdtPr>
        <w:alias w:val="是否适用：设定受益计划义务现值[双击切换]"/>
        <w:tag w:val="_GBC_898bbd8ee5bb4ad698965551469ae3fb"/>
        <w:id w:val="27404"/>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计划资产：</w:t>
      </w:r>
    </w:p>
    <w:p>
      <w:pPr>
        <w:rPr>
          <w:rFonts w:hint="eastAsia"/>
        </w:rPr>
      </w:pPr>
      <w:sdt>
        <w:sdtPr>
          <w:rPr>
            <w:rFonts w:hint="eastAsia"/>
          </w:rPr>
          <w:alias w:val="是否适用：设定受益计划变动情况_计划资产[双击切换]"/>
          <w:tag w:val="_GBC_da74e4a7bfc84e888afc38ffa6096a31"/>
          <w:id w:val="27405"/>
          <w:placeholder>
            <w:docPart w:val="GBC22222222222222222222222222222"/>
          </w:placeholder>
        </w:sdtPr>
        <w:sdtEndPr>
          <w:rPr>
            <w:rFonts w:hint="eastAsia"/>
          </w:rPr>
        </w:sdtEndPr>
        <w:sdtContent>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Pr>
        <w:outlineLvl w:val="9"/>
        <w:rPr>
          <w:rFonts w:hint="eastAsia"/>
        </w:rPr>
      </w:pPr>
    </w:p>
    <w:p>
      <w:r>
        <w:rPr>
          <w:rFonts w:hint="eastAsia"/>
        </w:rPr>
        <w:t>设定受益计划净负债（净资产）</w:t>
      </w:r>
    </w:p>
    <w:sdt>
      <w:sdtPr>
        <w:alias w:val="是否适用：设定受益计划变动情况_设定受益计划净负债[双击切换]"/>
        <w:tag w:val="_GBC_4ef7ea9e6dc7431c9365dcd01da99b90"/>
        <w:id w:val="2740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2740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740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其他说明：</w:t>
      </w:r>
    </w:p>
    <w:sdt>
      <w:sdtPr>
        <w:rPr>
          <w:szCs w:val="21"/>
        </w:rPr>
        <w:alias w:val="是否适用：长期应付职工薪酬的其他说明[双击切换]"/>
        <w:tag w:val="_GBC_4c32051ec1ee486180dafb68d556d339"/>
        <w:id w:val="27409"/>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0"/>
          <w:numId w:val="71"/>
        </w:numPr>
        <w:tabs>
          <w:tab w:val="left" w:pos="504"/>
        </w:tabs>
        <w:rPr>
          <w:rFonts w:ascii="宋体" w:hAnsi="宋体"/>
          <w:szCs w:val="21"/>
        </w:rPr>
      </w:pPr>
      <w:bookmarkStart w:id="288" w:name="_Hlk533670325"/>
      <w:r>
        <w:rPr>
          <w:rFonts w:hint="eastAsia" w:ascii="宋体" w:hAnsi="宋体"/>
          <w:szCs w:val="21"/>
        </w:rPr>
        <w:t>预计负债</w:t>
      </w:r>
    </w:p>
    <w:sdt>
      <w:sdtPr>
        <w:alias w:val="是否适用：预计负债[双击切换]"/>
        <w:tag w:val="_GBC_d57ab9083835465c9b1fdeb5ed46b3ce"/>
        <w:id w:val="27410"/>
        <w:placeholder>
          <w:docPart w:val="GBC22222222222222222222222222222"/>
        </w:placeholder>
      </w:sdtPr>
      <w:sdtContent>
        <w:p>
          <w:pPr>
            <w:autoSpaceDE w:val="0"/>
            <w:autoSpaceDN w:val="0"/>
            <w:adjustRightInd w:val="0"/>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88"/>
    <w:p>
      <w:pPr>
        <w:rPr>
          <w:szCs w:val="21"/>
        </w:rPr>
      </w:pPr>
    </w:p>
    <w:p>
      <w:pPr>
        <w:pStyle w:val="229"/>
        <w:numPr>
          <w:ilvl w:val="0"/>
          <w:numId w:val="71"/>
        </w:numPr>
        <w:tabs>
          <w:tab w:val="left" w:pos="504"/>
        </w:tabs>
        <w:rPr>
          <w:rFonts w:ascii="宋体" w:hAnsi="宋体"/>
          <w:szCs w:val="21"/>
        </w:rPr>
      </w:pPr>
      <w:r>
        <w:rPr>
          <w:rFonts w:hint="eastAsia" w:ascii="宋体" w:hAnsi="宋体"/>
          <w:szCs w:val="21"/>
        </w:rPr>
        <w:t>递延收益</w:t>
      </w:r>
    </w:p>
    <w:p>
      <w:pPr>
        <w:pStyle w:val="264"/>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27411"/>
        <w:placeholder>
          <w:docPart w:val="GBC22222222222222222222222222222"/>
        </w:placeholder>
      </w:sdtPr>
      <w:sdtEndPr>
        <w:rPr>
          <w:rFonts w:hint="eastAsia" w:ascii="宋体" w:hAnsi="宋体" w:cs="宋体"/>
          <w:kern w:val="0"/>
          <w:szCs w:val="21"/>
        </w:rPr>
      </w:sdtEndPr>
      <w:sdtContent>
        <w:p>
          <w:pPr>
            <w:pStyle w:val="264"/>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26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274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274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529"/>
        <w:gridCol w:w="1469"/>
        <w:gridCol w:w="1267"/>
        <w:gridCol w:w="1296"/>
        <w:gridCol w:w="1500"/>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tag w:val="_PLD_06c0ddfa4a2746ca8f12eddff124e05c"/>
            <w:id w:val="27414"/>
          </w:sdtPr>
          <w:sdtContent>
            <w:tc>
              <w:tcPr>
                <w:tcW w:w="843" w:type="pct"/>
                <w:shd w:val="clear" w:color="auto" w:fill="auto"/>
                <w:vAlign w:val="center"/>
              </w:tcPr>
              <w:p>
                <w:pPr>
                  <w:jc w:val="center"/>
                  <w:rPr>
                    <w:szCs w:val="21"/>
                  </w:rPr>
                </w:pPr>
                <w:r>
                  <w:rPr>
                    <w:rFonts w:hint="eastAsia"/>
                    <w:szCs w:val="21"/>
                  </w:rPr>
                  <w:t>项目</w:t>
                </w:r>
              </w:p>
            </w:tc>
          </w:sdtContent>
        </w:sdt>
        <w:sdt>
          <w:sdtPr>
            <w:tag w:val="_PLD_4c41187d18a94eb4908c030c31b5a141"/>
            <w:id w:val="27415"/>
          </w:sdtPr>
          <w:sdtContent>
            <w:tc>
              <w:tcPr>
                <w:tcW w:w="810" w:type="pct"/>
                <w:shd w:val="clear" w:color="auto" w:fill="auto"/>
                <w:vAlign w:val="center"/>
              </w:tcPr>
              <w:p>
                <w:pPr>
                  <w:jc w:val="center"/>
                  <w:rPr>
                    <w:szCs w:val="21"/>
                  </w:rPr>
                </w:pPr>
                <w:r>
                  <w:rPr>
                    <w:rFonts w:hint="eastAsia"/>
                    <w:szCs w:val="21"/>
                  </w:rPr>
                  <w:t>期初余额</w:t>
                </w:r>
              </w:p>
            </w:tc>
          </w:sdtContent>
        </w:sdt>
        <w:sdt>
          <w:sdtPr>
            <w:tag w:val="_PLD_7823db68b61845e58a185dffbbfd2804"/>
            <w:id w:val="27416"/>
          </w:sdtPr>
          <w:sdtContent>
            <w:tc>
              <w:tcPr>
                <w:tcW w:w="699" w:type="pct"/>
                <w:shd w:val="clear" w:color="auto" w:fill="auto"/>
                <w:vAlign w:val="center"/>
              </w:tcPr>
              <w:p>
                <w:pPr>
                  <w:jc w:val="center"/>
                  <w:rPr>
                    <w:szCs w:val="21"/>
                  </w:rPr>
                </w:pPr>
                <w:r>
                  <w:rPr>
                    <w:rFonts w:hint="eastAsia"/>
                    <w:szCs w:val="21"/>
                  </w:rPr>
                  <w:t>本期增加</w:t>
                </w:r>
              </w:p>
            </w:tc>
          </w:sdtContent>
        </w:sdt>
        <w:sdt>
          <w:sdtPr>
            <w:tag w:val="_PLD_53b43bfd28984007852c2e00c870c71e"/>
            <w:id w:val="27417"/>
          </w:sdtPr>
          <w:sdtContent>
            <w:tc>
              <w:tcPr>
                <w:tcW w:w="715" w:type="pct"/>
                <w:shd w:val="clear" w:color="auto" w:fill="auto"/>
                <w:vAlign w:val="center"/>
              </w:tcPr>
              <w:p>
                <w:pPr>
                  <w:jc w:val="center"/>
                  <w:rPr>
                    <w:szCs w:val="21"/>
                  </w:rPr>
                </w:pPr>
                <w:r>
                  <w:rPr>
                    <w:rFonts w:hint="eastAsia"/>
                    <w:szCs w:val="21"/>
                  </w:rPr>
                  <w:t>本期减少</w:t>
                </w:r>
              </w:p>
            </w:tc>
          </w:sdtContent>
        </w:sdt>
        <w:sdt>
          <w:sdtPr>
            <w:tag w:val="_PLD_f07e96209c8b4d728b2a1b24ad38bcf7"/>
            <w:id w:val="27418"/>
          </w:sdtPr>
          <w:sdtContent>
            <w:tc>
              <w:tcPr>
                <w:tcW w:w="827" w:type="pct"/>
                <w:shd w:val="clear" w:color="auto" w:fill="auto"/>
                <w:vAlign w:val="center"/>
              </w:tcPr>
              <w:p>
                <w:pPr>
                  <w:jc w:val="center"/>
                  <w:rPr>
                    <w:szCs w:val="21"/>
                  </w:rPr>
                </w:pPr>
                <w:r>
                  <w:rPr>
                    <w:rFonts w:hint="eastAsia"/>
                    <w:szCs w:val="21"/>
                  </w:rPr>
                  <w:t>期末余额</w:t>
                </w:r>
              </w:p>
            </w:tc>
          </w:sdtContent>
        </w:sdt>
        <w:sdt>
          <w:sdtPr>
            <w:tag w:val="_PLD_86dc51c05b1340c5968feded0e64c1f1"/>
            <w:id w:val="27419"/>
          </w:sdtPr>
          <w:sdtContent>
            <w:tc>
              <w:tcPr>
                <w:tcW w:w="1102" w:type="pct"/>
                <w:shd w:val="clear" w:color="auto" w:fill="auto"/>
                <w:vAlign w:val="center"/>
              </w:tcPr>
              <w:p>
                <w:pPr>
                  <w:jc w:val="center"/>
                  <w:rPr>
                    <w:szCs w:val="21"/>
                  </w:rPr>
                </w:pPr>
                <w:r>
                  <w:rPr>
                    <w:rFonts w:hint="eastAsia"/>
                    <w:szCs w:val="21"/>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left"/>
              <w:rPr>
                <w:szCs w:val="21"/>
              </w:rPr>
            </w:pPr>
            <w:r>
              <w:t>全渠道大数据营销管理云平台建设项目</w:t>
            </w:r>
          </w:p>
        </w:tc>
        <w:tc>
          <w:tcPr>
            <w:tcW w:w="8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1,106,999.92</w:t>
            </w:r>
          </w:p>
        </w:tc>
        <w:tc>
          <w:tcPr>
            <w:tcW w:w="69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146,000.04</w:t>
            </w:r>
          </w:p>
        </w:tc>
        <w:tc>
          <w:tcPr>
            <w:tcW w:w="82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960,999.88</w:t>
            </w:r>
          </w:p>
        </w:tc>
        <w:tc>
          <w:tcPr>
            <w:tcW w:w="1102"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本公司2020年收到项目资金116万元,2022年收到项目资金30万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left"/>
              <w:rPr>
                <w:szCs w:val="21"/>
              </w:rPr>
            </w:pPr>
            <w:r>
              <w:t>植物—Ag离子复合型消毒剂研发</w:t>
            </w:r>
          </w:p>
        </w:tc>
        <w:tc>
          <w:tcPr>
            <w:tcW w:w="8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130,000.00</w:t>
            </w:r>
          </w:p>
        </w:tc>
        <w:tc>
          <w:tcPr>
            <w:tcW w:w="69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130,000.00</w:t>
            </w:r>
          </w:p>
        </w:tc>
        <w:tc>
          <w:tcPr>
            <w:tcW w:w="82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1102"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本公司2021年收到项目资金13万元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left"/>
              <w:rPr>
                <w:szCs w:val="21"/>
              </w:rPr>
            </w:pPr>
            <w:r>
              <w:t>安徽芳草工业园财政补助</w:t>
            </w:r>
          </w:p>
        </w:tc>
        <w:tc>
          <w:tcPr>
            <w:tcW w:w="8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6,659,063.68</w:t>
            </w:r>
          </w:p>
        </w:tc>
        <w:tc>
          <w:tcPr>
            <w:tcW w:w="69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176,789.28</w:t>
            </w:r>
          </w:p>
        </w:tc>
        <w:tc>
          <w:tcPr>
            <w:tcW w:w="82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6,482,274.40</w:t>
            </w:r>
          </w:p>
        </w:tc>
        <w:tc>
          <w:tcPr>
            <w:tcW w:w="1102" w:type="pct"/>
            <w:shd w:val="clear" w:color="auto" w:fill="auto"/>
            <w:vAlign w:val="center"/>
          </w:tcPr>
          <w:p>
            <w:pPr>
              <w:jc w:val="left"/>
              <w:rPr>
                <w:rFonts w:hint="eastAsia" w:ascii="Times New Roman" w:hAnsi="Times New Roman" w:eastAsia="宋体" w:cs="Times New Roman"/>
                <w:szCs w:val="21"/>
                <w:lang w:val="en-US" w:eastAsia="zh-CN"/>
              </w:rPr>
            </w:pPr>
            <w:r>
              <w:rPr>
                <w:rFonts w:hint="default" w:ascii="Times New Roman" w:hAnsi="Times New Roman" w:cs="Times New Roman"/>
              </w:rPr>
              <w:t>2010年合肥芳草工业园财政补助，初始入账881万</w:t>
            </w:r>
            <w:r>
              <w:rPr>
                <w:rFonts w:hint="eastAsia" w:ascii="Times New Roman" w:hAnsi="Times New Roman" w:cs="Times New Roman"/>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left"/>
              <w:rPr>
                <w:szCs w:val="21"/>
              </w:rPr>
            </w:pPr>
            <w:r>
              <w:t>节能减排项目</w:t>
            </w:r>
          </w:p>
        </w:tc>
        <w:tc>
          <w:tcPr>
            <w:tcW w:w="8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615,947.35</w:t>
            </w:r>
          </w:p>
        </w:tc>
        <w:tc>
          <w:tcPr>
            <w:tcW w:w="69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71,828.40</w:t>
            </w:r>
          </w:p>
        </w:tc>
        <w:tc>
          <w:tcPr>
            <w:tcW w:w="82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544,118.95</w:t>
            </w:r>
          </w:p>
        </w:tc>
        <w:tc>
          <w:tcPr>
            <w:tcW w:w="1102"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亿康药业2016年收到的项目资金初始60万；2019年收到40万元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left"/>
              <w:rPr>
                <w:szCs w:val="21"/>
              </w:rPr>
            </w:pPr>
            <w:r>
              <w:t>愈创木酚磺酸钾项目</w:t>
            </w:r>
          </w:p>
        </w:tc>
        <w:tc>
          <w:tcPr>
            <w:tcW w:w="8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195,557.20</w:t>
            </w:r>
          </w:p>
        </w:tc>
        <w:tc>
          <w:tcPr>
            <w:tcW w:w="69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33,360.70</w:t>
            </w:r>
          </w:p>
        </w:tc>
        <w:tc>
          <w:tcPr>
            <w:tcW w:w="82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162,196.50</w:t>
            </w:r>
          </w:p>
        </w:tc>
        <w:tc>
          <w:tcPr>
            <w:tcW w:w="1102" w:type="pct"/>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亿康药业2018年收到项目资金35万元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3" w:type="pct"/>
            <w:shd w:val="clear" w:color="auto" w:fill="auto"/>
            <w:vAlign w:val="center"/>
          </w:tcPr>
          <w:p>
            <w:pPr>
              <w:jc w:val="center"/>
              <w:rPr>
                <w:szCs w:val="21"/>
              </w:rPr>
            </w:pPr>
            <w:r>
              <w:rPr>
                <w:rFonts w:hint="eastAsia"/>
                <w:szCs w:val="21"/>
              </w:rPr>
              <w:t>合计</w:t>
            </w:r>
          </w:p>
        </w:tc>
        <w:tc>
          <w:tcPr>
            <w:tcW w:w="810"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8,707,568.15</w:t>
            </w:r>
          </w:p>
        </w:tc>
        <w:tc>
          <w:tcPr>
            <w:tcW w:w="699"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715"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557,978.42</w:t>
            </w:r>
          </w:p>
        </w:tc>
        <w:tc>
          <w:tcPr>
            <w:tcW w:w="827"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8,149,589.73</w:t>
            </w:r>
          </w:p>
        </w:tc>
        <w:tc>
          <w:tcPr>
            <w:tcW w:w="1102"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szCs w:val="21"/>
              </w:rPr>
              <w:t>/</w:t>
            </w:r>
          </w:p>
        </w:tc>
      </w:tr>
    </w:tbl>
    <w:p/>
    <w:p>
      <w:pPr>
        <w:spacing w:before="60" w:after="60"/>
        <w:rPr>
          <w:szCs w:val="21"/>
        </w:rPr>
      </w:pPr>
      <w:bookmarkStart w:id="289" w:name="_Hlk532902569"/>
      <w:bookmarkEnd w:id="289"/>
      <w:bookmarkStart w:id="290" w:name="_Hlk532902543"/>
      <w:bookmarkEnd w:id="290"/>
      <w:bookmarkStart w:id="291" w:name="OLE_LINK85"/>
      <w:bookmarkStart w:id="292" w:name="OLE_LINK84"/>
      <w:r>
        <w:rPr>
          <w:rFonts w:hint="eastAsia"/>
          <w:szCs w:val="21"/>
        </w:rPr>
        <w:t>其他说明：</w:t>
      </w:r>
    </w:p>
    <w:sdt>
      <w:sdtPr>
        <w:rPr>
          <w:szCs w:val="21"/>
        </w:rPr>
        <w:alias w:val="是否适用：递延收益的其他说明[双击切换]"/>
        <w:tag w:val="_GBC_0c28db54a76349869056f2b92b5d9400"/>
        <w:id w:val="27420"/>
        <w:placeholder>
          <w:docPart w:val="GBC22222222222222222222222222222"/>
        </w:placeholder>
      </w:sdtPr>
      <w:sdtEndPr>
        <w:rPr>
          <w:szCs w:val="21"/>
        </w:rPr>
      </w:sdtEndPr>
      <w:sdtContent>
        <w:p>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27421"/>
        <w:placeholder>
          <w:docPart w:val="GBC22222222222222222222222222222"/>
        </w:placeholder>
      </w:sdtPr>
      <w:sdtEndPr>
        <w:rPr>
          <w:szCs w:val="21"/>
        </w:rPr>
      </w:sdtEndPr>
      <w:sdtContent>
        <w:p>
          <w:pPr>
            <w:widowControl w:val="0"/>
            <w:adjustRightInd w:val="0"/>
            <w:snapToGrid w:val="0"/>
            <w:spacing w:line="460" w:lineRule="atLeast"/>
            <w:ind w:firstLine="420" w:firstLineChars="200"/>
            <w:jc w:val="both"/>
            <w:rPr>
              <w:rFonts w:ascii="Arial" w:hAnsi="Arial" w:eastAsia="宋体" w:cs="Arial"/>
              <w:kern w:val="2"/>
              <w:sz w:val="21"/>
              <w:szCs w:val="21"/>
            </w:rPr>
          </w:pPr>
          <w:r>
            <w:rPr>
              <w:rFonts w:hint="eastAsia" w:ascii="Arial" w:hAnsi="Arial" w:eastAsia="宋体" w:cs="Arial"/>
              <w:kern w:val="2"/>
              <w:sz w:val="21"/>
              <w:szCs w:val="21"/>
            </w:rPr>
            <w:t>与政府补助相关的递延收益：</w:t>
          </w:r>
        </w:p>
        <w:tbl>
          <w:tblPr>
            <w:tblStyle w:val="125"/>
            <w:tblW w:w="889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416"/>
            <w:gridCol w:w="1180"/>
            <w:gridCol w:w="1278"/>
            <w:gridCol w:w="425"/>
            <w:gridCol w:w="1416"/>
            <w:gridCol w:w="123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1096" w:type="pct"/>
                <w:shd w:val="clear" w:color="auto" w:fill="auto"/>
                <w:vAlign w:val="center"/>
              </w:tcPr>
              <w:p>
                <w:pPr>
                  <w:widowControl w:val="0"/>
                  <w:tabs>
                    <w:tab w:val="left" w:pos="196"/>
                    <w:tab w:val="left" w:pos="426"/>
                  </w:tabs>
                  <w:snapToGrid w:val="0"/>
                  <w:spacing w:line="320" w:lineRule="exact"/>
                  <w:ind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项目</w:t>
                </w:r>
              </w:p>
            </w:tc>
            <w:tc>
              <w:tcPr>
                <w:tcW w:w="796" w:type="pct"/>
                <w:vAlign w:val="center"/>
              </w:tcPr>
              <w:p>
                <w:pPr>
                  <w:widowControl w:val="0"/>
                  <w:tabs>
                    <w:tab w:val="left" w:pos="196"/>
                    <w:tab w:val="left" w:pos="426"/>
                  </w:tabs>
                  <w:snapToGrid w:val="0"/>
                  <w:spacing w:line="320" w:lineRule="exact"/>
                  <w:ind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期初余额</w:t>
                </w:r>
              </w:p>
            </w:tc>
            <w:tc>
              <w:tcPr>
                <w:tcW w:w="663" w:type="pct"/>
                <w:shd w:val="clear" w:color="auto" w:fill="auto"/>
                <w:vAlign w:val="center"/>
              </w:tcPr>
              <w:p>
                <w:pPr>
                  <w:widowControl w:val="0"/>
                  <w:tabs>
                    <w:tab w:val="left" w:pos="196"/>
                    <w:tab w:val="left" w:pos="426"/>
                  </w:tabs>
                  <w:snapToGrid w:val="0"/>
                  <w:spacing w:line="320" w:lineRule="exact"/>
                  <w:ind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本期新增补助金额</w:t>
                </w:r>
              </w:p>
            </w:tc>
            <w:tc>
              <w:tcPr>
                <w:tcW w:w="718" w:type="pct"/>
                <w:shd w:val="clear" w:color="auto" w:fill="auto"/>
                <w:vAlign w:val="center"/>
              </w:tcPr>
              <w:p>
                <w:pPr>
                  <w:widowControl w:val="0"/>
                  <w:tabs>
                    <w:tab w:val="left" w:pos="196"/>
                    <w:tab w:val="left" w:pos="426"/>
                  </w:tabs>
                  <w:snapToGrid w:val="0"/>
                  <w:spacing w:line="320" w:lineRule="exact"/>
                  <w:ind w:left="-63" w:leftChars="-30" w:right="-63" w:rightChars="-30"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本期计入</w:t>
                </w:r>
                <w:r>
                  <w:rPr>
                    <w:rFonts w:hint="eastAsia" w:ascii="宋体" w:hAnsi="宋体" w:eastAsia="宋体" w:cs="Times New Roman"/>
                    <w:kern w:val="2"/>
                    <w:sz w:val="18"/>
                    <w:szCs w:val="18"/>
                  </w:rPr>
                  <w:t>当期损益</w:t>
                </w:r>
                <w:r>
                  <w:rPr>
                    <w:rFonts w:ascii="宋体" w:hAnsi="宋体" w:eastAsia="宋体" w:cs="Times New Roman"/>
                    <w:kern w:val="2"/>
                    <w:sz w:val="18"/>
                    <w:szCs w:val="18"/>
                  </w:rPr>
                  <w:t>金额</w:t>
                </w:r>
              </w:p>
            </w:tc>
            <w:tc>
              <w:tcPr>
                <w:tcW w:w="239" w:type="pct"/>
                <w:vAlign w:val="center"/>
              </w:tcPr>
              <w:p>
                <w:pPr>
                  <w:widowControl w:val="0"/>
                  <w:tabs>
                    <w:tab w:val="left" w:pos="196"/>
                    <w:tab w:val="left" w:pos="426"/>
                  </w:tabs>
                  <w:snapToGrid w:val="0"/>
                  <w:spacing w:line="320" w:lineRule="exact"/>
                  <w:ind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其他变动</w:t>
                </w:r>
              </w:p>
            </w:tc>
            <w:tc>
              <w:tcPr>
                <w:tcW w:w="796" w:type="pct"/>
                <w:shd w:val="clear" w:color="auto" w:fill="auto"/>
                <w:vAlign w:val="center"/>
              </w:tcPr>
              <w:p>
                <w:pPr>
                  <w:widowControl w:val="0"/>
                  <w:tabs>
                    <w:tab w:val="left" w:pos="196"/>
                    <w:tab w:val="left" w:pos="426"/>
                  </w:tabs>
                  <w:snapToGrid w:val="0"/>
                  <w:spacing w:line="320" w:lineRule="exact"/>
                  <w:ind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期末余额</w:t>
                </w:r>
              </w:p>
            </w:tc>
            <w:tc>
              <w:tcPr>
                <w:tcW w:w="692" w:type="pct"/>
                <w:vAlign w:val="center"/>
              </w:tcPr>
              <w:p>
                <w:pPr>
                  <w:widowControl w:val="0"/>
                  <w:tabs>
                    <w:tab w:val="left" w:pos="196"/>
                    <w:tab w:val="left" w:pos="426"/>
                  </w:tabs>
                  <w:snapToGrid w:val="0"/>
                  <w:spacing w:line="320" w:lineRule="exact"/>
                  <w:ind w:firstLine="0" w:firstLineChars="0"/>
                  <w:jc w:val="center"/>
                  <w:rPr>
                    <w:rFonts w:ascii="宋体" w:hAnsi="宋体" w:eastAsia="宋体" w:cs="Times New Roman"/>
                    <w:kern w:val="2"/>
                    <w:sz w:val="18"/>
                    <w:szCs w:val="18"/>
                  </w:rPr>
                </w:pPr>
                <w:r>
                  <w:rPr>
                    <w:rFonts w:ascii="宋体" w:hAnsi="宋体" w:eastAsia="宋体" w:cs="Times New Roman"/>
                    <w:kern w:val="2"/>
                    <w:sz w:val="18"/>
                    <w:szCs w:val="18"/>
                  </w:rPr>
                  <w:t>与资产相关/与收益相关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096" w:type="pct"/>
                <w:shd w:val="clear" w:color="auto" w:fill="auto"/>
                <w:vAlign w:val="bottom"/>
              </w:tcPr>
              <w:p>
                <w:pPr>
                  <w:widowControl/>
                  <w:spacing w:line="320" w:lineRule="exact"/>
                  <w:ind w:firstLine="0" w:firstLineChars="0"/>
                  <w:jc w:val="left"/>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全渠道大数据营销管理云平台建设项目</w:t>
                </w:r>
              </w:p>
            </w:tc>
            <w:tc>
              <w:tcPr>
                <w:tcW w:w="796" w:type="pct"/>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1,106,999.92</w:t>
                </w:r>
              </w:p>
            </w:tc>
            <w:tc>
              <w:tcPr>
                <w:tcW w:w="663"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718"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146,000.04</w:t>
                </w:r>
              </w:p>
            </w:tc>
            <w:tc>
              <w:tcPr>
                <w:tcW w:w="239" w:type="pct"/>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796"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960,999.88</w:t>
                </w:r>
              </w:p>
            </w:tc>
            <w:tc>
              <w:tcPr>
                <w:tcW w:w="692" w:type="pct"/>
                <w:vAlign w:val="center"/>
              </w:tcPr>
              <w:p>
                <w:pPr>
                  <w:widowControl/>
                  <w:spacing w:line="320" w:lineRule="exact"/>
                  <w:ind w:firstLine="0" w:firstLineChars="0"/>
                  <w:jc w:val="right"/>
                  <w:rPr>
                    <w:rFonts w:ascii="宋体" w:hAnsi="宋体" w:eastAsia="宋体" w:cs="宋体"/>
                    <w:color w:val="000000"/>
                    <w:kern w:val="2"/>
                    <w:sz w:val="18"/>
                    <w:szCs w:val="18"/>
                  </w:rPr>
                </w:pPr>
                <w:r>
                  <w:rPr>
                    <w:rFonts w:hint="eastAsia"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096" w:type="pct"/>
                <w:shd w:val="clear" w:color="auto" w:fill="auto"/>
                <w:vAlign w:val="bottom"/>
              </w:tcPr>
              <w:p>
                <w:pPr>
                  <w:widowControl/>
                  <w:spacing w:line="320" w:lineRule="exact"/>
                  <w:ind w:firstLine="0" w:firstLineChars="0"/>
                  <w:jc w:val="left"/>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植物—Ag离子复合型消毒剂研发</w:t>
                </w:r>
              </w:p>
            </w:tc>
            <w:tc>
              <w:tcPr>
                <w:tcW w:w="796" w:type="pct"/>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130,000.00</w:t>
                </w:r>
              </w:p>
            </w:tc>
            <w:tc>
              <w:tcPr>
                <w:tcW w:w="663"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718"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130,000.00</w:t>
                </w:r>
              </w:p>
            </w:tc>
            <w:tc>
              <w:tcPr>
                <w:tcW w:w="239" w:type="pct"/>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796"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692" w:type="pct"/>
                <w:vAlign w:val="center"/>
              </w:tcPr>
              <w:p>
                <w:pPr>
                  <w:widowControl/>
                  <w:spacing w:line="320" w:lineRule="exact"/>
                  <w:ind w:firstLine="0" w:firstLineChars="0"/>
                  <w:jc w:val="right"/>
                  <w:rPr>
                    <w:rFonts w:ascii="宋体" w:hAnsi="宋体" w:eastAsia="宋体" w:cs="宋体"/>
                    <w:color w:val="000000"/>
                    <w:kern w:val="2"/>
                    <w:sz w:val="18"/>
                    <w:szCs w:val="18"/>
                  </w:rPr>
                </w:pPr>
                <w:r>
                  <w:rPr>
                    <w:rFonts w:hint="eastAsia"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096" w:type="pct"/>
                <w:shd w:val="clear" w:color="auto" w:fill="auto"/>
                <w:vAlign w:val="bottom"/>
              </w:tcPr>
              <w:p>
                <w:pPr>
                  <w:widowControl/>
                  <w:spacing w:line="320" w:lineRule="exact"/>
                  <w:ind w:firstLine="0" w:firstLineChars="0"/>
                  <w:jc w:val="left"/>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安徽芳草工业园财政补助</w:t>
                </w:r>
              </w:p>
            </w:tc>
            <w:tc>
              <w:tcPr>
                <w:tcW w:w="796" w:type="pct"/>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6,659,063.68</w:t>
                </w:r>
              </w:p>
            </w:tc>
            <w:tc>
              <w:tcPr>
                <w:tcW w:w="663"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718"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176,789.28</w:t>
                </w:r>
              </w:p>
            </w:tc>
            <w:tc>
              <w:tcPr>
                <w:tcW w:w="239" w:type="pct"/>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p>
            </w:tc>
            <w:tc>
              <w:tcPr>
                <w:tcW w:w="796" w:type="pct"/>
                <w:shd w:val="clear" w:color="auto" w:fill="auto"/>
                <w:vAlign w:val="center"/>
              </w:tcPr>
              <w:p>
                <w:pPr>
                  <w:widowControl/>
                  <w:spacing w:line="32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6,482,274.40</w:t>
                </w:r>
              </w:p>
            </w:tc>
            <w:tc>
              <w:tcPr>
                <w:tcW w:w="692" w:type="pct"/>
                <w:vAlign w:val="center"/>
              </w:tcPr>
              <w:p>
                <w:pPr>
                  <w:widowControl/>
                  <w:spacing w:line="320" w:lineRule="exact"/>
                  <w:ind w:firstLine="0" w:firstLineChars="0"/>
                  <w:jc w:val="right"/>
                  <w:rPr>
                    <w:rFonts w:ascii="宋体" w:hAnsi="宋体" w:eastAsia="宋体" w:cs="宋体"/>
                    <w:color w:val="000000"/>
                    <w:kern w:val="2"/>
                    <w:sz w:val="18"/>
                    <w:szCs w:val="18"/>
                  </w:rPr>
                </w:pPr>
                <w:r>
                  <w:rPr>
                    <w:rFonts w:hint="eastAsia"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096" w:type="pct"/>
                <w:shd w:val="clear" w:color="auto" w:fill="auto"/>
                <w:vAlign w:val="bottom"/>
              </w:tcPr>
              <w:p>
                <w:pPr>
                  <w:widowControl/>
                  <w:spacing w:line="480" w:lineRule="exact"/>
                  <w:ind w:firstLine="0" w:firstLineChars="0"/>
                  <w:jc w:val="left"/>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节能减排项目</w:t>
                </w:r>
              </w:p>
            </w:tc>
            <w:tc>
              <w:tcPr>
                <w:tcW w:w="796" w:type="pct"/>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615,947.35</w:t>
                </w:r>
              </w:p>
            </w:tc>
            <w:tc>
              <w:tcPr>
                <w:tcW w:w="663"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p>
            </w:tc>
            <w:tc>
              <w:tcPr>
                <w:tcW w:w="718"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71,828.40</w:t>
                </w:r>
              </w:p>
            </w:tc>
            <w:tc>
              <w:tcPr>
                <w:tcW w:w="239" w:type="pct"/>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p>
            </w:tc>
            <w:tc>
              <w:tcPr>
                <w:tcW w:w="796"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544,118.95</w:t>
                </w:r>
              </w:p>
            </w:tc>
            <w:tc>
              <w:tcPr>
                <w:tcW w:w="692" w:type="pct"/>
                <w:vAlign w:val="center"/>
              </w:tcPr>
              <w:p>
                <w:pPr>
                  <w:widowControl/>
                  <w:spacing w:line="480" w:lineRule="exact"/>
                  <w:ind w:firstLine="0" w:firstLineChars="0"/>
                  <w:jc w:val="right"/>
                  <w:rPr>
                    <w:rFonts w:ascii="宋体" w:hAnsi="宋体" w:eastAsia="宋体" w:cs="宋体"/>
                    <w:color w:val="000000"/>
                    <w:kern w:val="2"/>
                    <w:sz w:val="18"/>
                    <w:szCs w:val="18"/>
                  </w:rPr>
                </w:pPr>
                <w:r>
                  <w:rPr>
                    <w:rFonts w:hint="eastAsia"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096" w:type="pct"/>
                <w:shd w:val="clear" w:color="auto" w:fill="auto"/>
                <w:vAlign w:val="bottom"/>
              </w:tcPr>
              <w:p>
                <w:pPr>
                  <w:widowControl/>
                  <w:spacing w:line="480" w:lineRule="exact"/>
                  <w:ind w:firstLine="0" w:firstLineChars="0"/>
                  <w:jc w:val="left"/>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愈创木酚磺酸钾项目</w:t>
                </w:r>
              </w:p>
            </w:tc>
            <w:tc>
              <w:tcPr>
                <w:tcW w:w="796" w:type="pct"/>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195,557.20</w:t>
                </w:r>
              </w:p>
            </w:tc>
            <w:tc>
              <w:tcPr>
                <w:tcW w:w="663"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p>
            </w:tc>
            <w:tc>
              <w:tcPr>
                <w:tcW w:w="718"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33,360.70</w:t>
                </w:r>
              </w:p>
            </w:tc>
            <w:tc>
              <w:tcPr>
                <w:tcW w:w="239" w:type="pct"/>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p>
            </w:tc>
            <w:tc>
              <w:tcPr>
                <w:tcW w:w="796"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162,196.50</w:t>
                </w:r>
              </w:p>
            </w:tc>
            <w:tc>
              <w:tcPr>
                <w:tcW w:w="692" w:type="pct"/>
                <w:vAlign w:val="center"/>
              </w:tcPr>
              <w:p>
                <w:pPr>
                  <w:widowControl/>
                  <w:spacing w:line="480" w:lineRule="exact"/>
                  <w:ind w:firstLine="0" w:firstLineChars="0"/>
                  <w:jc w:val="right"/>
                  <w:rPr>
                    <w:rFonts w:ascii="宋体" w:hAnsi="宋体" w:eastAsia="宋体" w:cs="宋体"/>
                    <w:color w:val="000000"/>
                    <w:kern w:val="2"/>
                    <w:sz w:val="18"/>
                    <w:szCs w:val="18"/>
                  </w:rPr>
                </w:pPr>
                <w:r>
                  <w:rPr>
                    <w:rFonts w:hint="eastAsia" w:ascii="Times New Roman" w:hAnsi="Times New Roman" w:eastAsia="宋体" w:cs="Times New Roman"/>
                    <w:color w:val="000000"/>
                    <w:kern w:val="2"/>
                    <w:sz w:val="18"/>
                    <w:szCs w:val="18"/>
                  </w:rPr>
                  <w:t>与资产相关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096" w:type="pct"/>
                <w:shd w:val="clear" w:color="auto" w:fill="auto"/>
                <w:vAlign w:val="bottom"/>
              </w:tcPr>
              <w:p>
                <w:pPr>
                  <w:widowControl/>
                  <w:spacing w:line="480" w:lineRule="exact"/>
                  <w:ind w:firstLine="0" w:firstLineChars="0"/>
                  <w:jc w:val="center"/>
                  <w:rPr>
                    <w:rFonts w:ascii="宋体" w:hAnsi="宋体" w:eastAsia="宋体" w:cs="宋体"/>
                    <w:color w:val="000000"/>
                    <w:kern w:val="2"/>
                    <w:sz w:val="18"/>
                    <w:szCs w:val="18"/>
                  </w:rPr>
                </w:pPr>
                <w:r>
                  <w:rPr>
                    <w:rFonts w:hint="eastAsia" w:ascii="Times New Roman" w:hAnsi="Times New Roman" w:eastAsia="宋体" w:cs="Times New Roman"/>
                    <w:color w:val="000000"/>
                    <w:kern w:val="2"/>
                    <w:sz w:val="18"/>
                    <w:szCs w:val="18"/>
                  </w:rPr>
                  <w:t>合计</w:t>
                </w:r>
              </w:p>
            </w:tc>
            <w:tc>
              <w:tcPr>
                <w:tcW w:w="796" w:type="pct"/>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8,707,568.15</w:t>
                </w:r>
              </w:p>
            </w:tc>
            <w:tc>
              <w:tcPr>
                <w:tcW w:w="663"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p>
            </w:tc>
            <w:tc>
              <w:tcPr>
                <w:tcW w:w="718" w:type="pct"/>
                <w:shd w:val="clear" w:color="auto" w:fill="auto"/>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557,978.42</w:t>
                </w:r>
              </w:p>
            </w:tc>
            <w:tc>
              <w:tcPr>
                <w:tcW w:w="239" w:type="pct"/>
                <w:vAlign w:val="center"/>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p>
            </w:tc>
            <w:tc>
              <w:tcPr>
                <w:tcW w:w="796" w:type="pct"/>
                <w:shd w:val="clear" w:color="auto" w:fill="auto"/>
              </w:tcPr>
              <w:p>
                <w:pPr>
                  <w:widowControl/>
                  <w:spacing w:line="480" w:lineRule="exact"/>
                  <w:ind w:firstLine="0" w:firstLineChars="0"/>
                  <w:jc w:val="righ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2"/>
                    <w:sz w:val="21"/>
                    <w:szCs w:val="21"/>
                  </w:rPr>
                  <w:t>8,149,589.73</w:t>
                </w:r>
              </w:p>
            </w:tc>
            <w:tc>
              <w:tcPr>
                <w:tcW w:w="692" w:type="pct"/>
                <w:vAlign w:val="bottom"/>
              </w:tcPr>
              <w:p>
                <w:pPr>
                  <w:widowControl/>
                  <w:spacing w:line="480" w:lineRule="exact"/>
                  <w:ind w:firstLine="0" w:firstLineChars="0"/>
                  <w:jc w:val="center"/>
                  <w:rPr>
                    <w:rFonts w:ascii="宋体" w:hAnsi="宋体" w:eastAsia="宋体" w:cs="宋体"/>
                    <w:color w:val="000000"/>
                    <w:kern w:val="2"/>
                    <w:sz w:val="18"/>
                    <w:szCs w:val="18"/>
                  </w:rPr>
                </w:pPr>
              </w:p>
            </w:tc>
          </w:tr>
        </w:tbl>
        <w:p>
          <w:pPr>
            <w:rPr>
              <w:szCs w:val="21"/>
            </w:rPr>
          </w:pPr>
        </w:p>
      </w:sdtContent>
    </w:sdt>
    <w:bookmarkEnd w:id="291"/>
    <w:bookmarkEnd w:id="292"/>
    <w:p>
      <w:pPr>
        <w:snapToGrid w:val="0"/>
        <w:spacing w:line="240" w:lineRule="atLeast"/>
        <w:rPr>
          <w:szCs w:val="21"/>
        </w:rPr>
      </w:pPr>
    </w:p>
    <w:p>
      <w:pPr>
        <w:pStyle w:val="229"/>
        <w:numPr>
          <w:ilvl w:val="0"/>
          <w:numId w:val="71"/>
        </w:numPr>
        <w:tabs>
          <w:tab w:val="left" w:pos="504"/>
        </w:tabs>
        <w:rPr>
          <w:rFonts w:ascii="宋体" w:hAnsi="宋体"/>
          <w:szCs w:val="21"/>
        </w:rPr>
      </w:pPr>
      <w:bookmarkStart w:id="293" w:name="_Hlk533670383"/>
      <w:r>
        <w:rPr>
          <w:rFonts w:hint="eastAsia" w:ascii="宋体" w:hAnsi="宋体"/>
          <w:szCs w:val="21"/>
        </w:rPr>
        <w:t>其他非流动负债</w:t>
      </w:r>
    </w:p>
    <w:sdt>
      <w:sdtPr>
        <w:alias w:val="是否适用：其他非流动负债[双击切换]"/>
        <w:tag w:val="_GBC_05e5676f32624ce18727385761bd1a9a"/>
        <w:id w:val="27422"/>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293"/>
    <w:p>
      <w:pPr>
        <w:rPr>
          <w:szCs w:val="21"/>
        </w:rPr>
      </w:pPr>
    </w:p>
    <w:p>
      <w:pPr>
        <w:pStyle w:val="229"/>
        <w:numPr>
          <w:ilvl w:val="0"/>
          <w:numId w:val="71"/>
        </w:numPr>
        <w:tabs>
          <w:tab w:val="left" w:pos="504"/>
        </w:tabs>
        <w:rPr>
          <w:rFonts w:ascii="宋体" w:hAnsi="宋体"/>
          <w:szCs w:val="21"/>
        </w:rPr>
      </w:pPr>
      <w:r>
        <w:rPr>
          <w:rFonts w:hint="eastAsia" w:ascii="宋体" w:hAnsi="宋体"/>
          <w:szCs w:val="21"/>
        </w:rPr>
        <w:t>股本</w:t>
      </w:r>
    </w:p>
    <w:sdt>
      <w:sdtPr>
        <w:alias w:val="是否适用：股本[双击切换]"/>
        <w:tag w:val="_GBC_a2069fb3657946ee9810a9154eb11422"/>
        <w:id w:val="2742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股本"/>
          <w:tag w:val="_GBC_e2cacf7f2d9f4ad78dce53a3e345569e"/>
          <w:id w:val="274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274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743"/>
        <w:gridCol w:w="978"/>
        <w:gridCol w:w="679"/>
        <w:gridCol w:w="976"/>
        <w:gridCol w:w="909"/>
        <w:gridCol w:w="816"/>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96" w:type="pct"/>
            <w:vMerge w:val="restart"/>
            <w:tcBorders>
              <w:top w:val="single" w:color="auto" w:sz="4" w:space="0"/>
              <w:left w:val="single" w:color="auto" w:sz="4" w:space="0"/>
              <w:bottom w:val="single" w:color="auto" w:sz="4" w:space="0"/>
              <w:right w:val="single" w:color="auto" w:sz="4" w:space="0"/>
            </w:tcBorders>
          </w:tcPr>
          <w:p>
            <w:pPr>
              <w:jc w:val="center"/>
              <w:rPr>
                <w:szCs w:val="21"/>
              </w:rPr>
            </w:pPr>
          </w:p>
        </w:tc>
        <w:sdt>
          <w:sdtPr>
            <w:tag w:val="_PLD_fd63a619db16496bad52eeb145839158"/>
            <w:id w:val="27426"/>
          </w:sdtPr>
          <w:sdtContent>
            <w:tc>
              <w:tcPr>
                <w:tcW w:w="963"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期初余额</w:t>
                </w:r>
              </w:p>
            </w:tc>
          </w:sdtContent>
        </w:sdt>
        <w:sdt>
          <w:sdtPr>
            <w:tag w:val="_PLD_2cb33d9d8b0d47539581498c039e86aa"/>
            <w:id w:val="27427"/>
          </w:sdtPr>
          <w:sdtContent>
            <w:tc>
              <w:tcPr>
                <w:tcW w:w="2408" w:type="pct"/>
                <w:gridSpan w:val="5"/>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本次变动增减（+、一）</w:t>
                </w:r>
              </w:p>
            </w:tc>
          </w:sdtContent>
        </w:sdt>
        <w:sdt>
          <w:sdtPr>
            <w:tag w:val="_PLD_e579078cb28f47a09273701ab9e2e37a"/>
            <w:id w:val="27428"/>
          </w:sdtPr>
          <w:sdtContent>
            <w:tc>
              <w:tcPr>
                <w:tcW w:w="932"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96" w:type="pct"/>
            <w:vMerge w:val="continue"/>
            <w:tcBorders>
              <w:top w:val="single" w:color="auto" w:sz="4" w:space="0"/>
              <w:left w:val="single" w:color="auto" w:sz="4" w:space="0"/>
              <w:bottom w:val="single" w:color="auto" w:sz="4" w:space="0"/>
              <w:right w:val="single" w:color="auto" w:sz="4" w:space="0"/>
            </w:tcBorders>
          </w:tcPr>
          <w:p>
            <w:pPr>
              <w:rPr>
                <w:szCs w:val="21"/>
              </w:rPr>
            </w:pPr>
          </w:p>
        </w:tc>
        <w:tc>
          <w:tcPr>
            <w:tcW w:w="963" w:type="pct"/>
            <w:vMerge w:val="continue"/>
            <w:tcBorders>
              <w:left w:val="single" w:color="auto" w:sz="4" w:space="0"/>
              <w:bottom w:val="single" w:color="auto" w:sz="4" w:space="0"/>
              <w:right w:val="single" w:color="auto" w:sz="4" w:space="0"/>
            </w:tcBorders>
          </w:tcPr>
          <w:p>
            <w:pPr>
              <w:ind w:left="-250" w:leftChars="-119" w:firstLine="249" w:firstLineChars="119"/>
              <w:rPr>
                <w:szCs w:val="21"/>
              </w:rPr>
            </w:pPr>
          </w:p>
        </w:tc>
        <w:sdt>
          <w:sdtPr>
            <w:tag w:val="_PLD_2f067dcfa40a4e2d896a383f16e2e483"/>
            <w:id w:val="27429"/>
          </w:sdtPr>
          <w:sdtContent>
            <w:tc>
              <w:tcPr>
                <w:tcW w:w="54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发行</w:t>
                </w:r>
              </w:p>
              <w:p>
                <w:pPr>
                  <w:jc w:val="center"/>
                  <w:rPr>
                    <w:szCs w:val="21"/>
                  </w:rPr>
                </w:pPr>
                <w:r>
                  <w:rPr>
                    <w:rFonts w:hint="eastAsia"/>
                    <w:szCs w:val="21"/>
                  </w:rPr>
                  <w:t>新股</w:t>
                </w:r>
              </w:p>
            </w:tc>
          </w:sdtContent>
        </w:sdt>
        <w:sdt>
          <w:sdtPr>
            <w:tag w:val="_PLD_afc58df66e0343a29873ec3c2270451e"/>
            <w:id w:val="27430"/>
          </w:sdtPr>
          <w:sdtContent>
            <w:tc>
              <w:tcPr>
                <w:tcW w:w="3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送股</w:t>
                </w:r>
              </w:p>
            </w:tc>
          </w:sdtContent>
        </w:sdt>
        <w:sdt>
          <w:sdtPr>
            <w:tag w:val="_PLD_31d618a387e243239ea8ee139a3a39da"/>
            <w:id w:val="27431"/>
          </w:sdtPr>
          <w:sdtContent>
            <w:tc>
              <w:tcPr>
                <w:tcW w:w="5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公积金</w:t>
                </w:r>
              </w:p>
              <w:p>
                <w:pPr>
                  <w:jc w:val="center"/>
                  <w:rPr>
                    <w:szCs w:val="21"/>
                  </w:rPr>
                </w:pPr>
                <w:r>
                  <w:rPr>
                    <w:rFonts w:hint="eastAsia"/>
                    <w:szCs w:val="21"/>
                  </w:rPr>
                  <w:t>转股</w:t>
                </w:r>
              </w:p>
            </w:tc>
          </w:sdtContent>
        </w:sdt>
        <w:sdt>
          <w:sdtPr>
            <w:tag w:val="_PLD_12526084dedd4dc68d673c8a71c73862"/>
            <w:id w:val="27432"/>
          </w:sdtPr>
          <w:sdtContent>
            <w:tc>
              <w:tcPr>
                <w:tcW w:w="50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sdt>
          <w:sdtPr>
            <w:tag w:val="_PLD_fe70bd23af2d4fd680087e555e574f82"/>
            <w:id w:val="27433"/>
          </w:sdtPr>
          <w:sdtContent>
            <w:tc>
              <w:tcPr>
                <w:tcW w:w="4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小计</w:t>
                </w:r>
              </w:p>
            </w:tc>
          </w:sdtContent>
        </w:sdt>
        <w:tc>
          <w:tcPr>
            <w:tcW w:w="932" w:type="pct"/>
            <w:vMerge w:val="continue"/>
            <w:tcBorders>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96"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股份总数</w:t>
            </w:r>
          </w:p>
        </w:tc>
        <w:tc>
          <w:tcPr>
            <w:tcW w:w="96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550,000,000.00</w:t>
            </w:r>
          </w:p>
        </w:tc>
        <w:tc>
          <w:tcPr>
            <w:tcW w:w="54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37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53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50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45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w:t>
            </w:r>
          </w:p>
        </w:tc>
        <w:tc>
          <w:tcPr>
            <w:tcW w:w="93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550,000,000.00</w:t>
            </w:r>
          </w:p>
        </w:tc>
      </w:tr>
    </w:tbl>
    <w:p/>
    <w:p>
      <w:pPr>
        <w:spacing w:before="60" w:after="60"/>
        <w:rPr>
          <w:szCs w:val="21"/>
        </w:rPr>
      </w:pPr>
      <w:r>
        <w:rPr>
          <w:rFonts w:hint="eastAsia"/>
          <w:szCs w:val="21"/>
        </w:rPr>
        <w:t>其他说明：</w:t>
      </w:r>
    </w:p>
    <w:sdt>
      <w:sdtPr>
        <w:rPr>
          <w:szCs w:val="21"/>
        </w:rPr>
        <w:alias w:val="股本变动情况说明"/>
        <w:tag w:val="_GBC_6600e13aac194caa9cb58963beb3073e"/>
        <w:id w:val="27434"/>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cs="宋体"/>
          <w:bCs w:val="0"/>
          <w:kern w:val="0"/>
          <w:szCs w:val="21"/>
        </w:rPr>
        <w:t>其</w:t>
      </w:r>
      <w:r>
        <w:rPr>
          <w:rFonts w:hint="eastAsia" w:ascii="宋体" w:hAnsi="宋体"/>
          <w:szCs w:val="21"/>
        </w:rPr>
        <w:t>他权益工具</w:t>
      </w:r>
    </w:p>
    <w:p>
      <w:pPr>
        <w:pStyle w:val="196"/>
        <w:numPr>
          <w:ilvl w:val="0"/>
          <w:numId w:val="104"/>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7435"/>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196"/>
        <w:numPr>
          <w:ilvl w:val="0"/>
          <w:numId w:val="104"/>
        </w:numPr>
        <w:ind w:left="426" w:hanging="426"/>
      </w:pPr>
      <w:bookmarkStart w:id="294"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2743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294"/>
    <w:p>
      <w:pPr>
        <w:rPr>
          <w:szCs w:val="21"/>
        </w:rPr>
      </w:pPr>
      <w:bookmarkStart w:id="295" w:name="_Hlk89785136"/>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27437"/>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295"/>
    <w:p>
      <w:pPr>
        <w:rPr>
          <w:szCs w:val="21"/>
        </w:rPr>
      </w:pPr>
    </w:p>
    <w:p>
      <w:pPr>
        <w:rPr>
          <w:szCs w:val="21"/>
        </w:rPr>
      </w:pPr>
      <w:bookmarkStart w:id="296" w:name="_Hlk89785124"/>
      <w:r>
        <w:rPr>
          <w:rFonts w:hint="eastAsia"/>
          <w:szCs w:val="21"/>
        </w:rPr>
        <w:t>其他说明:</w:t>
      </w:r>
    </w:p>
    <w:sdt>
      <w:sdtPr>
        <w:rPr>
          <w:szCs w:val="21"/>
        </w:rPr>
        <w:alias w:val="是否适用：其他权益工具的其他说明[双击切换]"/>
        <w:tag w:val="_GBC_af2e32ae9c704175a99ebad592dec5f2"/>
        <w:id w:val="2743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296"/>
    <w:p>
      <w:pPr>
        <w:rPr>
          <w:szCs w:val="21"/>
        </w:rPr>
      </w:pPr>
    </w:p>
    <w:p>
      <w:pPr>
        <w:pStyle w:val="229"/>
        <w:numPr>
          <w:ilvl w:val="0"/>
          <w:numId w:val="71"/>
        </w:numPr>
        <w:tabs>
          <w:tab w:val="left" w:pos="504"/>
        </w:tabs>
        <w:rPr>
          <w:rFonts w:ascii="宋体" w:hAnsi="宋体"/>
          <w:szCs w:val="21"/>
        </w:rPr>
      </w:pPr>
      <w:r>
        <w:rPr>
          <w:rFonts w:hint="eastAsia" w:ascii="宋体" w:hAnsi="宋体"/>
          <w:szCs w:val="21"/>
        </w:rPr>
        <w:t>资本公积</w:t>
      </w:r>
    </w:p>
    <w:sdt>
      <w:sdtPr>
        <w:alias w:val="是否适用：资本公积[双击切换]"/>
        <w:tag w:val="_GBC_58b0344d8757456787af32396840e233"/>
        <w:id w:val="27439"/>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本公积"/>
          <w:tag w:val="_GBC_1b11e7474fd44870ad976b16c25b20f4"/>
          <w:id w:val="274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274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34"/>
        <w:gridCol w:w="1814"/>
        <w:gridCol w:w="1787"/>
        <w:gridCol w:w="1388"/>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4e0b77813064aeb83afd63c7bafbdab"/>
            <w:id w:val="27442"/>
          </w:sdtPr>
          <w:sdtContent>
            <w:tc>
              <w:tcPr>
                <w:tcW w:w="1233" w:type="pct"/>
                <w:vAlign w:val="center"/>
              </w:tcPr>
              <w:p>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7443"/>
          </w:sdtPr>
          <w:sdtContent>
            <w:tc>
              <w:tcPr>
                <w:tcW w:w="1001" w:type="pct"/>
                <w:vAlign w:val="center"/>
              </w:tcPr>
              <w:p>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27444"/>
          </w:sdtPr>
          <w:sdtContent>
            <w:tc>
              <w:tcPr>
                <w:tcW w:w="986" w:type="pct"/>
                <w:vAlign w:val="center"/>
              </w:tcPr>
              <w:p>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27445"/>
          </w:sdtPr>
          <w:sdtContent>
            <w:tc>
              <w:tcPr>
                <w:tcW w:w="766" w:type="pct"/>
                <w:vAlign w:val="center"/>
              </w:tcPr>
              <w:p>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7446"/>
          </w:sdtPr>
          <w:sdtContent>
            <w:tc>
              <w:tcPr>
                <w:tcW w:w="1013" w:type="pct"/>
                <w:vAlign w:val="center"/>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33" w:type="pct"/>
            <w:shd w:val="clear" w:color="auto" w:fill="auto"/>
          </w:tcPr>
          <w:p>
            <w:pPr>
              <w:autoSpaceDE w:val="0"/>
              <w:autoSpaceDN w:val="0"/>
              <w:adjustRightInd w:val="0"/>
              <w:snapToGrid w:val="0"/>
              <w:rPr>
                <w:szCs w:val="21"/>
              </w:rPr>
            </w:pPr>
            <w:r>
              <w:rPr>
                <w:rFonts w:hint="eastAsia"/>
                <w:szCs w:val="21"/>
              </w:rPr>
              <w:t>资本溢价（股本溢价）</w:t>
            </w:r>
          </w:p>
        </w:tc>
        <w:tc>
          <w:tcPr>
            <w:tcW w:w="1001"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1,184,535,294.95</w:t>
            </w:r>
          </w:p>
        </w:tc>
        <w:tc>
          <w:tcPr>
            <w:tcW w:w="986"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 </w:t>
            </w:r>
          </w:p>
        </w:tc>
        <w:tc>
          <w:tcPr>
            <w:tcW w:w="766"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 </w:t>
            </w:r>
          </w:p>
        </w:tc>
        <w:tc>
          <w:tcPr>
            <w:tcW w:w="1013"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1,184,535,294.95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3" w:type="pct"/>
            <w:shd w:val="clear" w:color="auto" w:fill="auto"/>
          </w:tcPr>
          <w:p>
            <w:pPr>
              <w:autoSpaceDE w:val="0"/>
              <w:autoSpaceDN w:val="0"/>
              <w:adjustRightInd w:val="0"/>
              <w:snapToGrid w:val="0"/>
              <w:rPr>
                <w:szCs w:val="21"/>
              </w:rPr>
            </w:pPr>
            <w:r>
              <w:rPr>
                <w:rFonts w:hint="eastAsia"/>
                <w:szCs w:val="21"/>
              </w:rPr>
              <w:t>其他资本公积</w:t>
            </w:r>
          </w:p>
        </w:tc>
        <w:tc>
          <w:tcPr>
            <w:tcW w:w="1001"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366,576.00</w:t>
            </w:r>
          </w:p>
        </w:tc>
        <w:tc>
          <w:tcPr>
            <w:tcW w:w="986"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 </w:t>
            </w:r>
          </w:p>
        </w:tc>
        <w:tc>
          <w:tcPr>
            <w:tcW w:w="766"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 </w:t>
            </w:r>
          </w:p>
        </w:tc>
        <w:tc>
          <w:tcPr>
            <w:tcW w:w="1013" w:type="pct"/>
            <w:shd w:val="clear" w:color="auto" w:fill="auto"/>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366,576.00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33" w:type="pct"/>
            <w:vAlign w:val="center"/>
          </w:tcPr>
          <w:p>
            <w:pPr>
              <w:autoSpaceDE w:val="0"/>
              <w:autoSpaceDN w:val="0"/>
              <w:adjustRightInd w:val="0"/>
              <w:snapToGrid w:val="0"/>
              <w:jc w:val="center"/>
              <w:rPr>
                <w:szCs w:val="21"/>
              </w:rPr>
            </w:pPr>
            <w:r>
              <w:rPr>
                <w:rFonts w:hint="eastAsia"/>
                <w:szCs w:val="21"/>
              </w:rPr>
              <w:t>合计</w:t>
            </w:r>
          </w:p>
        </w:tc>
        <w:tc>
          <w:tcPr>
            <w:tcW w:w="1001" w:type="pct"/>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1,184,901,870.95</w:t>
            </w:r>
          </w:p>
        </w:tc>
        <w:tc>
          <w:tcPr>
            <w:tcW w:w="986" w:type="pct"/>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 </w:t>
            </w:r>
          </w:p>
        </w:tc>
        <w:tc>
          <w:tcPr>
            <w:tcW w:w="766" w:type="pct"/>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 </w:t>
            </w:r>
          </w:p>
        </w:tc>
        <w:tc>
          <w:tcPr>
            <w:tcW w:w="1013" w:type="pct"/>
          </w:tcPr>
          <w:p>
            <w:pPr>
              <w:autoSpaceDE w:val="0"/>
              <w:autoSpaceDN w:val="0"/>
              <w:adjustRightInd w:val="0"/>
              <w:snapToGrid w:val="0"/>
              <w:jc w:val="right"/>
              <w:rPr>
                <w:rFonts w:hint="default" w:ascii="Times New Roman" w:hAnsi="Times New Roman" w:cs="Times New Roman"/>
                <w:szCs w:val="21"/>
              </w:rPr>
            </w:pPr>
            <w:r>
              <w:rPr>
                <w:rFonts w:hint="default" w:ascii="Times New Roman" w:hAnsi="Times New Roman" w:cs="Times New Roman"/>
              </w:rPr>
              <w:t>1,184,901,870.95</w:t>
            </w:r>
          </w:p>
        </w:tc>
      </w:tr>
    </w:tbl>
    <w:p/>
    <w:p>
      <w:pPr>
        <w:rPr>
          <w:szCs w:val="21"/>
        </w:rPr>
      </w:pPr>
      <w:r>
        <w:rPr>
          <w:rFonts w:hint="eastAsia"/>
          <w:szCs w:val="21"/>
        </w:rPr>
        <w:t>其他说明，包括本期增减变动情况、变动原因说明：</w:t>
      </w:r>
    </w:p>
    <w:p>
      <w:pPr>
        <w:rPr>
          <w:szCs w:val="21"/>
        </w:rPr>
      </w:pPr>
      <w:sdt>
        <w:sdtPr>
          <w:rPr>
            <w:szCs w:val="21"/>
          </w:rPr>
          <w:alias w:val="资本公积说明"/>
          <w:tag w:val="_GBC_bd957b69783b49af88b2c285825bd0fc"/>
          <w:id w:val="27447"/>
          <w:placeholder>
            <w:docPart w:val="GBC22222222222222222222222222222"/>
          </w:placeholder>
        </w:sdtPr>
        <w:sdtEndPr>
          <w:rPr>
            <w:szCs w:val="21"/>
          </w:rPr>
        </w:sdtEndPr>
        <w:sdtContent>
          <w:r>
            <w:rPr>
              <w:rFonts w:hint="eastAsia"/>
              <w:szCs w:val="21"/>
              <w:lang w:eastAsia="zh-CN"/>
            </w:rPr>
            <w:t>无</w:t>
          </w:r>
        </w:sdtContent>
      </w:sdt>
    </w:p>
    <w:p>
      <w:pPr>
        <w:rPr>
          <w:szCs w:val="21"/>
        </w:rPr>
      </w:pPr>
    </w:p>
    <w:p>
      <w:pPr>
        <w:pStyle w:val="229"/>
        <w:numPr>
          <w:ilvl w:val="0"/>
          <w:numId w:val="71"/>
        </w:numPr>
        <w:tabs>
          <w:tab w:val="left" w:pos="504"/>
        </w:tabs>
        <w:rPr>
          <w:rFonts w:ascii="宋体" w:hAnsi="宋体"/>
          <w:szCs w:val="21"/>
        </w:rPr>
      </w:pPr>
      <w:r>
        <w:rPr>
          <w:rFonts w:hint="eastAsia" w:ascii="宋体" w:hAnsi="宋体"/>
          <w:szCs w:val="21"/>
        </w:rPr>
        <w:t>库存股</w:t>
      </w:r>
    </w:p>
    <w:sdt>
      <w:sdtPr>
        <w:alias w:val="是否适用：库存股[双击切换]"/>
        <w:tag w:val="_GBC_8e4fbb6e216145d28e75f17bb16e2ed0"/>
        <w:id w:val="27448"/>
        <w:placeholder>
          <w:docPart w:val="GBC22222222222222222222222222222"/>
        </w:placeholder>
      </w:sdtPr>
      <w:sdtContent>
        <w:p>
          <w:pPr>
            <w:outlineLvl w:val="9"/>
            <w:rPr>
              <w:b/>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71"/>
        </w:numPr>
        <w:tabs>
          <w:tab w:val="left" w:pos="504"/>
        </w:tabs>
        <w:rPr>
          <w:rFonts w:ascii="宋体" w:hAnsi="宋体"/>
          <w:szCs w:val="21"/>
        </w:rPr>
      </w:pPr>
      <w:bookmarkStart w:id="297" w:name="_Hlk10537776"/>
      <w:bookmarkEnd w:id="297"/>
      <w:bookmarkStart w:id="298" w:name="_Hlk24027351"/>
      <w:r>
        <w:rPr>
          <w:rFonts w:hint="eastAsia" w:ascii="宋体" w:hAnsi="宋体"/>
          <w:szCs w:val="21"/>
        </w:rPr>
        <w:t>其他综合收益</w:t>
      </w:r>
    </w:p>
    <w:sdt>
      <w:sdtPr>
        <w:alias w:val="是否适用：其他综合收益[双击切换]"/>
        <w:tag w:val="_GBC_60105f81909745c788232a2118ec8260"/>
        <w:id w:val="27449"/>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综合收益情况"/>
          <w:tag w:val="_GBC_e409bf7299734ac38578b7aeaafe4b22"/>
          <w:id w:val="274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274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1400"/>
        <w:gridCol w:w="589"/>
        <w:gridCol w:w="736"/>
        <w:gridCol w:w="886"/>
        <w:gridCol w:w="423"/>
        <w:gridCol w:w="641"/>
        <w:gridCol w:w="573"/>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tag w:val="_PLD_b9ff3615ccfb4fb8b5b240bdfb50f58f"/>
            <w:id w:val="27452"/>
          </w:sdtPr>
          <w:sdtContent>
            <w:tc>
              <w:tcPr>
                <w:tcW w:w="1217" w:type="pct"/>
                <w:vMerge w:val="restart"/>
                <w:shd w:val="clear" w:color="auto" w:fill="auto"/>
                <w:vAlign w:val="center"/>
              </w:tcPr>
              <w:p>
                <w:pPr>
                  <w:jc w:val="center"/>
                  <w:rPr>
                    <w:szCs w:val="21"/>
                  </w:rPr>
                </w:pPr>
                <w:r>
                  <w:rPr>
                    <w:rFonts w:hint="eastAsia"/>
                    <w:szCs w:val="21"/>
                  </w:rPr>
                  <w:t>项目</w:t>
                </w:r>
              </w:p>
            </w:tc>
          </w:sdtContent>
        </w:sdt>
        <w:sdt>
          <w:sdtPr>
            <w:tag w:val="_PLD_c452eb3cb7084e41ba725641dbad27ab"/>
            <w:id w:val="27453"/>
          </w:sdtPr>
          <w:sdtContent>
            <w:tc>
              <w:tcPr>
                <w:tcW w:w="773" w:type="pct"/>
                <w:vMerge w:val="restart"/>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c4c67158aa744717a253a7b51b99ed00"/>
            <w:id w:val="27454"/>
          </w:sdtPr>
          <w:sdtContent>
            <w:tc>
              <w:tcPr>
                <w:tcW w:w="2126" w:type="pct"/>
                <w:gridSpan w:val="6"/>
                <w:shd w:val="clear" w:color="auto" w:fill="auto"/>
                <w:vAlign w:val="center"/>
              </w:tcPr>
              <w:p>
                <w:pPr>
                  <w:jc w:val="center"/>
                  <w:rPr>
                    <w:szCs w:val="21"/>
                  </w:rPr>
                </w:pPr>
                <w:r>
                  <w:rPr>
                    <w:rFonts w:hint="eastAsia"/>
                    <w:szCs w:val="21"/>
                  </w:rPr>
                  <w:t>本期发生金额</w:t>
                </w:r>
              </w:p>
            </w:tc>
          </w:sdtContent>
        </w:sdt>
        <w:sdt>
          <w:sdtPr>
            <w:tag w:val="_PLD_2fcdc30e089b48d0af01eff4e6c0c7ad"/>
            <w:id w:val="27455"/>
          </w:sdtPr>
          <w:sdtContent>
            <w:tc>
              <w:tcPr>
                <w:tcW w:w="882" w:type="pct"/>
                <w:vMerge w:val="restart"/>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vMerge w:val="continue"/>
            <w:shd w:val="clear" w:color="auto" w:fill="auto"/>
          </w:tcPr>
          <w:p>
            <w:pPr>
              <w:jc w:val="center"/>
              <w:rPr>
                <w:szCs w:val="21"/>
              </w:rPr>
            </w:pPr>
          </w:p>
        </w:tc>
        <w:tc>
          <w:tcPr>
            <w:tcW w:w="773" w:type="pct"/>
            <w:vMerge w:val="continue"/>
            <w:shd w:val="clear" w:color="auto" w:fill="auto"/>
          </w:tcPr>
          <w:p>
            <w:pPr>
              <w:jc w:val="center"/>
              <w:rPr>
                <w:szCs w:val="21"/>
              </w:rPr>
            </w:pPr>
          </w:p>
        </w:tc>
        <w:sdt>
          <w:sdtPr>
            <w:tag w:val="_PLD_08b0381418824e1685e4223515aed1f1"/>
            <w:id w:val="27456"/>
          </w:sdtPr>
          <w:sdtContent>
            <w:tc>
              <w:tcPr>
                <w:tcW w:w="325" w:type="pct"/>
                <w:shd w:val="clear" w:color="auto" w:fill="auto"/>
                <w:vAlign w:val="center"/>
              </w:tcPr>
              <w:p>
                <w:pPr>
                  <w:jc w:val="center"/>
                  <w:rPr>
                    <w:szCs w:val="21"/>
                  </w:rPr>
                </w:pPr>
                <w:r>
                  <w:rPr>
                    <w:rFonts w:hint="eastAsia"/>
                    <w:szCs w:val="21"/>
                  </w:rPr>
                  <w:t>本期所得税前发生额</w:t>
                </w:r>
              </w:p>
            </w:tc>
          </w:sdtContent>
        </w:sdt>
        <w:sdt>
          <w:sdtPr>
            <w:tag w:val="_PLD_b9b4a9789ab94b46aa682fa396296a6f"/>
            <w:id w:val="27457"/>
          </w:sdtPr>
          <w:sdtContent>
            <w:tc>
              <w:tcPr>
                <w:tcW w:w="406" w:type="pct"/>
                <w:shd w:val="clear" w:color="auto" w:fill="auto"/>
                <w:vAlign w:val="center"/>
              </w:tcPr>
              <w:p>
                <w:pPr>
                  <w:jc w:val="center"/>
                  <w:rPr>
                    <w:szCs w:val="21"/>
                  </w:rPr>
                </w:pPr>
                <w:r>
                  <w:rPr>
                    <w:rFonts w:hint="eastAsia"/>
                    <w:szCs w:val="21"/>
                  </w:rPr>
                  <w:t>减：前期计入其他综合收益当期转入损益</w:t>
                </w:r>
              </w:p>
            </w:tc>
          </w:sdtContent>
        </w:sdt>
        <w:tc>
          <w:tcPr>
            <w:tcW w:w="489" w:type="pct"/>
          </w:tcPr>
          <w:sdt>
            <w:sdtPr>
              <w:rPr>
                <w:rFonts w:hint="eastAsia"/>
                <w:szCs w:val="21"/>
              </w:rPr>
              <w:tag w:val="_PLD_a38fa46c72bd4d5dbd427d2107ab58cc"/>
              <w:id w:val="27458"/>
            </w:sdtPr>
            <w:sdtEndPr>
              <w:rPr>
                <w:rFonts w:hint="eastAsia"/>
                <w:szCs w:val="21"/>
              </w:rPr>
            </w:sdtEndPr>
            <w:sdtContent>
              <w:p>
                <w:pPr>
                  <w:jc w:val="center"/>
                </w:pPr>
                <w:r>
                  <w:rPr>
                    <w:rFonts w:hint="eastAsia"/>
                    <w:szCs w:val="21"/>
                  </w:rPr>
                  <w:t>减：前期计入其他综合收益当期转入留存收益</w:t>
                </w:r>
              </w:p>
            </w:sdtContent>
          </w:sdt>
        </w:tc>
        <w:sdt>
          <w:sdtPr>
            <w:tag w:val="_PLD_3aa0b45624ce4714ba49e23b657915b8"/>
            <w:id w:val="27459"/>
          </w:sdtPr>
          <w:sdtContent>
            <w:tc>
              <w:tcPr>
                <w:tcW w:w="233" w:type="pct"/>
                <w:shd w:val="clear" w:color="auto" w:fill="auto"/>
                <w:vAlign w:val="center"/>
              </w:tcPr>
              <w:p>
                <w:pPr>
                  <w:jc w:val="center"/>
                  <w:rPr>
                    <w:szCs w:val="21"/>
                  </w:rPr>
                </w:pPr>
                <w:r>
                  <w:rPr>
                    <w:rFonts w:hint="eastAsia"/>
                    <w:szCs w:val="21"/>
                  </w:rPr>
                  <w:t>减：所得税费用</w:t>
                </w:r>
              </w:p>
            </w:tc>
          </w:sdtContent>
        </w:sdt>
        <w:sdt>
          <w:sdtPr>
            <w:tag w:val="_PLD_8b3cddc1172740f1a089204a9d0cbe76"/>
            <w:id w:val="27460"/>
          </w:sdtPr>
          <w:sdtContent>
            <w:tc>
              <w:tcPr>
                <w:tcW w:w="354" w:type="pct"/>
                <w:shd w:val="clear" w:color="auto" w:fill="auto"/>
                <w:vAlign w:val="center"/>
              </w:tcPr>
              <w:p>
                <w:pPr>
                  <w:jc w:val="center"/>
                  <w:rPr>
                    <w:szCs w:val="21"/>
                  </w:rPr>
                </w:pPr>
                <w:r>
                  <w:rPr>
                    <w:rFonts w:hint="eastAsia"/>
                    <w:szCs w:val="21"/>
                  </w:rPr>
                  <w:t>税后归属于母公司</w:t>
                </w:r>
              </w:p>
            </w:tc>
          </w:sdtContent>
        </w:sdt>
        <w:sdt>
          <w:sdtPr>
            <w:tag w:val="_PLD_addbe2b10c3b49449f4532c4ee8679a0"/>
            <w:id w:val="27461"/>
          </w:sdtPr>
          <w:sdtContent>
            <w:tc>
              <w:tcPr>
                <w:tcW w:w="316" w:type="pct"/>
                <w:shd w:val="clear" w:color="auto" w:fill="auto"/>
                <w:vAlign w:val="center"/>
              </w:tcPr>
              <w:p>
                <w:pPr>
                  <w:jc w:val="center"/>
                  <w:rPr>
                    <w:szCs w:val="21"/>
                  </w:rPr>
                </w:pPr>
                <w:r>
                  <w:rPr>
                    <w:rFonts w:hint="eastAsia"/>
                    <w:szCs w:val="21"/>
                  </w:rPr>
                  <w:t>税后归属于少数股东</w:t>
                </w:r>
              </w:p>
            </w:tc>
          </w:sdtContent>
        </w:sdt>
        <w:tc>
          <w:tcPr>
            <w:tcW w:w="882" w:type="pct"/>
            <w:vMerge w:val="continue"/>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rPr>
                <w:szCs w:val="21"/>
              </w:rPr>
            </w:pPr>
            <w:r>
              <w:rPr>
                <w:rFonts w:hint="eastAsia"/>
                <w:szCs w:val="21"/>
              </w:rPr>
              <w:t>一、不能重分类进损益的其他综合收益</w:t>
            </w:r>
          </w:p>
        </w:tc>
        <w:tc>
          <w:tcPr>
            <w:tcW w:w="7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rPr>
                <w:szCs w:val="21"/>
              </w:rPr>
            </w:pPr>
            <w:r>
              <w:rPr>
                <w:rFonts w:hint="eastAsia"/>
                <w:szCs w:val="21"/>
              </w:rPr>
              <w:t>其中：重新计量设定受益计划变动额</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rPr>
                <w:szCs w:val="21"/>
              </w:rPr>
            </w:pPr>
            <w:r>
              <w:rPr>
                <w:rFonts w:hint="eastAsia"/>
                <w:szCs w:val="21"/>
              </w:rPr>
              <w:t xml:space="preserve">  权益法下不能转损益的其他综合收益</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ind w:firstLine="210" w:firstLineChars="100"/>
            </w:pPr>
            <w:r>
              <w:rPr>
                <w:rFonts w:hint="eastAsia"/>
              </w:rPr>
              <w:t>其他权益工具投资公允价值变动</w:t>
            </w:r>
          </w:p>
        </w:tc>
        <w:tc>
          <w:tcPr>
            <w:tcW w:w="7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ind w:firstLine="210" w:firstLineChars="100"/>
            </w:pPr>
            <w:r>
              <w:rPr>
                <w:rFonts w:hint="eastAsia"/>
              </w:rPr>
              <w:t>企业自身信用风险公允价值变动</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rPr>
                <w:szCs w:val="21"/>
              </w:rPr>
            </w:pPr>
            <w:r>
              <w:rPr>
                <w:rFonts w:hint="eastAsia"/>
                <w:szCs w:val="21"/>
              </w:rPr>
              <w:t>二、将重分类进损益的其他综合收益</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rPr>
                <w:szCs w:val="21"/>
              </w:rPr>
            </w:pPr>
            <w:r>
              <w:rPr>
                <w:rFonts w:hint="eastAsia"/>
                <w:szCs w:val="21"/>
              </w:rPr>
              <w:t>其中：权益法下可转损益的其他综合收益</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ind w:firstLine="210" w:firstLineChars="100"/>
            </w:pPr>
            <w:r>
              <w:rPr>
                <w:rFonts w:hint="eastAsia"/>
              </w:rPr>
              <w:t>其他债权投资公允价值变动</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ind w:firstLine="210" w:firstLineChars="100"/>
            </w:pPr>
            <w:r>
              <w:rPr>
                <w:rFonts w:hint="eastAsia"/>
              </w:rPr>
              <w:t>金融资产重分类计入其他综合收益的金额</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ind w:firstLine="210" w:firstLineChars="100"/>
            </w:pPr>
            <w:r>
              <w:rPr>
                <w:rFonts w:hint="eastAsia"/>
              </w:rPr>
              <w:t>其他债权投资信用减值准备</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rPr>
                <w:szCs w:val="21"/>
              </w:rPr>
            </w:pPr>
            <w:r>
              <w:rPr>
                <w:rFonts w:hint="eastAsia"/>
                <w:szCs w:val="21"/>
              </w:rPr>
              <w:t xml:space="preserve">  现金流量套期储备</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tcPr>
          <w:p>
            <w:pPr>
              <w:rPr>
                <w:szCs w:val="21"/>
              </w:rPr>
            </w:pPr>
            <w:r>
              <w:rPr>
                <w:rFonts w:hint="eastAsia"/>
                <w:szCs w:val="21"/>
              </w:rPr>
              <w:t xml:space="preserve">  外币财务报表折算差额</w:t>
            </w:r>
          </w:p>
        </w:tc>
        <w:tc>
          <w:tcPr>
            <w:tcW w:w="773" w:type="pct"/>
            <w:shd w:val="clear" w:color="auto" w:fill="auto"/>
            <w:vAlign w:val="center"/>
          </w:tcPr>
          <w:p>
            <w:pPr>
              <w:jc w:val="right"/>
              <w:rPr>
                <w:rFonts w:hint="default" w:ascii="Times New Roman" w:hAnsi="Times New Roman" w:cs="Times New Roman"/>
                <w:sz w:val="21"/>
                <w:szCs w:val="21"/>
              </w:rPr>
            </w:pP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rPr>
                <w:szCs w:val="21"/>
              </w:rPr>
            </w:pPr>
            <w:r>
              <w:rPr>
                <w:rFonts w:hint="eastAsia"/>
                <w:szCs w:val="21"/>
              </w:rPr>
              <w:t>其他综合收益合计</w:t>
            </w:r>
          </w:p>
        </w:tc>
        <w:tc>
          <w:tcPr>
            <w:tcW w:w="773"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c>
          <w:tcPr>
            <w:tcW w:w="325" w:type="pct"/>
            <w:shd w:val="clear" w:color="auto" w:fill="auto"/>
            <w:vAlign w:val="center"/>
          </w:tcPr>
          <w:p>
            <w:pPr>
              <w:jc w:val="right"/>
              <w:rPr>
                <w:rFonts w:hint="default" w:ascii="Times New Roman" w:hAnsi="Times New Roman" w:cs="Times New Roman"/>
                <w:sz w:val="21"/>
                <w:szCs w:val="21"/>
              </w:rPr>
            </w:pPr>
          </w:p>
        </w:tc>
        <w:tc>
          <w:tcPr>
            <w:tcW w:w="406" w:type="pct"/>
            <w:shd w:val="clear" w:color="auto" w:fill="auto"/>
            <w:vAlign w:val="center"/>
          </w:tcPr>
          <w:p>
            <w:pPr>
              <w:jc w:val="right"/>
              <w:rPr>
                <w:rFonts w:hint="default" w:ascii="Times New Roman" w:hAnsi="Times New Roman" w:cs="Times New Roman"/>
                <w:sz w:val="21"/>
                <w:szCs w:val="21"/>
              </w:rPr>
            </w:pPr>
          </w:p>
        </w:tc>
        <w:tc>
          <w:tcPr>
            <w:tcW w:w="489" w:type="pct"/>
            <w:vAlign w:val="center"/>
          </w:tcPr>
          <w:p>
            <w:pPr>
              <w:jc w:val="right"/>
              <w:rPr>
                <w:rFonts w:hint="default" w:ascii="Times New Roman" w:hAnsi="Times New Roman" w:cs="Times New Roman"/>
                <w:sz w:val="21"/>
                <w:szCs w:val="21"/>
              </w:rPr>
            </w:pPr>
          </w:p>
        </w:tc>
        <w:tc>
          <w:tcPr>
            <w:tcW w:w="233" w:type="pct"/>
            <w:shd w:val="clear" w:color="auto" w:fill="auto"/>
            <w:vAlign w:val="center"/>
          </w:tcPr>
          <w:p>
            <w:pPr>
              <w:jc w:val="right"/>
              <w:rPr>
                <w:rFonts w:hint="default" w:ascii="Times New Roman" w:hAnsi="Times New Roman" w:cs="Times New Roman"/>
                <w:sz w:val="21"/>
                <w:szCs w:val="21"/>
              </w:rPr>
            </w:pPr>
          </w:p>
        </w:tc>
        <w:tc>
          <w:tcPr>
            <w:tcW w:w="354" w:type="pct"/>
            <w:shd w:val="clear" w:color="auto" w:fill="auto"/>
            <w:vAlign w:val="center"/>
          </w:tcPr>
          <w:p>
            <w:pPr>
              <w:jc w:val="right"/>
              <w:rPr>
                <w:rFonts w:hint="default" w:ascii="Times New Roman" w:hAnsi="Times New Roman" w:cs="Times New Roman"/>
                <w:sz w:val="21"/>
                <w:szCs w:val="21"/>
              </w:rPr>
            </w:pPr>
          </w:p>
        </w:tc>
        <w:tc>
          <w:tcPr>
            <w:tcW w:w="316" w:type="pct"/>
            <w:shd w:val="clear" w:color="auto" w:fill="auto"/>
            <w:vAlign w:val="center"/>
          </w:tcPr>
          <w:p>
            <w:pPr>
              <w:jc w:val="right"/>
              <w:rPr>
                <w:rFonts w:hint="default" w:ascii="Times New Roman" w:hAnsi="Times New Roman" w:cs="Times New Roman"/>
                <w:sz w:val="21"/>
                <w:szCs w:val="21"/>
              </w:rPr>
            </w:pPr>
          </w:p>
        </w:tc>
        <w:tc>
          <w:tcPr>
            <w:tcW w:w="882"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000000"/>
                <w:kern w:val="0"/>
                <w:sz w:val="21"/>
                <w:szCs w:val="21"/>
              </w:rPr>
              <w:t>-8,825,807.26</w:t>
            </w:r>
          </w:p>
        </w:tc>
      </w:tr>
    </w:tbl>
    <w:p/>
    <w:p>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27462"/>
        <w:placeholder>
          <w:docPart w:val="GBC22222222222222222222222222222"/>
        </w:placeholder>
      </w:sdtPr>
      <w:sdtEndPr>
        <w:rPr>
          <w:rFonts w:hint="eastAsia"/>
          <w:szCs w:val="21"/>
        </w:rPr>
      </w:sdtEndPr>
      <w:sdtContent>
        <w:p>
          <w:pPr>
            <w:rPr>
              <w:szCs w:val="21"/>
            </w:rPr>
          </w:pPr>
          <w:r>
            <w:rPr>
              <w:rFonts w:hint="eastAsia"/>
              <w:szCs w:val="21"/>
              <w:lang w:eastAsia="zh-CN"/>
            </w:rPr>
            <w:t>无</w:t>
          </w:r>
        </w:p>
      </w:sdtContent>
    </w:sdt>
    <w:p>
      <w:pPr>
        <w:rPr>
          <w:szCs w:val="21"/>
        </w:rPr>
      </w:pPr>
    </w:p>
    <w:bookmarkEnd w:id="298"/>
    <w:p>
      <w:pPr>
        <w:pStyle w:val="229"/>
        <w:numPr>
          <w:ilvl w:val="0"/>
          <w:numId w:val="71"/>
        </w:numPr>
        <w:tabs>
          <w:tab w:val="left" w:pos="504"/>
        </w:tabs>
        <w:rPr>
          <w:rFonts w:ascii="宋体" w:hAnsi="宋体"/>
          <w:szCs w:val="21"/>
        </w:rPr>
      </w:pPr>
      <w:r>
        <w:rPr>
          <w:rFonts w:hint="eastAsia" w:ascii="宋体" w:hAnsi="宋体"/>
          <w:szCs w:val="21"/>
        </w:rPr>
        <w:t>专项储备</w:t>
      </w:r>
    </w:p>
    <w:sdt>
      <w:sdtPr>
        <w:alias w:val="是否适用：专项储备[双击切换]"/>
        <w:tag w:val="_GBC_0e2f337ccf9a4bc6919cf02a896e57c1"/>
        <w:id w:val="27463"/>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盈余公积</w:t>
      </w:r>
    </w:p>
    <w:sdt>
      <w:sdtPr>
        <w:alias w:val="是否适用：盈余公积[双击切换]"/>
        <w:tag w:val="_GBC_5a507b0ba3a44a2c828e4df049852353"/>
        <w:id w:val="2746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盈余公积"/>
          <w:tag w:val="_GBC_8ca7c8f8d04e47ff92c33109bbf55576"/>
          <w:id w:val="274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274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7"/>
        <w:gridCol w:w="1804"/>
        <w:gridCol w:w="1817"/>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48cc13fae91499a9f41c6e4c1f51937"/>
            <w:id w:val="27467"/>
          </w:sdtPr>
          <w:sdtContent>
            <w:tc>
              <w:tcPr>
                <w:tcW w:w="939" w:type="pct"/>
              </w:tcPr>
              <w:p>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7468"/>
          </w:sdtPr>
          <w:sdtContent>
            <w:tc>
              <w:tcPr>
                <w:tcW w:w="1010" w:type="pct"/>
              </w:tcPr>
              <w:p>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7469"/>
          </w:sdtPr>
          <w:sdtContent>
            <w:tc>
              <w:tcPr>
                <w:tcW w:w="1014" w:type="pct"/>
              </w:tcPr>
              <w:p>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27470"/>
          </w:sdtPr>
          <w:sdtContent>
            <w:tc>
              <w:tcPr>
                <w:tcW w:w="1021" w:type="pct"/>
              </w:tcPr>
              <w:p>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7471"/>
          </w:sdtPr>
          <w:sdtContent>
            <w:tc>
              <w:tcPr>
                <w:tcW w:w="1014" w:type="pct"/>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39" w:type="pct"/>
            <w:shd w:val="clear" w:color="auto" w:fill="auto"/>
            <w:vAlign w:val="center"/>
          </w:tcPr>
          <w:p>
            <w:pPr>
              <w:autoSpaceDE w:val="0"/>
              <w:autoSpaceDN w:val="0"/>
              <w:adjustRightInd w:val="0"/>
              <w:snapToGrid w:val="0"/>
              <w:jc w:val="both"/>
              <w:rPr>
                <w:szCs w:val="21"/>
              </w:rPr>
            </w:pPr>
            <w:r>
              <w:rPr>
                <w:rFonts w:hint="eastAsia"/>
                <w:szCs w:val="21"/>
              </w:rPr>
              <w:t>法定盈余公积</w:t>
            </w:r>
          </w:p>
        </w:tc>
        <w:tc>
          <w:tcPr>
            <w:tcW w:w="1010"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168,267,209.91</w:t>
            </w: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77,215.90</w:t>
            </w:r>
          </w:p>
        </w:tc>
        <w:tc>
          <w:tcPr>
            <w:tcW w:w="1021"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w:t>
            </w: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xml:space="preserve">168,344,425.81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39" w:type="pct"/>
            <w:shd w:val="clear" w:color="auto" w:fill="auto"/>
            <w:vAlign w:val="center"/>
          </w:tcPr>
          <w:p>
            <w:pPr>
              <w:autoSpaceDE w:val="0"/>
              <w:autoSpaceDN w:val="0"/>
              <w:adjustRightInd w:val="0"/>
              <w:snapToGrid w:val="0"/>
              <w:jc w:val="both"/>
              <w:rPr>
                <w:szCs w:val="21"/>
              </w:rPr>
            </w:pPr>
            <w:r>
              <w:rPr>
                <w:rFonts w:hint="eastAsia"/>
                <w:szCs w:val="21"/>
              </w:rPr>
              <w:t>任意盈余公积</w:t>
            </w:r>
          </w:p>
        </w:tc>
        <w:tc>
          <w:tcPr>
            <w:tcW w:w="1010"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77,354,638.84</w:t>
            </w: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w:t>
            </w:r>
          </w:p>
        </w:tc>
        <w:tc>
          <w:tcPr>
            <w:tcW w:w="1021"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w:t>
            </w: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77,354,638.84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39" w:type="pct"/>
            <w:shd w:val="clear" w:color="auto" w:fill="auto"/>
            <w:vAlign w:val="center"/>
          </w:tcPr>
          <w:p>
            <w:pPr>
              <w:autoSpaceDE w:val="0"/>
              <w:autoSpaceDN w:val="0"/>
              <w:adjustRightInd w:val="0"/>
              <w:snapToGrid w:val="0"/>
              <w:jc w:val="both"/>
              <w:rPr>
                <w:szCs w:val="21"/>
              </w:rPr>
            </w:pPr>
            <w:r>
              <w:rPr>
                <w:rFonts w:hint="eastAsia"/>
                <w:szCs w:val="21"/>
              </w:rPr>
              <w:t>储备基金</w:t>
            </w:r>
          </w:p>
        </w:tc>
        <w:tc>
          <w:tcPr>
            <w:tcW w:w="1010"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39" w:type="pct"/>
            <w:shd w:val="clear" w:color="auto" w:fill="auto"/>
            <w:vAlign w:val="center"/>
          </w:tcPr>
          <w:p>
            <w:pPr>
              <w:autoSpaceDE w:val="0"/>
              <w:autoSpaceDN w:val="0"/>
              <w:adjustRightInd w:val="0"/>
              <w:snapToGrid w:val="0"/>
              <w:jc w:val="both"/>
              <w:rPr>
                <w:szCs w:val="21"/>
              </w:rPr>
            </w:pPr>
            <w:r>
              <w:rPr>
                <w:rFonts w:hint="eastAsia"/>
                <w:szCs w:val="21"/>
              </w:rPr>
              <w:t>企业发展基金</w:t>
            </w:r>
          </w:p>
        </w:tc>
        <w:tc>
          <w:tcPr>
            <w:tcW w:w="1010"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39" w:type="pct"/>
            <w:shd w:val="clear" w:color="auto" w:fill="auto"/>
            <w:vAlign w:val="center"/>
          </w:tcPr>
          <w:p>
            <w:pPr>
              <w:autoSpaceDE w:val="0"/>
              <w:autoSpaceDN w:val="0"/>
              <w:adjustRightInd w:val="0"/>
              <w:snapToGrid w:val="0"/>
              <w:jc w:val="both"/>
              <w:rPr>
                <w:szCs w:val="21"/>
              </w:rPr>
            </w:pPr>
            <w:r>
              <w:rPr>
                <w:rFonts w:hint="eastAsia"/>
                <w:szCs w:val="21"/>
              </w:rPr>
              <w:t>其他</w:t>
            </w:r>
          </w:p>
        </w:tc>
        <w:tc>
          <w:tcPr>
            <w:tcW w:w="1010"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39" w:type="pct"/>
          </w:tcPr>
          <w:p>
            <w:pPr>
              <w:autoSpaceDE w:val="0"/>
              <w:autoSpaceDN w:val="0"/>
              <w:adjustRightInd w:val="0"/>
              <w:snapToGrid w:val="0"/>
              <w:jc w:val="center"/>
              <w:rPr>
                <w:szCs w:val="21"/>
              </w:rPr>
            </w:pPr>
            <w:r>
              <w:rPr>
                <w:rFonts w:hint="eastAsia"/>
                <w:szCs w:val="21"/>
              </w:rPr>
              <w:t>合计</w:t>
            </w:r>
          </w:p>
        </w:tc>
        <w:tc>
          <w:tcPr>
            <w:tcW w:w="1010" w:type="pct"/>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245,621,848.75</w:t>
            </w:r>
          </w:p>
        </w:tc>
        <w:tc>
          <w:tcPr>
            <w:tcW w:w="1014" w:type="pct"/>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77,215.90</w:t>
            </w:r>
          </w:p>
        </w:tc>
        <w:tc>
          <w:tcPr>
            <w:tcW w:w="1021" w:type="pct"/>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w:t>
            </w:r>
          </w:p>
        </w:tc>
        <w:tc>
          <w:tcPr>
            <w:tcW w:w="1014" w:type="pct"/>
            <w:vAlign w:val="center"/>
          </w:tcPr>
          <w:p>
            <w:pPr>
              <w:autoSpaceDE w:val="0"/>
              <w:autoSpaceDN w:val="0"/>
              <w:adjustRightInd w:val="0"/>
              <w:snapToGrid w:val="0"/>
              <w:ind w:right="180"/>
              <w:jc w:val="right"/>
              <w:rPr>
                <w:rFonts w:hint="default" w:ascii="Times New Roman" w:hAnsi="Times New Roman" w:cs="Times New Roman"/>
                <w:szCs w:val="21"/>
              </w:rPr>
            </w:pPr>
            <w:r>
              <w:rPr>
                <w:rFonts w:hint="default" w:ascii="Times New Roman" w:hAnsi="Times New Roman" w:cs="Times New Roman"/>
              </w:rPr>
              <w:t>  245,699,064.65</w:t>
            </w:r>
          </w:p>
        </w:tc>
      </w:tr>
    </w:tbl>
    <w:p/>
    <w:p>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27472"/>
        <w:placeholder>
          <w:docPart w:val="GBC22222222222222222222222222222"/>
        </w:placeholder>
      </w:sdtPr>
      <w:sdtEndPr>
        <w:rPr>
          <w:szCs w:val="21"/>
        </w:rPr>
      </w:sdtEndPr>
      <w:sdtContent>
        <w:p>
          <w:pPr>
            <w:autoSpaceDE w:val="0"/>
            <w:autoSpaceDN w:val="0"/>
            <w:adjustRightInd w:val="0"/>
            <w:rPr>
              <w:szCs w:val="21"/>
            </w:rPr>
          </w:pPr>
          <w:r>
            <w:rPr>
              <w:rFonts w:hint="eastAsia"/>
              <w:szCs w:val="21"/>
              <w:lang w:eastAsia="zh-CN"/>
            </w:rPr>
            <w:t>无</w:t>
          </w:r>
        </w:p>
      </w:sdtContent>
    </w:sdt>
    <w:p>
      <w:pPr>
        <w:autoSpaceDE w:val="0"/>
        <w:autoSpaceDN w:val="0"/>
        <w:adjustRightInd w:val="0"/>
        <w:rPr>
          <w:color w:val="000000" w:themeColor="text1"/>
          <w:szCs w:val="21"/>
          <w14:textFill>
            <w14:solidFill>
              <w14:schemeClr w14:val="tx1"/>
            </w14:solidFill>
          </w14:textFill>
        </w:rPr>
      </w:pPr>
    </w:p>
    <w:p>
      <w:pPr>
        <w:pStyle w:val="229"/>
        <w:numPr>
          <w:ilvl w:val="0"/>
          <w:numId w:val="71"/>
        </w:numPr>
        <w:tabs>
          <w:tab w:val="left" w:pos="504"/>
        </w:tabs>
        <w:rPr>
          <w:rFonts w:ascii="宋体" w:hAnsi="宋体"/>
          <w:szCs w:val="21"/>
        </w:rPr>
      </w:pPr>
      <w:r>
        <w:rPr>
          <w:rFonts w:hint="eastAsia" w:ascii="宋体" w:hAnsi="宋体"/>
          <w:szCs w:val="21"/>
        </w:rPr>
        <w:t>未分配利润</w:t>
      </w:r>
    </w:p>
    <w:p>
      <w:sdt>
        <w:sdtPr>
          <w:alias w:val="是否适用：未分配利润[双击切换]"/>
          <w:tag w:val="_GBC_0ccb002da9b649db91afd1ca2a9330f8"/>
          <w:id w:val="27473"/>
          <w:lock w:val="contentLocked"/>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szCs w:val="21"/>
        </w:rPr>
      </w:pPr>
      <w:r>
        <w:rPr>
          <w:rFonts w:hint="eastAsia"/>
          <w:szCs w:val="21"/>
        </w:rPr>
        <w:t>单位：</w:t>
      </w:r>
      <w:sdt>
        <w:sdtPr>
          <w:rPr>
            <w:rFonts w:hint="eastAsia"/>
            <w:szCs w:val="21"/>
          </w:rPr>
          <w:alias w:val="单位：财务附注：未分配利润"/>
          <w:tag w:val="_GBC_fc12fabcd66949d39f6f74b747284465"/>
          <w:id w:val="274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74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92"/>
        <w:gridCol w:w="2827"/>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17252"/>
          </w:sdtPr>
          <w:sdtContent>
            <w:tc>
              <w:tcPr>
                <w:tcW w:w="1927" w:type="pct"/>
                <w:vAlign w:val="center"/>
              </w:tcPr>
              <w:p>
                <w:pPr>
                  <w:jc w:val="center"/>
                  <w:rPr>
                    <w:szCs w:val="21"/>
                  </w:rPr>
                </w:pPr>
                <w:r>
                  <w:rPr>
                    <w:rFonts w:hint="eastAsia"/>
                    <w:szCs w:val="21"/>
                  </w:rPr>
                  <w:t>项目</w:t>
                </w:r>
              </w:p>
            </w:tc>
          </w:sdtContent>
        </w:sdt>
        <w:sdt>
          <w:sdtPr>
            <w:tag w:val="_PLD_27c0ff4064964dc5b9e335151d04b603"/>
            <w:id w:val="17253"/>
          </w:sdtPr>
          <w:sdtContent>
            <w:tc>
              <w:tcPr>
                <w:tcW w:w="1560" w:type="pct"/>
                <w:vAlign w:val="center"/>
              </w:tcPr>
              <w:p>
                <w:pPr>
                  <w:jc w:val="center"/>
                  <w:rPr>
                    <w:szCs w:val="21"/>
                  </w:rPr>
                </w:pPr>
                <w:r>
                  <w:rPr>
                    <w:rFonts w:hint="eastAsia"/>
                    <w:szCs w:val="21"/>
                  </w:rPr>
                  <w:t>本期</w:t>
                </w:r>
              </w:p>
            </w:tc>
          </w:sdtContent>
        </w:sdt>
        <w:sdt>
          <w:sdtPr>
            <w:tag w:val="_PLD_613460741a0147b7be8212812793694e"/>
            <w:id w:val="17254"/>
          </w:sdtPr>
          <w:sdtContent>
            <w:tc>
              <w:tcPr>
                <w:tcW w:w="1512" w:type="pct"/>
                <w:vAlign w:val="center"/>
              </w:tcPr>
              <w:p>
                <w:pPr>
                  <w:jc w:val="center"/>
                  <w:rPr>
                    <w:szCs w:val="21"/>
                  </w:rPr>
                </w:pPr>
                <w:r>
                  <w:rPr>
                    <w:rFonts w:hint="eastAsia"/>
                    <w:szCs w:val="21"/>
                  </w:rPr>
                  <w:t>上期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rPr>
                <w:rFonts w:hint="default" w:ascii="Times New Roman" w:hAnsi="Times New Roman" w:eastAsia="宋体" w:cs="Times New Roman"/>
                <w:szCs w:val="21"/>
              </w:rPr>
            </w:pPr>
            <w:r>
              <w:rPr>
                <w:rFonts w:hint="default" w:ascii="Times New Roman" w:hAnsi="Times New Roman" w:eastAsia="宋体" w:cs="Times New Roman"/>
                <w:szCs w:val="21"/>
              </w:rPr>
              <w:t>调整前上期末未分配利润</w:t>
            </w:r>
          </w:p>
        </w:tc>
        <w:tc>
          <w:tcPr>
            <w:tcW w:w="1560" w:type="pct"/>
            <w:vAlign w:val="center"/>
          </w:tcPr>
          <w:p>
            <w:pPr>
              <w:ind w:right="6"/>
              <w:jc w:val="right"/>
              <w:rPr>
                <w:rFonts w:hint="default" w:ascii="Times New Roman" w:hAnsi="Times New Roman" w:eastAsia="宋体" w:cs="Times New Roman"/>
                <w:szCs w:val="21"/>
              </w:rPr>
            </w:pPr>
            <w:r>
              <w:rPr>
                <w:rFonts w:hint="default" w:ascii="Times New Roman" w:hAnsi="Times New Roman" w:eastAsia="宋体" w:cs="Times New Roman"/>
                <w:color w:val="auto"/>
              </w:rPr>
              <w:t xml:space="preserve">  125,345,760.90 </w:t>
            </w:r>
          </w:p>
        </w:tc>
        <w:tc>
          <w:tcPr>
            <w:tcW w:w="1512" w:type="pct"/>
            <w:vAlign w:val="center"/>
          </w:tcPr>
          <w:p>
            <w:pPr>
              <w:jc w:val="right"/>
              <w:rPr>
                <w:rFonts w:hint="default" w:ascii="Times New Roman" w:hAnsi="Times New Roman" w:eastAsia="宋体" w:cs="Times New Roman"/>
                <w:szCs w:val="21"/>
              </w:rPr>
            </w:pPr>
            <w:r>
              <w:rPr>
                <w:rFonts w:hint="default" w:ascii="Times New Roman" w:hAnsi="Times New Roman" w:eastAsia="宋体" w:cs="Times New Roman"/>
                <w:color w:val="auto"/>
              </w:rPr>
              <w:t> 163,935,703.23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rPr>
                <w:rFonts w:hint="default" w:ascii="Times New Roman" w:hAnsi="Times New Roman" w:eastAsia="宋体" w:cs="Times New Roman"/>
                <w:szCs w:val="21"/>
              </w:rPr>
            </w:pPr>
            <w:r>
              <w:rPr>
                <w:rFonts w:hint="default" w:ascii="Times New Roman" w:hAnsi="Times New Roman" w:eastAsia="宋体" w:cs="Times New Roman"/>
                <w:szCs w:val="21"/>
              </w:rPr>
              <w:t>调整期初未分配利润合计数（调增+，调减－）</w:t>
            </w:r>
          </w:p>
        </w:tc>
        <w:tc>
          <w:tcPr>
            <w:tcW w:w="1560" w:type="pct"/>
            <w:vAlign w:val="center"/>
          </w:tcPr>
          <w:p>
            <w:pPr>
              <w:ind w:right="6"/>
              <w:jc w:val="right"/>
              <w:rPr>
                <w:rFonts w:hint="default" w:ascii="Times New Roman" w:hAnsi="Times New Roman" w:eastAsia="宋体" w:cs="Times New Roman"/>
                <w:color w:val="auto"/>
              </w:rPr>
            </w:pPr>
          </w:p>
        </w:tc>
        <w:tc>
          <w:tcPr>
            <w:tcW w:w="1512"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-884.01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rPr>
                <w:rFonts w:hint="default" w:ascii="Times New Roman" w:hAnsi="Times New Roman" w:eastAsia="宋体" w:cs="Times New Roman"/>
                <w:szCs w:val="21"/>
              </w:rPr>
            </w:pPr>
            <w:r>
              <w:rPr>
                <w:rFonts w:hint="default" w:ascii="Times New Roman" w:hAnsi="Times New Roman" w:eastAsia="宋体" w:cs="Times New Roman"/>
                <w:szCs w:val="21"/>
              </w:rPr>
              <w:t>调整后期初未分配利润</w:t>
            </w:r>
          </w:p>
        </w:tc>
        <w:tc>
          <w:tcPr>
            <w:tcW w:w="1560"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125,345,760.90</w:t>
            </w:r>
          </w:p>
        </w:tc>
        <w:tc>
          <w:tcPr>
            <w:tcW w:w="1512"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163,934,819.22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ind w:right="6"/>
              <w:rPr>
                <w:rFonts w:hint="default" w:ascii="Times New Roman" w:hAnsi="Times New Roman" w:eastAsia="宋体" w:cs="Times New Roman"/>
                <w:szCs w:val="21"/>
              </w:rPr>
            </w:pPr>
            <w:r>
              <w:rPr>
                <w:rFonts w:hint="default" w:ascii="Times New Roman" w:hAnsi="Times New Roman" w:eastAsia="宋体" w:cs="Times New Roman"/>
                <w:szCs w:val="21"/>
              </w:rPr>
              <w:t>加：本期归属于母公司所有者的净利润</w:t>
            </w:r>
          </w:p>
        </w:tc>
        <w:tc>
          <w:tcPr>
            <w:tcW w:w="1560"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22,806,658.88 </w:t>
            </w:r>
          </w:p>
        </w:tc>
        <w:tc>
          <w:tcPr>
            <w:tcW w:w="1512"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-38,589,058.32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rPr>
                <w:rFonts w:hint="default" w:ascii="Times New Roman" w:hAnsi="Times New Roman" w:eastAsia="宋体" w:cs="Times New Roman"/>
                <w:szCs w:val="21"/>
              </w:rPr>
            </w:pPr>
            <w:r>
              <w:rPr>
                <w:rFonts w:hint="default" w:ascii="Times New Roman" w:hAnsi="Times New Roman" w:eastAsia="宋体" w:cs="Times New Roman"/>
                <w:szCs w:val="21"/>
              </w:rPr>
              <w:t>减：提取法定盈余公积</w:t>
            </w:r>
          </w:p>
        </w:tc>
        <w:tc>
          <w:tcPr>
            <w:tcW w:w="1560"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77,215.90 </w:t>
            </w:r>
          </w:p>
        </w:tc>
        <w:tc>
          <w:tcPr>
            <w:tcW w:w="1512" w:type="pct"/>
            <w:vAlign w:val="center"/>
          </w:tcPr>
          <w:p>
            <w:pPr>
              <w:ind w:right="6"/>
              <w:jc w:val="right"/>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hint="default" w:ascii="Times New Roman" w:hAnsi="Times New Roman" w:eastAsia="宋体" w:cs="Times New Roman"/>
                <w:szCs w:val="21"/>
              </w:rPr>
            </w:pPr>
            <w:r>
              <w:rPr>
                <w:rFonts w:hint="default" w:ascii="Times New Roman" w:hAnsi="Times New Roman" w:eastAsia="宋体" w:cs="Times New Roman"/>
                <w:szCs w:val="21"/>
              </w:rPr>
              <w:t>提取任意盈余公积</w:t>
            </w:r>
          </w:p>
        </w:tc>
        <w:tc>
          <w:tcPr>
            <w:tcW w:w="1560" w:type="pct"/>
            <w:vAlign w:val="center"/>
          </w:tcPr>
          <w:p>
            <w:pPr>
              <w:ind w:right="6"/>
              <w:jc w:val="right"/>
              <w:rPr>
                <w:rFonts w:hint="default" w:ascii="Times New Roman" w:hAnsi="Times New Roman" w:eastAsia="宋体" w:cs="Times New Roman"/>
                <w:color w:val="auto"/>
              </w:rPr>
            </w:pPr>
          </w:p>
        </w:tc>
        <w:tc>
          <w:tcPr>
            <w:tcW w:w="1512" w:type="pct"/>
            <w:vAlign w:val="center"/>
          </w:tcPr>
          <w:p>
            <w:pPr>
              <w:ind w:right="6"/>
              <w:jc w:val="right"/>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hint="default" w:ascii="Times New Roman" w:hAnsi="Times New Roman" w:eastAsia="宋体" w:cs="Times New Roman"/>
                <w:szCs w:val="21"/>
              </w:rPr>
            </w:pPr>
            <w:r>
              <w:rPr>
                <w:rFonts w:hint="default" w:ascii="Times New Roman" w:hAnsi="Times New Roman" w:eastAsia="宋体" w:cs="Times New Roman"/>
                <w:szCs w:val="21"/>
              </w:rPr>
              <w:t>提取一般风险准备</w:t>
            </w:r>
          </w:p>
        </w:tc>
        <w:tc>
          <w:tcPr>
            <w:tcW w:w="1560" w:type="pct"/>
            <w:vAlign w:val="center"/>
          </w:tcPr>
          <w:p>
            <w:pPr>
              <w:ind w:right="6"/>
              <w:jc w:val="right"/>
              <w:rPr>
                <w:rFonts w:hint="default" w:ascii="Times New Roman" w:hAnsi="Times New Roman" w:eastAsia="宋体" w:cs="Times New Roman"/>
                <w:color w:val="auto"/>
              </w:rPr>
            </w:pPr>
          </w:p>
        </w:tc>
        <w:tc>
          <w:tcPr>
            <w:tcW w:w="1512" w:type="pct"/>
            <w:vAlign w:val="center"/>
          </w:tcPr>
          <w:p>
            <w:pPr>
              <w:ind w:right="6"/>
              <w:jc w:val="right"/>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hint="default" w:ascii="Times New Roman" w:hAnsi="Times New Roman" w:eastAsia="宋体" w:cs="Times New Roman"/>
                <w:szCs w:val="21"/>
              </w:rPr>
            </w:pPr>
            <w:r>
              <w:rPr>
                <w:rFonts w:hint="default" w:ascii="Times New Roman" w:hAnsi="Times New Roman" w:eastAsia="宋体" w:cs="Times New Roman"/>
                <w:szCs w:val="21"/>
              </w:rPr>
              <w:t>应付普通股股利</w:t>
            </w:r>
          </w:p>
        </w:tc>
        <w:tc>
          <w:tcPr>
            <w:tcW w:w="1560" w:type="pct"/>
            <w:vAlign w:val="center"/>
          </w:tcPr>
          <w:p>
            <w:pPr>
              <w:ind w:right="6"/>
              <w:jc w:val="right"/>
              <w:rPr>
                <w:rFonts w:hint="default" w:ascii="Times New Roman" w:hAnsi="Times New Roman" w:eastAsia="宋体" w:cs="Times New Roman"/>
                <w:color w:val="auto"/>
              </w:rPr>
            </w:pPr>
          </w:p>
        </w:tc>
        <w:tc>
          <w:tcPr>
            <w:tcW w:w="1512" w:type="pct"/>
            <w:vAlign w:val="center"/>
          </w:tcPr>
          <w:p>
            <w:pPr>
              <w:ind w:right="6"/>
              <w:jc w:val="right"/>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hint="default" w:ascii="Times New Roman" w:hAnsi="Times New Roman" w:eastAsia="宋体" w:cs="Times New Roman"/>
                <w:szCs w:val="21"/>
              </w:rPr>
            </w:pPr>
            <w:r>
              <w:rPr>
                <w:rFonts w:hint="default" w:ascii="Times New Roman" w:hAnsi="Times New Roman" w:eastAsia="宋体" w:cs="Times New Roman"/>
                <w:szCs w:val="21"/>
              </w:rPr>
              <w:t>转作股本的普通股股利</w:t>
            </w:r>
          </w:p>
        </w:tc>
        <w:tc>
          <w:tcPr>
            <w:tcW w:w="1560" w:type="pct"/>
            <w:vAlign w:val="center"/>
          </w:tcPr>
          <w:p>
            <w:pPr>
              <w:ind w:right="6"/>
              <w:jc w:val="right"/>
              <w:rPr>
                <w:rFonts w:hint="default" w:ascii="Times New Roman" w:hAnsi="Times New Roman" w:eastAsia="宋体" w:cs="Times New Roman"/>
                <w:color w:val="auto"/>
              </w:rPr>
            </w:pPr>
          </w:p>
        </w:tc>
        <w:tc>
          <w:tcPr>
            <w:tcW w:w="1512" w:type="pct"/>
            <w:vAlign w:val="center"/>
          </w:tcPr>
          <w:p>
            <w:pPr>
              <w:ind w:right="6"/>
              <w:jc w:val="right"/>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rPr>
                <w:rFonts w:hint="default" w:ascii="Times New Roman" w:hAnsi="Times New Roman" w:eastAsia="宋体" w:cs="Times New Roman"/>
                <w:szCs w:val="21"/>
              </w:rPr>
            </w:pPr>
            <w:r>
              <w:rPr>
                <w:rFonts w:hint="default" w:ascii="Times New Roman" w:hAnsi="Times New Roman" w:eastAsia="宋体" w:cs="Times New Roman"/>
                <w:szCs w:val="21"/>
              </w:rPr>
              <w:t>期末未分配利润</w:t>
            </w:r>
          </w:p>
        </w:tc>
        <w:tc>
          <w:tcPr>
            <w:tcW w:w="1560"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148,075,203.88 </w:t>
            </w:r>
          </w:p>
        </w:tc>
        <w:tc>
          <w:tcPr>
            <w:tcW w:w="1512" w:type="pct"/>
            <w:vAlign w:val="center"/>
          </w:tcPr>
          <w:p>
            <w:pPr>
              <w:ind w:right="6"/>
              <w:jc w:val="righ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125,345,760.90 </w:t>
            </w:r>
          </w:p>
        </w:tc>
      </w:tr>
    </w:tbl>
    <w:p/>
    <w:p/>
    <w:p/>
    <w:p>
      <w:pPr>
        <w:keepNext w:val="0"/>
        <w:keepLines w:val="0"/>
        <w:pageBreakBefore w:val="0"/>
        <w:widowControl/>
        <w:kinsoku/>
        <w:wordWrap/>
        <w:overflowPunct/>
        <w:topLinePunct w:val="0"/>
        <w:autoSpaceDE/>
        <w:autoSpaceDN/>
        <w:bidi w:val="0"/>
        <w:adjustRightInd/>
        <w:snapToGrid/>
        <w:spacing w:before="60" w:after="60" w:line="40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调整期初未分配利润明细：</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Times New Roman" w:hAnsi="Times New Roman"/>
          <w:sz w:val="21"/>
          <w:szCs w:val="21"/>
          <w:highlight w:val="none"/>
        </w:rPr>
      </w:pPr>
      <w:r>
        <w:rPr>
          <w:rFonts w:hint="eastAsia" w:ascii="Times New Roman" w:hAnsi="Times New Roman"/>
          <w:sz w:val="21"/>
          <w:szCs w:val="21"/>
          <w:highlight w:val="none"/>
        </w:rPr>
        <w:t>1、由于《企业会计准则》及其相关新规定进行追溯调整，影响期初未分配利润</w:t>
      </w:r>
      <w:sdt>
        <w:sdtPr>
          <w:rPr>
            <w:rFonts w:hint="eastAsia" w:ascii="Times New Roman" w:hAnsi="Times New Roman"/>
            <w:sz w:val="21"/>
            <w:szCs w:val="21"/>
            <w:highlight w:val="none"/>
          </w:rPr>
          <w:alias w:val="依据《企业会计准则》及其相关规定进行追溯调整影响年初未分配利润合计"/>
          <w:tag w:val="_GBC_1fcb28b764eb43c48b913d5e107ed4eb"/>
          <w:id w:val="27479"/>
          <w:placeholder>
            <w:docPart w:val="GBC22222222222222222222222222222"/>
          </w:placeholder>
        </w:sdtPr>
        <w:sdtEndPr>
          <w:rPr>
            <w:rFonts w:hint="eastAsia" w:ascii="Times New Roman" w:hAnsi="Times New Roman"/>
            <w:sz w:val="21"/>
            <w:szCs w:val="21"/>
            <w:highlight w:val="none"/>
          </w:rPr>
        </w:sdtEndPr>
        <w:sdtContent>
          <w:r>
            <w:rPr>
              <w:rFonts w:hint="eastAsia" w:ascii="Times New Roman" w:hAnsi="Times New Roman"/>
              <w:sz w:val="21"/>
              <w:szCs w:val="21"/>
              <w:highlight w:val="none"/>
              <w:lang w:eastAsia="zh-CN"/>
            </w:rPr>
            <w:t>0</w:t>
          </w:r>
        </w:sdtContent>
      </w:sdt>
      <w:r>
        <w:rPr>
          <w:rFonts w:hint="eastAsia" w:ascii="Times New Roman" w:hAnsi="Times New Roman"/>
          <w:sz w:val="21"/>
          <w:szCs w:val="21"/>
          <w:highlight w:val="none"/>
        </w:rPr>
        <w:t xml:space="preserve"> 元。</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Times New Roman" w:hAnsi="Times New Roman"/>
          <w:sz w:val="21"/>
          <w:szCs w:val="21"/>
          <w:highlight w:val="none"/>
        </w:rPr>
      </w:pPr>
      <w:r>
        <w:rPr>
          <w:rFonts w:hint="eastAsia" w:ascii="Times New Roman" w:hAnsi="Times New Roman"/>
          <w:sz w:val="21"/>
          <w:szCs w:val="21"/>
          <w:highlight w:val="none"/>
        </w:rPr>
        <w:t>2、由于会计政策变更，影响期初未分配利润</w:t>
      </w:r>
      <w:sdt>
        <w:sdtPr>
          <w:rPr>
            <w:rFonts w:hint="eastAsia" w:ascii="Times New Roman" w:hAnsi="Times New Roman"/>
            <w:sz w:val="21"/>
            <w:szCs w:val="21"/>
            <w:highlight w:val="none"/>
          </w:rPr>
          <w:alias w:val="由于会计政策变更影响年初未分配利润"/>
          <w:tag w:val="_GBC_0f2691a265a44dd08d91157d1df0cf3f"/>
          <w:id w:val="27480"/>
          <w:placeholder>
            <w:docPart w:val="GBC22222222222222222222222222222"/>
          </w:placeholder>
        </w:sdtPr>
        <w:sdtEndPr>
          <w:rPr>
            <w:rFonts w:hint="eastAsia" w:ascii="Times New Roman" w:hAnsi="Times New Roman"/>
            <w:sz w:val="21"/>
            <w:szCs w:val="21"/>
            <w:highlight w:val="none"/>
          </w:rPr>
        </w:sdtEndPr>
        <w:sdtContent>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884.01</w:t>
          </w:r>
        </w:sdtContent>
      </w:sdt>
      <w:r>
        <w:rPr>
          <w:rFonts w:hint="eastAsia" w:ascii="Times New Roman" w:hAnsi="Times New Roman"/>
          <w:sz w:val="21"/>
          <w:szCs w:val="21"/>
          <w:highlight w:val="none"/>
        </w:rPr>
        <w:t>元。</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Times New Roman" w:hAnsi="Times New Roman"/>
          <w:sz w:val="21"/>
          <w:szCs w:val="21"/>
          <w:highlight w:val="none"/>
        </w:rPr>
      </w:pPr>
      <w:r>
        <w:rPr>
          <w:rFonts w:hint="eastAsia" w:ascii="Times New Roman" w:hAnsi="Times New Roman"/>
          <w:sz w:val="21"/>
          <w:szCs w:val="21"/>
          <w:highlight w:val="none"/>
        </w:rPr>
        <w:t>3、由于重大会计差错更正，影响期初未分配利润</w:t>
      </w:r>
      <w:sdt>
        <w:sdtPr>
          <w:rPr>
            <w:rFonts w:hint="eastAsia" w:ascii="Times New Roman" w:hAnsi="Times New Roman"/>
            <w:sz w:val="21"/>
            <w:szCs w:val="21"/>
            <w:highlight w:val="none"/>
          </w:rPr>
          <w:alias w:val="由于重大会计差错更正影响年初未分配利润"/>
          <w:tag w:val="_GBC_6558a990019646559dec1140b9f53b0c"/>
          <w:id w:val="27481"/>
          <w:placeholder>
            <w:docPart w:val="GBC22222222222222222222222222222"/>
          </w:placeholder>
        </w:sdtPr>
        <w:sdtEndPr>
          <w:rPr>
            <w:rFonts w:hint="eastAsia" w:ascii="Times New Roman" w:hAnsi="Times New Roman"/>
            <w:sz w:val="21"/>
            <w:szCs w:val="21"/>
            <w:highlight w:val="none"/>
          </w:rPr>
        </w:sdtEndPr>
        <w:sdtContent>
          <w:r>
            <w:rPr>
              <w:rFonts w:hint="eastAsia" w:ascii="Times New Roman" w:hAnsi="Times New Roman"/>
              <w:sz w:val="21"/>
              <w:szCs w:val="21"/>
              <w:highlight w:val="none"/>
              <w:lang w:eastAsia="zh-CN"/>
            </w:rPr>
            <w:t>0</w:t>
          </w:r>
        </w:sdtContent>
      </w:sdt>
      <w:r>
        <w:rPr>
          <w:rFonts w:hint="eastAsia" w:ascii="Times New Roman" w:hAnsi="Times New Roman"/>
          <w:sz w:val="21"/>
          <w:szCs w:val="21"/>
          <w:highlight w:val="none"/>
        </w:rPr>
        <w:t xml:space="preserve"> 元。</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Times New Roman" w:hAnsi="Times New Roman"/>
          <w:sz w:val="21"/>
          <w:szCs w:val="21"/>
          <w:highlight w:val="none"/>
        </w:rPr>
      </w:pPr>
      <w:r>
        <w:rPr>
          <w:rFonts w:hint="eastAsia" w:ascii="Times New Roman" w:hAnsi="Times New Roman"/>
          <w:sz w:val="21"/>
          <w:szCs w:val="21"/>
          <w:highlight w:val="none"/>
        </w:rPr>
        <w:t>4、由于同一控制导致的合并范围变更，影响期初未分配利润</w:t>
      </w:r>
      <w:sdt>
        <w:sdtPr>
          <w:rPr>
            <w:rFonts w:hint="eastAsia" w:ascii="Times New Roman" w:hAnsi="Times New Roman"/>
            <w:sz w:val="21"/>
            <w:szCs w:val="21"/>
            <w:highlight w:val="none"/>
          </w:rPr>
          <w:alias w:val="同一控制导致的合并范围变更影响年初未分配利润"/>
          <w:tag w:val="_GBC_f30de8253e8b446d94ba7a482cf7cae5"/>
          <w:id w:val="27482"/>
          <w:placeholder>
            <w:docPart w:val="GBC22222222222222222222222222222"/>
          </w:placeholder>
        </w:sdtPr>
        <w:sdtEndPr>
          <w:rPr>
            <w:rFonts w:hint="eastAsia" w:ascii="Times New Roman" w:hAnsi="Times New Roman"/>
            <w:sz w:val="21"/>
            <w:szCs w:val="21"/>
            <w:highlight w:val="none"/>
          </w:rPr>
        </w:sdtEndPr>
        <w:sdtContent>
          <w:r>
            <w:rPr>
              <w:rFonts w:hint="eastAsia" w:ascii="Times New Roman" w:hAnsi="Times New Roman"/>
              <w:sz w:val="21"/>
              <w:szCs w:val="21"/>
              <w:highlight w:val="none"/>
              <w:lang w:eastAsia="zh-CN"/>
            </w:rPr>
            <w:t>0</w:t>
          </w:r>
        </w:sdtContent>
      </w:sdt>
      <w:r>
        <w:rPr>
          <w:rFonts w:hint="eastAsia" w:ascii="Times New Roman" w:hAnsi="Times New Roman"/>
          <w:sz w:val="21"/>
          <w:szCs w:val="21"/>
          <w:highlight w:val="none"/>
        </w:rPr>
        <w:t xml:space="preserve"> 元。</w:t>
      </w:r>
    </w:p>
    <w:p>
      <w:pPr>
        <w:keepNext w:val="0"/>
        <w:keepLines w:val="0"/>
        <w:pageBreakBefore w:val="0"/>
        <w:widowControl/>
        <w:kinsoku/>
        <w:wordWrap/>
        <w:overflowPunct/>
        <w:topLinePunct w:val="0"/>
        <w:autoSpaceDE/>
        <w:autoSpaceDN/>
        <w:bidi w:val="0"/>
        <w:adjustRightInd/>
        <w:snapToGrid/>
        <w:spacing w:line="400" w:lineRule="exact"/>
        <w:textAlignment w:val="auto"/>
        <w:rPr>
          <w:rFonts w:ascii="Times New Roman" w:hAnsi="Times New Roman"/>
          <w:sz w:val="21"/>
          <w:szCs w:val="21"/>
          <w:highlight w:val="none"/>
        </w:rPr>
      </w:pPr>
      <w:r>
        <w:rPr>
          <w:rFonts w:hint="eastAsia" w:ascii="Times New Roman" w:hAnsi="Times New Roman"/>
          <w:sz w:val="21"/>
          <w:szCs w:val="21"/>
          <w:highlight w:val="none"/>
        </w:rPr>
        <w:t>5、其他调整合计影响期初未分配利润</w:t>
      </w:r>
      <w:sdt>
        <w:sdtPr>
          <w:rPr>
            <w:rFonts w:hint="eastAsia" w:ascii="Times New Roman" w:hAnsi="Times New Roman"/>
            <w:sz w:val="21"/>
            <w:szCs w:val="21"/>
            <w:highlight w:val="none"/>
          </w:rPr>
          <w:alias w:val="其他调整合计影响年初未分配利润"/>
          <w:tag w:val="_GBC_7fea08c189344f12b9e1dc7c084896bb"/>
          <w:id w:val="27483"/>
          <w:placeholder>
            <w:docPart w:val="GBC22222222222222222222222222222"/>
          </w:placeholder>
        </w:sdtPr>
        <w:sdtEndPr>
          <w:rPr>
            <w:rFonts w:hint="default" w:ascii="Times New Roman" w:hAnsi="Times New Roman"/>
            <w:sz w:val="21"/>
            <w:szCs w:val="21"/>
            <w:highlight w:val="none"/>
            <w:lang w:val="en-US"/>
          </w:rPr>
        </w:sdtEndPr>
        <w:sdtContent>
          <w:r>
            <w:rPr>
              <w:rFonts w:hint="eastAsia" w:ascii="Times New Roman" w:hAnsi="Times New Roman" w:cs="Arial"/>
              <w:sz w:val="21"/>
              <w:szCs w:val="21"/>
              <w:highlight w:val="none"/>
              <w:lang w:val="en-US" w:eastAsia="zh-CN"/>
            </w:rPr>
            <w:t>0</w:t>
          </w:r>
        </w:sdtContent>
      </w:sdt>
      <w:r>
        <w:rPr>
          <w:rFonts w:hint="eastAsia" w:ascii="Times New Roman" w:hAnsi="Times New Roman"/>
          <w:sz w:val="21"/>
          <w:szCs w:val="21"/>
          <w:highlight w:val="none"/>
        </w:rPr>
        <w:t xml:space="preserve"> 元。</w:t>
      </w:r>
    </w:p>
    <w:p>
      <w:pPr>
        <w:rPr>
          <w:szCs w:val="21"/>
        </w:rPr>
      </w:pPr>
    </w:p>
    <w:p>
      <w:pPr>
        <w:pStyle w:val="229"/>
        <w:numPr>
          <w:ilvl w:val="0"/>
          <w:numId w:val="71"/>
        </w:numPr>
        <w:tabs>
          <w:tab w:val="left" w:pos="504"/>
        </w:tabs>
        <w:rPr>
          <w:szCs w:val="21"/>
        </w:rPr>
      </w:pPr>
      <w:r>
        <w:rPr>
          <w:szCs w:val="21"/>
        </w:rPr>
        <w:t>营业</w:t>
      </w:r>
      <w:r>
        <w:rPr>
          <w:rFonts w:ascii="宋体" w:hAnsi="宋体"/>
          <w:szCs w:val="21"/>
        </w:rPr>
        <w:t>收入</w:t>
      </w:r>
      <w:r>
        <w:rPr>
          <w:szCs w:val="21"/>
        </w:rPr>
        <w:t>和营业成本</w:t>
      </w:r>
    </w:p>
    <w:p>
      <w:pPr>
        <w:pStyle w:val="196"/>
        <w:numPr>
          <w:ilvl w:val="0"/>
          <w:numId w:val="105"/>
        </w:numPr>
        <w:ind w:left="426" w:hanging="426"/>
      </w:pPr>
      <w:r>
        <w:rPr>
          <w:rFonts w:hint="eastAsia"/>
        </w:rPr>
        <w:t>营业收入和营业成本情况</w:t>
      </w:r>
    </w:p>
    <w:sdt>
      <w:sdtPr>
        <w:alias w:val="是否适用：营业收入和营业成本[双击切换]"/>
        <w:tag w:val="_GBC_c0388196e3634afc823f4b5822c5937a"/>
        <w:id w:val="2748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bCs/>
          <w:szCs w:val="21"/>
        </w:rPr>
        <w:t>单位：</w:t>
      </w:r>
      <w:sdt>
        <w:sdtPr>
          <w:rPr>
            <w:rFonts w:hint="eastAsia"/>
            <w:bCs/>
            <w:szCs w:val="21"/>
          </w:rPr>
          <w:alias w:val="单位：财务附注：营业收入"/>
          <w:tag w:val="_GBC_65cadde8ae1e4b178e7f2737b89bb434"/>
          <w:id w:val="274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szCs w:val="21"/>
          </w:r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74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szCs w:val="21"/>
          </w:rPr>
        </w:sdtEndPr>
        <w:sdtContent>
          <w:r>
            <w:rPr>
              <w:rFonts w:hint="eastAsia"/>
              <w:bCs/>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888"/>
        <w:gridCol w:w="1903"/>
        <w:gridCol w:w="1899"/>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77e8683f75cd4c9e919404e1278fe9a0"/>
            <w:id w:val="27487"/>
          </w:sdtPr>
          <w:sdtEndPr>
            <w:rPr>
              <w:rFonts w:hint="default" w:ascii="Times New Roman" w:hAnsi="Times New Roman" w:cs="Times New Roman"/>
            </w:rPr>
          </w:sdtEndPr>
          <w:sdtContent>
            <w:tc>
              <w:tcPr>
                <w:tcW w:w="805" w:type="pct"/>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项目</w:t>
                </w:r>
              </w:p>
            </w:tc>
          </w:sdtContent>
        </w:sdt>
        <w:sdt>
          <w:sdtPr>
            <w:rPr>
              <w:rFonts w:hint="default" w:ascii="Times New Roman" w:hAnsi="Times New Roman" w:cs="Times New Roman"/>
            </w:rPr>
            <w:tag w:val="_PLD_e956f55a311f45a19dc3ce9396b931c9"/>
            <w:id w:val="27488"/>
          </w:sdtPr>
          <w:sdtEndPr>
            <w:rPr>
              <w:rFonts w:hint="default" w:ascii="Times New Roman" w:hAnsi="Times New Roman" w:cs="Times New Roman"/>
            </w:rPr>
          </w:sdtEndPr>
          <w:sdtContent>
            <w:tc>
              <w:tcPr>
                <w:tcW w:w="20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本期发生额</w:t>
                </w:r>
              </w:p>
            </w:tc>
          </w:sdtContent>
        </w:sdt>
        <w:sdt>
          <w:sdtPr>
            <w:rPr>
              <w:rFonts w:hint="default" w:ascii="Times New Roman" w:hAnsi="Times New Roman" w:cs="Times New Roman"/>
            </w:rPr>
            <w:tag w:val="_PLD_d175a7df90684e2bbdccc1ba942f2760"/>
            <w:id w:val="27489"/>
          </w:sdtPr>
          <w:sdtEndPr>
            <w:rPr>
              <w:rFonts w:hint="default" w:ascii="Times New Roman" w:hAnsi="Times New Roman" w:cs="Times New Roman"/>
            </w:rPr>
          </w:sdtEnd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shd w:val="clear" w:color="auto" w:fill="auto"/>
          </w:tcPr>
          <w:p>
            <w:pPr>
              <w:jc w:val="center"/>
              <w:rPr>
                <w:rFonts w:hint="default" w:ascii="Times New Roman" w:hAnsi="Times New Roman" w:cs="Times New Roman"/>
                <w:szCs w:val="21"/>
              </w:rPr>
            </w:pPr>
          </w:p>
        </w:tc>
        <w:sdt>
          <w:sdtPr>
            <w:rPr>
              <w:rFonts w:hint="default" w:ascii="Times New Roman" w:hAnsi="Times New Roman" w:cs="Times New Roman"/>
            </w:rPr>
            <w:tag w:val="_PLD_fe053e4bca564a1fbda44c85256ce067"/>
            <w:id w:val="27490"/>
          </w:sdtPr>
          <w:sdtEndPr>
            <w:rPr>
              <w:rFonts w:hint="default" w:ascii="Times New Roman" w:hAnsi="Times New Roman" w:cs="Times New Roman"/>
            </w:rPr>
          </w:sdtEndPr>
          <w:sdtContent>
            <w:tc>
              <w:tcPr>
                <w:tcW w:w="10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收入</w:t>
                </w:r>
              </w:p>
            </w:tc>
          </w:sdtContent>
        </w:sdt>
        <w:sdt>
          <w:sdtPr>
            <w:rPr>
              <w:rFonts w:hint="default" w:ascii="Times New Roman" w:hAnsi="Times New Roman" w:cs="Times New Roman"/>
            </w:rPr>
            <w:tag w:val="_PLD_88be7d92d03d4168a79d4492be4a258c"/>
            <w:id w:val="27491"/>
          </w:sdtPr>
          <w:sdtEndPr>
            <w:rPr>
              <w:rFonts w:hint="default" w:ascii="Times New Roman" w:hAnsi="Times New Roman" w:cs="Times New Roman"/>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成本</w:t>
                </w:r>
              </w:p>
            </w:tc>
          </w:sdtContent>
        </w:sdt>
        <w:sdt>
          <w:sdtPr>
            <w:rPr>
              <w:rFonts w:hint="default" w:ascii="Times New Roman" w:hAnsi="Times New Roman" w:cs="Times New Roman"/>
            </w:rPr>
            <w:tag w:val="_PLD_5ba4682bc5644bc38c4b795c78508b1f"/>
            <w:id w:val="27492"/>
          </w:sdtPr>
          <w:sdtEndPr>
            <w:rPr>
              <w:rFonts w:hint="default" w:ascii="Times New Roman" w:hAnsi="Times New Roman" w:cs="Times New Roman"/>
            </w:rPr>
          </w:sdtEndPr>
          <w:sdtContent>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收入</w:t>
                </w:r>
              </w:p>
            </w:tc>
          </w:sdtContent>
        </w:sdt>
        <w:sdt>
          <w:sdtPr>
            <w:rPr>
              <w:rFonts w:hint="default" w:ascii="Times New Roman" w:hAnsi="Times New Roman" w:cs="Times New Roman"/>
            </w:rPr>
            <w:tag w:val="_PLD_94a3ede4ab834e37a20364f2c6897976"/>
            <w:id w:val="27493"/>
          </w:sdtPr>
          <w:sdtEndPr>
            <w:rPr>
              <w:rFonts w:hint="default" w:ascii="Times New Roman" w:hAnsi="Times New Roman" w:cs="Times New Roman"/>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Cs w:val="21"/>
              </w:rPr>
            </w:pPr>
            <w:r>
              <w:rPr>
                <w:rFonts w:hint="default" w:ascii="Times New Roman" w:hAnsi="Times New Roman" w:cs="Times New Roman"/>
                <w:szCs w:val="21"/>
              </w:rPr>
              <w:t>主营业务</w:t>
            </w:r>
          </w:p>
        </w:tc>
        <w:tc>
          <w:tcPr>
            <w:tcW w:w="10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xml:space="preserve"> 984,093,806.61</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821,737,890.15</w:t>
            </w:r>
          </w:p>
        </w:tc>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660,766,956.50</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554,904,112.07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szCs w:val="21"/>
              </w:rPr>
            </w:pPr>
            <w:r>
              <w:rPr>
                <w:rFonts w:hint="default" w:ascii="Times New Roman" w:hAnsi="Times New Roman" w:cs="Times New Roman"/>
                <w:szCs w:val="21"/>
              </w:rPr>
              <w:t>其他业务</w:t>
            </w:r>
          </w:p>
        </w:tc>
        <w:tc>
          <w:tcPr>
            <w:tcW w:w="10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xml:space="preserve"> 11,042,476.55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7,317,857.23</w:t>
            </w:r>
          </w:p>
        </w:tc>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8,425,075.68</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6,802,910.83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0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995,136,283.16</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829,055,747.38</w:t>
            </w:r>
          </w:p>
        </w:tc>
        <w:tc>
          <w:tcPr>
            <w:tcW w:w="104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669,192,032.18</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561,707,022.90</w:t>
            </w:r>
          </w:p>
        </w:tc>
      </w:tr>
    </w:tbl>
    <w:sdt>
      <w:sdtPr>
        <w:rPr>
          <w:rFonts w:hint="eastAsia" w:ascii="宋体" w:hAnsi="宋体" w:eastAsia="宋体" w:cs="宋体"/>
          <w:b w:val="0"/>
          <w:bCs w:val="0"/>
          <w:kern w:val="0"/>
          <w:szCs w:val="24"/>
        </w:rPr>
        <w:alias w:val="模块:合同产生的收入的情况"/>
        <w:tag w:val="_SEC_020e88e24a604d8684cb34b724e2379b"/>
        <w:id w:val="27494"/>
        <w:placeholder>
          <w:docPart w:val="GBC22222222222222222222222222222"/>
        </w:placeholder>
      </w:sdtPr>
      <w:sdtEndPr>
        <w:rPr>
          <w:rFonts w:hint="default" w:ascii="宋体" w:hAnsi="宋体" w:eastAsia="宋体" w:cs="宋体"/>
          <w:b w:val="0"/>
          <w:bCs w:val="0"/>
          <w:kern w:val="0"/>
          <w:szCs w:val="24"/>
        </w:rPr>
      </w:sdtEndPr>
      <w:sdtContent>
        <w:p>
          <w:pPr>
            <w:pStyle w:val="196"/>
            <w:numPr>
              <w:ilvl w:val="0"/>
              <w:numId w:val="105"/>
            </w:numPr>
            <w:ind w:left="426" w:hanging="426"/>
          </w:pPr>
          <w:bookmarkStart w:id="299" w:name="_Hlk89957177"/>
          <w:bookmarkEnd w:id="299"/>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27495"/>
            <w:placeholder>
              <w:docPart w:val="GBC22222222222222222222222222222"/>
            </w:placeholder>
          </w:sdtPr>
          <w:sdtEndPr>
            <w:rPr>
              <w:rFonts w:ascii="宋体" w:hAnsi="宋体"/>
              <w:szCs w:val="21"/>
            </w:rPr>
          </w:sdtEndPr>
          <w:sdtContent>
            <w:p>
              <w:pPr>
                <w:outlineLvl w:val="9"/>
                <w:rPr>
                  <w:rFonts w:ascii="宋体" w:hAnsi="宋体"/>
                  <w:szCs w:val="21"/>
                </w:rPr>
              </w:pPr>
              <w:r>
                <w:rPr>
                  <w:rFonts w:ascii="宋体" w:hAnsi="宋体"/>
                  <w:szCs w:val="21"/>
                </w:rPr>
                <w:fldChar w:fldCharType="begin"/>
              </w:r>
              <w:r>
                <w:rPr>
                  <w:rFonts w:hint="eastAsia"/>
                  <w:szCs w:val="21"/>
                  <w:lang w:eastAsia="zh-CN"/>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szCs w:val="21"/>
                  <w:lang w:eastAsia="zh-CN"/>
                </w:rPr>
                <w:instrText xml:space="preserve"> MACROBUTTON  SnrToggleCheckbox □不适用 </w:instrText>
              </w:r>
              <w:r>
                <w:rPr>
                  <w:rFonts w:ascii="宋体" w:hAnsi="宋体"/>
                  <w:szCs w:val="21"/>
                </w:rPr>
                <w:fldChar w:fldCharType="end"/>
              </w:r>
            </w:p>
          </w:sdtContent>
        </w:sdt>
        <w:p>
          <w:pPr>
            <w:pStyle w:val="6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营业收入、营业成本的分解信息 "/>
              <w:tag w:val="_GBC_712aadfd959247489c16d4246880bfef"/>
              <w:id w:val="-1780635799"/>
              <w:placeholder>
                <w:docPart w:val="{460de77b-e022-49d6-8320-c609eb4ba511}"/>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营业收入、营业成本的分解信息 "/>
              <w:tag w:val="_GBC_ca9b26593dbf458b829ac632033cd724"/>
              <w:id w:val="288089235"/>
              <w:placeholder>
                <w:docPart w:val="{460de77b-e022-49d6-8320-c609eb4ba5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37"/>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1650"/>
            <w:gridCol w:w="1612"/>
            <w:gridCol w:w="1625"/>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szCs w:val="21"/>
                </w:rPr>
                <w:tag w:val="_PLD_0e9269f20e6e4b7f8a6a8c59b9077225"/>
                <w:id w:val="17327"/>
              </w:sdtPr>
              <w:sdtEndPr>
                <w:rPr>
                  <w:rFonts w:hint="eastAsia" w:ascii="Times New Roman" w:hAnsi="Times New Roman"/>
                  <w:szCs w:val="21"/>
                </w:rPr>
              </w:sdtEndPr>
              <w:sdtContent>
                <w:tc>
                  <w:tcPr>
                    <w:tcW w:w="1443"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合同分类</w:t>
                    </w:r>
                  </w:p>
                </w:tc>
              </w:sdtContent>
            </w:sdt>
            <w:sdt>
              <w:sdtPr>
                <w:rPr>
                  <w:rFonts w:hint="eastAsia" w:ascii="Times New Roman" w:hAnsi="Times New Roman"/>
                  <w:szCs w:val="21"/>
                </w:rPr>
                <w:alias w:val="合同产生的收入分部名称"/>
                <w:tag w:val="_GBC_ab0118fbe71a45709156970254ce1192"/>
                <w:id w:val="17328"/>
              </w:sdtPr>
              <w:sdtEndPr>
                <w:rPr>
                  <w:rFonts w:hint="eastAsia" w:ascii="Times New Roman" w:hAnsi="Times New Roman"/>
                  <w:szCs w:val="21"/>
                </w:rPr>
              </w:sdtEndPr>
              <w:sdtContent>
                <w:tc>
                  <w:tcPr>
                    <w:tcW w:w="178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lang w:val="en-US" w:eastAsia="zh-CN"/>
                      </w:rPr>
                      <w:t>本期发生额</w:t>
                    </w:r>
                  </w:p>
                </w:tc>
              </w:sdtContent>
            </w:sdt>
            <w:sdt>
              <w:sdtPr>
                <w:rPr>
                  <w:rFonts w:hint="eastAsia" w:ascii="Times New Roman" w:hAnsi="Times New Roman"/>
                  <w:szCs w:val="21"/>
                </w:rPr>
                <w:tag w:val="_PLD_4c617eb15d544d45ba3090cf4fb369da"/>
                <w:id w:val="17329"/>
              </w:sdtPr>
              <w:sdtEndPr>
                <w:rPr>
                  <w:rFonts w:hint="eastAsia" w:ascii="Times New Roman" w:hAnsi="Times New Roman"/>
                  <w:szCs w:val="21"/>
                </w:rPr>
              </w:sdtEndPr>
              <w:sdtContent>
                <w:tc>
                  <w:tcPr>
                    <w:tcW w:w="1768"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lang w:val="en-US"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Merge w:val="continue"/>
                <w:tcBorders>
                  <w:left w:val="single" w:color="auto" w:sz="4" w:space="0"/>
                  <w:bottom w:val="single" w:color="auto" w:sz="4" w:space="0"/>
                  <w:right w:val="single" w:color="auto" w:sz="4" w:space="0"/>
                </w:tcBorders>
                <w:shd w:val="clear" w:color="auto" w:fill="auto"/>
              </w:tcPr>
              <w:p>
                <w:pPr>
                  <w:jc w:val="center"/>
                  <w:rPr>
                    <w:rFonts w:ascii="Times New Roman" w:hAnsi="Times New Roman"/>
                    <w:szCs w:val="21"/>
                  </w:rPr>
                </w:pPr>
              </w:p>
            </w:tc>
            <w:sdt>
              <w:sdtPr>
                <w:rPr>
                  <w:rFonts w:hint="eastAsia" w:ascii="Times New Roman" w:hAnsi="Times New Roman"/>
                  <w:szCs w:val="21"/>
                </w:rPr>
                <w:tag w:val="_PLD_812056a1dd1146b887b2fe5989c7c698"/>
                <w:id w:val="17330"/>
              </w:sdtPr>
              <w:sdtEndPr>
                <w:rPr>
                  <w:rFonts w:hint="eastAsia" w:ascii="Times New Roman" w:hAnsi="Times New Roman"/>
                  <w:szCs w:val="21"/>
                </w:rPr>
              </w:sdtEndPr>
              <w:sdtContent>
                <w:tc>
                  <w:tcPr>
                    <w:tcW w:w="9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营业收入</w:t>
                    </w:r>
                  </w:p>
                </w:tc>
              </w:sdtContent>
            </w:sdt>
            <w:sdt>
              <w:sdtPr>
                <w:rPr>
                  <w:rFonts w:hint="eastAsia" w:ascii="Times New Roman" w:hAnsi="Times New Roman"/>
                  <w:szCs w:val="21"/>
                </w:rPr>
                <w:tag w:val="_PLD_a596be33430c4e278795102f77bfea46"/>
                <w:id w:val="17331"/>
              </w:sdtPr>
              <w:sdtEndPr>
                <w:rPr>
                  <w:rFonts w:hint="eastAsia" w:ascii="Times New Roman" w:hAnsi="Times New Roman"/>
                  <w:szCs w:val="21"/>
                </w:rPr>
              </w:sdtEndPr>
              <w:sdtContent>
                <w:tc>
                  <w:tcPr>
                    <w:tcW w:w="883"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szCs w:val="21"/>
                      </w:rPr>
                    </w:pPr>
                    <w:r>
                      <w:rPr>
                        <w:rFonts w:hint="eastAsia" w:ascii="Times New Roman" w:hAnsi="Times New Roman"/>
                        <w:szCs w:val="21"/>
                      </w:rPr>
                      <w:t>营业成本</w:t>
                    </w:r>
                  </w:p>
                </w:tc>
              </w:sdtContent>
            </w:sdt>
            <w:sdt>
              <w:sdtPr>
                <w:rPr>
                  <w:rFonts w:hint="eastAsia" w:ascii="Times New Roman" w:hAnsi="Times New Roman"/>
                  <w:szCs w:val="21"/>
                </w:rPr>
                <w:tag w:val="_PLD_63400df9f177476bb0975376f62b78b9"/>
                <w:id w:val="17332"/>
              </w:sdtPr>
              <w:sdtEndPr>
                <w:rPr>
                  <w:rFonts w:hint="eastAsia" w:ascii="Times New Roman" w:hAnsi="Times New Roman"/>
                  <w:szCs w:val="21"/>
                </w:rPr>
              </w:sdtEndPr>
              <w:sdtContent>
                <w:tc>
                  <w:tcPr>
                    <w:tcW w:w="8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营业收入</w:t>
                    </w:r>
                  </w:p>
                </w:tc>
              </w:sdtContent>
            </w:sdt>
            <w:sdt>
              <w:sdtPr>
                <w:rPr>
                  <w:rFonts w:hint="eastAsia" w:ascii="Times New Roman" w:hAnsi="Times New Roman"/>
                  <w:szCs w:val="21"/>
                </w:rPr>
                <w:tag w:val="_PLD_ccb1ce0fea894f5892ff4f8ace575517"/>
                <w:id w:val="17333"/>
              </w:sdtPr>
              <w:sdtEndPr>
                <w:rPr>
                  <w:rFonts w:hint="eastAsia" w:ascii="Times New Roman" w:hAnsi="Times New Roman"/>
                  <w:szCs w:val="21"/>
                </w:rPr>
              </w:sdtEndPr>
              <w:sdtContent>
                <w:tc>
                  <w:tcPr>
                    <w:tcW w:w="877"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szCs w:val="21"/>
                      </w:rPr>
                    </w:pPr>
                    <w:r>
                      <w:rPr>
                        <w:rFonts w:hint="eastAsia" w:ascii="Times New Roman" w:hAnsi="Times New Roman"/>
                        <w:szCs w:val="21"/>
                      </w:rPr>
                      <w:t>营业成本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hint="eastAsia" w:ascii="Times New Roman" w:hAnsi="Times New Roman"/>
                    <w:color w:val="auto"/>
                    <w:szCs w:val="21"/>
                  </w:rPr>
                  <w:t>主营业务：</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w:t>
                </w:r>
              </w:p>
            </w:tc>
            <w:tc>
              <w:tcPr>
                <w:tcW w:w="890"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w:t>
                </w:r>
              </w:p>
            </w:tc>
            <w:tc>
              <w:tcPr>
                <w:tcW w:w="87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hint="eastAsia" w:ascii="Times New Roman" w:hAnsi="Times New Roman"/>
                    <w:color w:val="auto"/>
                  </w:rPr>
                  <w:t>日化产品</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866,766,400.90</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747,649,694.63</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866,766,400.90</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747,649,694.63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hint="eastAsia" w:ascii="Times New Roman" w:hAnsi="Times New Roman"/>
                    <w:color w:val="auto"/>
                  </w:rPr>
                  <w:t>药品</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107,437,799.79</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65,245,413.06</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hint="eastAsia" w:ascii="Times New Roman" w:hAnsi="Times New Roman" w:eastAsia="宋体"/>
                    <w:szCs w:val="21"/>
                    <w:lang w:eastAsia="zh-CN"/>
                  </w:rPr>
                </w:pPr>
                <w:r>
                  <w:rPr>
                    <w:rFonts w:hint="eastAsia" w:ascii="Times New Roman" w:hAnsi="Times New Roman"/>
                    <w:color w:val="auto"/>
                  </w:rPr>
                  <w:t> 107,437,799.79</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65,245,413.06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hint="eastAsia" w:ascii="Times New Roman" w:hAnsi="Times New Roman"/>
                    <w:color w:val="auto"/>
                    <w:szCs w:val="21"/>
                  </w:rPr>
                  <w:t>商业贸易</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9,889,605.92</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8,842,782.46</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9,889,605.92</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8,842,782.46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hint="eastAsia" w:ascii="Times New Roman" w:hAnsi="Times New Roman"/>
                    <w:color w:val="auto"/>
                  </w:rPr>
                  <w:t>小计</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984,093,806.61</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821,737,890.15</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984,093,806.61</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821,737,890.15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hint="eastAsia" w:ascii="Times New Roman" w:hAnsi="Times New Roman"/>
                    <w:color w:val="auto"/>
                  </w:rPr>
                  <w:t>其他业务：</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t> </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t> </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t> </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hint="eastAsia" w:ascii="Times New Roman" w:hAnsi="Times New Roman"/>
                    <w:color w:val="auto"/>
                    <w:szCs w:val="21"/>
                  </w:rPr>
                  <w:t>销售材料、出租资产等</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11,042,476.55</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7,317,857.23</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11,042,476.55</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7,317,857.23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hint="eastAsia" w:ascii="Times New Roman" w:hAnsi="Times New Roman"/>
                    <w:color w:val="auto"/>
                  </w:rPr>
                  <w:t>小计</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11,042,476.55</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7,317,857.23</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hint="eastAsia" w:ascii="Times New Roman" w:hAnsi="Times New Roman" w:eastAsia="宋体"/>
                    <w:szCs w:val="21"/>
                    <w:lang w:eastAsia="zh-CN"/>
                  </w:rPr>
                </w:pPr>
                <w:r>
                  <w:rPr>
                    <w:rFonts w:hint="eastAsia" w:ascii="Times New Roman" w:hAnsi="Times New Roman"/>
                    <w:color w:val="auto"/>
                  </w:rPr>
                  <w:t> 11,042,476.55</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7,317,857.23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szCs w:val="21"/>
                  </w:rPr>
                </w:pPr>
                <w:r>
                  <w:rPr>
                    <w:rFonts w:hint="eastAsia" w:ascii="Times New Roman" w:hAnsi="Times New Roman"/>
                    <w:szCs w:val="21"/>
                  </w:rPr>
                  <w:t>合计</w:t>
                </w:r>
              </w:p>
            </w:tc>
            <w:tc>
              <w:tcPr>
                <w:tcW w:w="90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hint="eastAsia" w:ascii="Times New Roman" w:hAnsi="Times New Roman"/>
                    <w:color w:val="auto"/>
                  </w:rPr>
                  <w:t> 995,136,283.16</w:t>
                </w:r>
              </w:p>
            </w:tc>
            <w:tc>
              <w:tcPr>
                <w:tcW w:w="88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szCs w:val="21"/>
                  </w:rPr>
                </w:pPr>
                <w:r>
                  <w:rPr>
                    <w:rFonts w:hint="eastAsia" w:ascii="Times New Roman" w:hAnsi="Times New Roman"/>
                    <w:color w:val="auto"/>
                  </w:rPr>
                  <w:t> 829,055,747.38</w:t>
                </w:r>
              </w:p>
            </w:tc>
            <w:tc>
              <w:tcPr>
                <w:tcW w:w="890"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995,136,283.16</w:t>
                </w:r>
              </w:p>
            </w:tc>
            <w:tc>
              <w:tcPr>
                <w:tcW w:w="877" w:type="pct"/>
                <w:tcBorders>
                  <w:top w:val="single" w:color="auto" w:sz="4" w:space="0"/>
                  <w:left w:val="single" w:color="auto" w:sz="4" w:space="0"/>
                  <w:bottom w:val="single" w:color="auto" w:sz="4" w:space="0"/>
                  <w:right w:val="single" w:color="auto" w:sz="4" w:space="0"/>
                </w:tcBorders>
                <w:vAlign w:val="top"/>
              </w:tcPr>
              <w:p>
                <w:pPr>
                  <w:jc w:val="right"/>
                  <w:rPr>
                    <w:rFonts w:ascii="Times New Roman" w:hAnsi="Times New Roman"/>
                    <w:szCs w:val="21"/>
                  </w:rPr>
                </w:pPr>
                <w:r>
                  <w:rPr>
                    <w:rFonts w:hint="eastAsia" w:ascii="Times New Roman" w:hAnsi="Times New Roman"/>
                    <w:color w:val="auto"/>
                  </w:rPr>
                  <w:t> 829,055,747.38</w:t>
                </w:r>
              </w:p>
            </w:tc>
          </w:tr>
        </w:tbl>
        <w:p>
          <w:pPr>
            <w:outlineLvl w:val="9"/>
            <w:rPr>
              <w:rFonts w:ascii="宋体" w:hAnsi="宋体"/>
              <w:szCs w:val="21"/>
            </w:rPr>
          </w:pPr>
        </w:p>
        <w:p>
          <w:r>
            <w:rPr>
              <w:rFonts w:hint="eastAsia"/>
            </w:rPr>
            <w:t>其他说明</w:t>
          </w:r>
        </w:p>
        <w:sdt>
          <w:sdtPr>
            <w:alias w:val="是否适用：营业收入、营业成本的分解信息说明 [双击切换]"/>
            <w:tag w:val="_GBC_f134aa472e8b45f8af819092314ab743"/>
            <w:id w:val="27496"/>
            <w:placeholder>
              <w:docPart w:val="GBC22222222222222222222222222222"/>
            </w:placeholder>
          </w:sdtPr>
          <w:sdtContent>
            <w:p>
              <w:pPr>
                <w:outlineLvl w:val="9"/>
                <w:rPr>
                  <w:color w:val="333399"/>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sdtContent>
    </w:sdt>
    <w:p>
      <w:pPr>
        <w:pStyle w:val="196"/>
        <w:numPr>
          <w:ilvl w:val="0"/>
          <w:numId w:val="105"/>
        </w:numPr>
        <w:ind w:left="426" w:hanging="426"/>
      </w:pPr>
      <w:bookmarkStart w:id="300" w:name="_Hlk533670431"/>
      <w:r>
        <w:rPr>
          <w:rFonts w:hint="eastAsia"/>
        </w:rPr>
        <w:t>履约义务的说明</w:t>
      </w:r>
    </w:p>
    <w:sdt>
      <w:sdtPr>
        <w:alias w:val="是否适用：履约义务的说明[双击切换]"/>
        <w:tag w:val="_GBC_2bcc2970f5df4fc982ad2497089d8292"/>
        <w:id w:val="2749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bookmarkEnd w:id="300"/>
    <w:p>
      <w:pPr>
        <w:pStyle w:val="196"/>
        <w:numPr>
          <w:ilvl w:val="0"/>
          <w:numId w:val="105"/>
        </w:numPr>
        <w:ind w:left="426" w:hanging="426"/>
      </w:pPr>
      <w:bookmarkStart w:id="301" w:name="_Hlk533423938"/>
      <w:r>
        <w:rPr>
          <w:rFonts w:hint="eastAsia"/>
        </w:rPr>
        <w:t>分摊至剩余履约义务的说明</w:t>
      </w:r>
    </w:p>
    <w:sdt>
      <w:sdtPr>
        <w:alias w:val="是否适用：分摊至剩余履约义务的说明[双击切换]"/>
        <w:tag w:val="_GBC_67defaacf38a42549a2ed747c0fdb075"/>
        <w:id w:val="27498"/>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Arial" w:hAnsi="Arial"/>
          <w:szCs w:val="21"/>
        </w:rPr>
      </w:pPr>
    </w:p>
    <w:bookmarkEnd w:id="301"/>
    <w:p>
      <w:pPr>
        <w:pStyle w:val="196"/>
        <w:numPr>
          <w:ilvl w:val="0"/>
          <w:numId w:val="105"/>
        </w:numPr>
        <w:ind w:left="426" w:hanging="426"/>
      </w:pPr>
      <w:r>
        <w:rPr>
          <w:rFonts w:hint="eastAsia"/>
        </w:rPr>
        <w:t>重大合同变更或重大交易价格调整</w:t>
      </w:r>
    </w:p>
    <w:sdt>
      <w:sdtPr>
        <w:alias w:val="是否适用：重大合同变更或重大交易价格调整[双击切换]"/>
        <w:tag w:val="_GBC_0445697eb8d6440497b15f440010cd1d"/>
        <w:id w:val="2749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spacing w:before="60" w:after="60"/>
        <w:rPr>
          <w:szCs w:val="21"/>
        </w:rPr>
      </w:pPr>
      <w:bookmarkStart w:id="302" w:name="_Hlk26364697"/>
      <w:r>
        <w:rPr>
          <w:rFonts w:hint="eastAsia"/>
          <w:szCs w:val="21"/>
        </w:rPr>
        <w:t>其他说明：</w:t>
      </w:r>
    </w:p>
    <w:p>
      <w:pPr>
        <w:rPr>
          <w:szCs w:val="21"/>
        </w:rPr>
      </w:pPr>
      <w:sdt>
        <w:sdtPr>
          <w:rPr>
            <w:szCs w:val="21"/>
          </w:rPr>
          <w:alias w:val="主营业务说明"/>
          <w:tag w:val="_GBC_817222ab73384ad1a188a632c919c846"/>
          <w:id w:val="27500"/>
          <w:placeholder>
            <w:docPart w:val="GBC22222222222222222222222222222"/>
          </w:placeholder>
        </w:sdtPr>
        <w:sdtEndPr>
          <w:rPr>
            <w:szCs w:val="21"/>
          </w:rPr>
        </w:sdtEndPr>
        <w:sdtContent>
          <w:r>
            <w:rPr>
              <w:rFonts w:hint="eastAsia"/>
              <w:szCs w:val="21"/>
              <w:lang w:eastAsia="zh-CN"/>
            </w:rPr>
            <w:t>无</w:t>
          </w:r>
        </w:sdtContent>
      </w:sdt>
    </w:p>
    <w:p>
      <w:pPr>
        <w:rPr>
          <w:szCs w:val="21"/>
        </w:rPr>
      </w:pPr>
    </w:p>
    <w:bookmarkEnd w:id="302"/>
    <w:p>
      <w:pPr>
        <w:pStyle w:val="229"/>
        <w:numPr>
          <w:ilvl w:val="0"/>
          <w:numId w:val="71"/>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08eb9cdd2a3940549b0f2b47081f0a3d"/>
        <w:id w:val="2750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税金及附加"/>
          <w:tag w:val="_GBC_6e5742d697d44a7dabc4411d4cd3c055"/>
          <w:id w:val="27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275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09"/>
        <w:gridCol w:w="3075"/>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2dcdcc171754a7b940a70d1c7daa5c1"/>
            <w:id w:val="10792"/>
          </w:sdtPr>
          <w:sdtContent>
            <w:tc>
              <w:tcPr>
                <w:tcW w:w="1605" w:type="pc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0793"/>
          </w:sdtPr>
          <w:sdtContent>
            <w:tc>
              <w:tcPr>
                <w:tcW w:w="1697" w:type="pct"/>
              </w:tcPr>
              <w:p>
                <w:pPr>
                  <w:jc w:val="center"/>
                  <w:rPr>
                    <w:szCs w:val="21"/>
                  </w:rPr>
                </w:pPr>
                <w:r>
                  <w:rPr>
                    <w:rFonts w:hint="eastAsia"/>
                    <w:szCs w:val="21"/>
                  </w:rPr>
                  <w:t>本期发生额</w:t>
                </w:r>
              </w:p>
            </w:tc>
          </w:sdtContent>
        </w:sdt>
        <w:sdt>
          <w:sdtPr>
            <w:tag w:val="_PLD_5e944d291c9a4b0aab9f6558226d9112"/>
            <w:id w:val="10794"/>
          </w:sdtPr>
          <w:sdtContent>
            <w:tc>
              <w:tcPr>
                <w:tcW w:w="1697" w:type="pct"/>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szCs w:val="21"/>
              </w:rPr>
            </w:pPr>
            <w:r>
              <w:rPr>
                <w:rFonts w:hint="eastAsia"/>
                <w:szCs w:val="21"/>
              </w:rPr>
              <w:t>城市维护建设税</w:t>
            </w:r>
          </w:p>
        </w:tc>
        <w:tc>
          <w:tcPr>
            <w:tcW w:w="1697" w:type="pct"/>
            <w:vAlign w:val="center"/>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 1,313,716.96</w:t>
            </w:r>
          </w:p>
        </w:tc>
        <w:tc>
          <w:tcPr>
            <w:tcW w:w="1697" w:type="pct"/>
            <w:vAlign w:val="center"/>
          </w:tcPr>
          <w:p>
            <w:pPr>
              <w:jc w:val="right"/>
              <w:rPr>
                <w:rFonts w:hint="default" w:ascii="Times New Roman" w:hAnsi="Times New Roman" w:cs="Times New Roman"/>
                <w:szCs w:val="21"/>
              </w:rPr>
            </w:pPr>
            <w:r>
              <w:rPr>
                <w:rFonts w:hint="default" w:ascii="Times New Roman" w:hAnsi="Times New Roman" w:cs="Times New Roman"/>
              </w:rPr>
              <w:t>1,323,385.76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szCs w:val="21"/>
              </w:rPr>
            </w:pPr>
            <w:r>
              <w:rPr>
                <w:rFonts w:hint="eastAsia"/>
                <w:szCs w:val="21"/>
              </w:rPr>
              <w:t>教育费附加</w:t>
            </w:r>
          </w:p>
        </w:tc>
        <w:tc>
          <w:tcPr>
            <w:tcW w:w="1697" w:type="pct"/>
            <w:vAlign w:val="center"/>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 1,087,126.48</w:t>
            </w:r>
          </w:p>
        </w:tc>
        <w:tc>
          <w:tcPr>
            <w:tcW w:w="1697" w:type="pct"/>
            <w:vAlign w:val="center"/>
          </w:tcPr>
          <w:p>
            <w:pPr>
              <w:jc w:val="right"/>
              <w:rPr>
                <w:rFonts w:hint="default" w:ascii="Times New Roman" w:hAnsi="Times New Roman" w:cs="Times New Roman"/>
                <w:szCs w:val="21"/>
              </w:rPr>
            </w:pPr>
            <w:r>
              <w:rPr>
                <w:rFonts w:hint="default" w:ascii="Times New Roman" w:hAnsi="Times New Roman" w:cs="Times New Roman"/>
              </w:rPr>
              <w:t>1,075,601.28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szCs w:val="21"/>
              </w:rPr>
            </w:pPr>
            <w:r>
              <w:rPr>
                <w:rFonts w:hint="eastAsia"/>
              </w:rPr>
              <w:t>房产税</w:t>
            </w:r>
          </w:p>
        </w:tc>
        <w:tc>
          <w:tcPr>
            <w:tcW w:w="1697" w:type="pct"/>
            <w:vAlign w:val="center"/>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 3,500,647.77</w:t>
            </w:r>
          </w:p>
        </w:tc>
        <w:tc>
          <w:tcPr>
            <w:tcW w:w="1697" w:type="pct"/>
            <w:vAlign w:val="center"/>
          </w:tcPr>
          <w:p>
            <w:pPr>
              <w:jc w:val="right"/>
              <w:rPr>
                <w:rFonts w:hint="default" w:ascii="Times New Roman" w:hAnsi="Times New Roman" w:cs="Times New Roman"/>
                <w:szCs w:val="21"/>
              </w:rPr>
            </w:pPr>
            <w:r>
              <w:rPr>
                <w:rFonts w:hint="default" w:ascii="Times New Roman" w:hAnsi="Times New Roman" w:cs="Times New Roman"/>
              </w:rPr>
              <w:t>3,420,194.63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szCs w:val="21"/>
              </w:rPr>
            </w:pPr>
            <w:r>
              <w:rPr>
                <w:rFonts w:hint="eastAsia"/>
              </w:rPr>
              <w:t>土地使用税</w:t>
            </w:r>
          </w:p>
        </w:tc>
        <w:tc>
          <w:tcPr>
            <w:tcW w:w="1697" w:type="pct"/>
            <w:vAlign w:val="center"/>
          </w:tcPr>
          <w:p>
            <w:pPr>
              <w:autoSpaceDE w:val="0"/>
              <w:autoSpaceDN w:val="0"/>
              <w:adjustRightInd w:val="0"/>
              <w:snapToGrid w:val="0"/>
              <w:spacing w:line="240" w:lineRule="atLeast"/>
              <w:jc w:val="right"/>
              <w:rPr>
                <w:rFonts w:hint="default" w:ascii="Times New Roman" w:hAnsi="Times New Roman" w:cs="Times New Roman"/>
                <w:szCs w:val="21"/>
              </w:rPr>
            </w:pPr>
            <w:r>
              <w:rPr>
                <w:rFonts w:hint="default" w:ascii="Times New Roman" w:hAnsi="Times New Roman" w:cs="Times New Roman"/>
              </w:rPr>
              <w:t> 1,275,038.28</w:t>
            </w:r>
          </w:p>
        </w:tc>
        <w:tc>
          <w:tcPr>
            <w:tcW w:w="1697" w:type="pct"/>
            <w:vAlign w:val="center"/>
          </w:tcPr>
          <w:p>
            <w:pPr>
              <w:jc w:val="right"/>
              <w:rPr>
                <w:rFonts w:hint="default" w:ascii="Times New Roman" w:hAnsi="Times New Roman" w:cs="Times New Roman"/>
                <w:szCs w:val="21"/>
              </w:rPr>
            </w:pPr>
            <w:r>
              <w:rPr>
                <w:rFonts w:hint="default" w:ascii="Times New Roman" w:hAnsi="Times New Roman" w:cs="Times New Roman"/>
              </w:rPr>
              <w:t>1,274,823.07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szCs w:val="21"/>
              </w:rPr>
            </w:pPr>
            <w:r>
              <w:rPr>
                <w:rFonts w:hint="eastAsia" w:ascii="Arial" w:hAnsi="Arial" w:eastAsia="宋体" w:cs="Arial"/>
                <w:sz w:val="18"/>
                <w:szCs w:val="18"/>
              </w:rPr>
              <w:t>其他</w:t>
            </w:r>
          </w:p>
        </w:tc>
        <w:tc>
          <w:tcPr>
            <w:tcW w:w="1697" w:type="pct"/>
            <w:vAlign w:val="center"/>
          </w:tcPr>
          <w:p>
            <w:pPr>
              <w:autoSpaceDE w:val="0"/>
              <w:autoSpaceDN w:val="0"/>
              <w:adjustRightInd w:val="0"/>
              <w:snapToGrid w:val="0"/>
              <w:spacing w:line="240" w:lineRule="atLeast"/>
              <w:jc w:val="right"/>
              <w:rPr>
                <w:rFonts w:hint="default" w:ascii="Times New Roman" w:hAnsi="Times New Roman" w:cs="Times New Roman"/>
              </w:rPr>
            </w:pPr>
            <w:r>
              <w:rPr>
                <w:rFonts w:hint="default" w:ascii="Times New Roman" w:hAnsi="Times New Roman" w:cs="Times New Roman"/>
              </w:rPr>
              <w:t xml:space="preserve">279,561.62 </w:t>
            </w:r>
          </w:p>
        </w:tc>
        <w:tc>
          <w:tcPr>
            <w:tcW w:w="1697" w:type="pct"/>
            <w:vAlign w:val="center"/>
          </w:tcPr>
          <w:p>
            <w:pPr>
              <w:autoSpaceDE w:val="0"/>
              <w:autoSpaceDN w:val="0"/>
              <w:adjustRightInd w:val="0"/>
              <w:snapToGrid w:val="0"/>
              <w:spacing w:line="240" w:lineRule="atLeast"/>
              <w:jc w:val="right"/>
              <w:rPr>
                <w:rFonts w:hint="default" w:ascii="Times New Roman" w:hAnsi="Times New Roman" w:cs="Times New Roman"/>
              </w:rPr>
            </w:pPr>
            <w:r>
              <w:rPr>
                <w:rFonts w:hint="default" w:ascii="Times New Roman" w:hAnsi="Times New Roman" w:cs="Times New Roman"/>
              </w:rPr>
              <w:t>276,860.63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jc w:val="center"/>
              <w:rPr>
                <w:szCs w:val="21"/>
              </w:rPr>
            </w:pPr>
            <w:r>
              <w:rPr>
                <w:rFonts w:hint="eastAsia"/>
                <w:szCs w:val="21"/>
              </w:rPr>
              <w:t>合计</w:t>
            </w:r>
          </w:p>
        </w:tc>
        <w:tc>
          <w:tcPr>
            <w:tcW w:w="1697" w:type="pct"/>
          </w:tcPr>
          <w:p>
            <w:pPr>
              <w:autoSpaceDE w:val="0"/>
              <w:autoSpaceDN w:val="0"/>
              <w:adjustRightInd w:val="0"/>
              <w:snapToGrid w:val="0"/>
              <w:spacing w:line="240" w:lineRule="atLeast"/>
              <w:jc w:val="right"/>
              <w:rPr>
                <w:rFonts w:hint="default" w:ascii="Times New Roman" w:hAnsi="Times New Roman" w:cs="Times New Roman"/>
              </w:rPr>
            </w:pPr>
            <w:r>
              <w:rPr>
                <w:rFonts w:hint="default" w:ascii="Times New Roman" w:hAnsi="Times New Roman" w:cs="Times New Roman"/>
              </w:rPr>
              <w:t>7</w:t>
            </w:r>
            <w:r>
              <w:rPr>
                <w:rFonts w:hint="eastAsia" w:ascii="Times New Roman" w:hAnsi="Times New Roman" w:cs="Times New Roman"/>
                <w:lang w:val="en-US" w:eastAsia="zh-CN"/>
              </w:rPr>
              <w:t>,</w:t>
            </w:r>
            <w:r>
              <w:rPr>
                <w:rFonts w:hint="default" w:ascii="Times New Roman" w:hAnsi="Times New Roman" w:cs="Times New Roman"/>
              </w:rPr>
              <w:t>456</w:t>
            </w:r>
            <w:r>
              <w:rPr>
                <w:rFonts w:hint="eastAsia" w:ascii="Times New Roman" w:hAnsi="Times New Roman" w:cs="Times New Roman"/>
                <w:lang w:val="en-US" w:eastAsia="zh-CN"/>
              </w:rPr>
              <w:t>,</w:t>
            </w:r>
            <w:r>
              <w:rPr>
                <w:rFonts w:hint="default" w:ascii="Times New Roman" w:hAnsi="Times New Roman" w:cs="Times New Roman"/>
              </w:rPr>
              <w:t>091.11</w:t>
            </w:r>
          </w:p>
        </w:tc>
        <w:tc>
          <w:tcPr>
            <w:tcW w:w="1697" w:type="pct"/>
          </w:tcPr>
          <w:p>
            <w:pPr>
              <w:autoSpaceDE w:val="0"/>
              <w:autoSpaceDN w:val="0"/>
              <w:adjustRightInd w:val="0"/>
              <w:snapToGrid w:val="0"/>
              <w:spacing w:line="240" w:lineRule="atLeast"/>
              <w:jc w:val="right"/>
              <w:rPr>
                <w:rFonts w:hint="default" w:ascii="Times New Roman" w:hAnsi="Times New Roman" w:cs="Times New Roman"/>
              </w:rPr>
            </w:pPr>
            <w:r>
              <w:rPr>
                <w:rFonts w:hint="default" w:ascii="Times New Roman" w:hAnsi="Times New Roman" w:cs="Times New Roman"/>
              </w:rPr>
              <w:t>7</w:t>
            </w:r>
            <w:r>
              <w:rPr>
                <w:rFonts w:hint="eastAsia" w:ascii="Times New Roman" w:hAnsi="Times New Roman" w:cs="Times New Roman"/>
                <w:lang w:val="en-US" w:eastAsia="zh-CN"/>
              </w:rPr>
              <w:t>,</w:t>
            </w:r>
            <w:r>
              <w:rPr>
                <w:rFonts w:hint="default" w:ascii="Times New Roman" w:hAnsi="Times New Roman" w:cs="Times New Roman"/>
              </w:rPr>
              <w:t>370</w:t>
            </w:r>
            <w:r>
              <w:rPr>
                <w:rFonts w:hint="eastAsia" w:ascii="Times New Roman" w:hAnsi="Times New Roman" w:cs="Times New Roman"/>
                <w:lang w:val="en-US" w:eastAsia="zh-CN"/>
              </w:rPr>
              <w:t>,</w:t>
            </w:r>
            <w:r>
              <w:rPr>
                <w:rFonts w:hint="default" w:ascii="Times New Roman" w:hAnsi="Times New Roman" w:cs="Times New Roman"/>
              </w:rPr>
              <w:t>865.37</w:t>
            </w:r>
          </w:p>
        </w:tc>
      </w:tr>
    </w:tbl>
    <w:p/>
    <w:p/>
    <w:p>
      <w:pPr>
        <w:spacing w:before="60" w:after="60"/>
        <w:rPr>
          <w:szCs w:val="21"/>
        </w:rPr>
      </w:pPr>
      <w:r>
        <w:rPr>
          <w:rFonts w:hint="eastAsia"/>
          <w:szCs w:val="21"/>
        </w:rPr>
        <w:t>其他说明：</w:t>
      </w:r>
    </w:p>
    <w:sdt>
      <w:sdtPr>
        <w:rPr>
          <w:rFonts w:hint="eastAsia"/>
          <w:szCs w:val="21"/>
        </w:rPr>
        <w:alias w:val="税金及附加说明"/>
        <w:tag w:val="_GBC_d333a7e7c5ed4b7896c9db975439c1ec"/>
        <w:id w:val="27507"/>
        <w:placeholder>
          <w:docPart w:val="GBC22222222222222222222222222222"/>
        </w:placeholder>
      </w:sdtPr>
      <w:sdtEndPr>
        <w:rPr>
          <w:rFonts w:hint="eastAsia"/>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rPr>
          <w:rFonts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1a0ad35d35924f068ce1b2a2dc02a25f"/>
        <w:id w:val="2750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26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275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275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2858"/>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c4bc503cfe4eafa415de62f182f2c1"/>
            <w:id w:val="17343"/>
          </w:sdt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105cce5212fb42a182b1fd8e309ba67c"/>
            <w:id w:val="17344"/>
          </w:sdt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5f148659054c4187a80f7bdffc9e9cde"/>
            <w:id w:val="17345"/>
          </w:sdt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终端服务费用</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46,844,884.01</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37,855,051.95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工资</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22,923,674.46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17,034,478.16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广告及宣传费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18,270,759.33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11,821,723.90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差旅费及会议费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6,318,297.73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4,494,556.73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其他</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5,745,029.32</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4,737,363.60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社保费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4,166,938.92</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4,312,588.88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业务费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728,590.78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773,914.78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 办公费</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643,285.00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1,317,766.50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105,641,459.55</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 82,347,444.50</w:t>
            </w:r>
          </w:p>
        </w:tc>
      </w:tr>
    </w:tbl>
    <w:p/>
    <w:p/>
    <w:p/>
    <w:p>
      <w:pPr>
        <w:spacing w:before="60" w:after="60"/>
        <w:rPr>
          <w:szCs w:val="21"/>
        </w:rPr>
      </w:pPr>
      <w:r>
        <w:rPr>
          <w:rFonts w:hint="eastAsia"/>
          <w:szCs w:val="21"/>
        </w:rPr>
        <w:t>其他说明：</w:t>
      </w:r>
    </w:p>
    <w:sdt>
      <w:sdtPr>
        <w:rPr>
          <w:szCs w:val="21"/>
        </w:rPr>
        <w:alias w:val="销售费用的其他说明事项"/>
        <w:tag w:val="_GBC_da5acaab2dfe4976b479907a904edb4f"/>
        <w:id w:val="27514"/>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rPr>
          <w:szCs w:val="21"/>
        </w:rPr>
      </w:pPr>
      <w:r>
        <w:rPr>
          <w:rFonts w:hint="eastAsia"/>
          <w:szCs w:val="21"/>
        </w:rPr>
        <w:t>管理费用</w:t>
      </w:r>
    </w:p>
    <w:sdt>
      <w:sdtPr>
        <w:alias w:val="是否适用：管理费用[双击切换]"/>
        <w:tag w:val="_GBC_b376fd9abaac4f3b8e5956b8dcd72faf"/>
        <w:id w:val="27515"/>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管理费用"/>
          <w:tag w:val="_GBC_73606f31bd404afb8bfe5aabe1a68278"/>
          <w:id w:val="275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27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2604"/>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8268d9a550441d943c27cfc1105eb0"/>
            <w:id w:val="27518"/>
          </w:sdtPr>
          <w:sdtContent>
            <w:tc>
              <w:tcPr>
                <w:tcW w:w="2212"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0e4f4d04bcb2408d8a5744ac90a1f89b"/>
            <w:id w:val="27519"/>
          </w:sdtPr>
          <w:sdtContent>
            <w:tc>
              <w:tcPr>
                <w:tcW w:w="143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6f1ab61237164c0db56540ae1980b62c"/>
            <w:id w:val="27520"/>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职工薪酬</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43,789,068.41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35,803,034.46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折旧及摊销</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10,236,122.76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10,040,988.12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其他</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8,972,028.08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xml:space="preserve">9,570,421.26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水电费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3,595,567.21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3,053,543.78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办公费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2,214,558.55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1,717,743.03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中介费用</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1,583,158.52</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1,322,021.33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物料消耗</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1,573,658.15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1,282,543.38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r>
              <w:t>业务招待费</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xml:space="preserve">658,536.90 </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435,048.19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72,622,698.58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63,225,343.55</w:t>
            </w:r>
          </w:p>
        </w:tc>
      </w:tr>
    </w:tbl>
    <w:p/>
    <w:p>
      <w:pPr>
        <w:rPr>
          <w:szCs w:val="21"/>
        </w:rPr>
      </w:pPr>
      <w:r>
        <w:rPr>
          <w:rFonts w:hint="eastAsia"/>
          <w:szCs w:val="21"/>
        </w:rPr>
        <w:t>其他说明：</w:t>
      </w:r>
    </w:p>
    <w:sdt>
      <w:sdtPr>
        <w:rPr>
          <w:szCs w:val="21"/>
        </w:rPr>
        <w:alias w:val="管理费用的其他说明事项"/>
        <w:tag w:val="_GBC_9b151103b3714e6c9261d3362f24bd0a"/>
        <w:id w:val="27521"/>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rPr>
          <w:szCs w:val="21"/>
        </w:rPr>
      </w:pPr>
      <w:bookmarkStart w:id="303" w:name="_Hlk155098459"/>
      <w:bookmarkStart w:id="304" w:name="_Hlk532912714"/>
      <w:r>
        <w:rPr>
          <w:rFonts w:hint="eastAsia"/>
          <w:szCs w:val="21"/>
        </w:rPr>
        <w:t>研发费用</w:t>
      </w:r>
    </w:p>
    <w:sdt>
      <w:sdtPr>
        <w:rPr>
          <w:szCs w:val="21"/>
        </w:rPr>
        <w:alias w:val="是否适用：研发费用[双击切换]"/>
        <w:tag w:val="_GBC_9898510b9c0a486f9cd9779f4b72b75c"/>
        <w:id w:val="27522"/>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264"/>
        <w:ind w:left="420" w:firstLine="0" w:firstLineChars="0"/>
        <w:jc w:val="right"/>
        <w:rPr>
          <w:szCs w:val="21"/>
        </w:rPr>
      </w:pPr>
      <w:r>
        <w:rPr>
          <w:rFonts w:hint="eastAsia"/>
          <w:szCs w:val="21"/>
        </w:rPr>
        <w:t>单位：</w:t>
      </w:r>
      <w:sdt>
        <w:sdtPr>
          <w:rPr>
            <w:rFonts w:hint="eastAsia"/>
            <w:szCs w:val="21"/>
          </w:rPr>
          <w:alias w:val="单位：研发费用"/>
          <w:tag w:val="_GBC_f2389528805243908680cac1cbf74aac"/>
          <w:id w:val="275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fd53f958c2294dce9fb017f8207a7ff4"/>
          <w:id w:val="27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0c22a459f7a4323bcf2b066e0398aee"/>
            <w:id w:val="17361"/>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项目</w:t>
                </w:r>
              </w:p>
            </w:tc>
          </w:sdtContent>
        </w:sdt>
        <w:sdt>
          <w:sdtPr>
            <w:tag w:val="_PLD_76c559fcf2df4f56bfb2994739826eb3"/>
            <w:id w:val="17362"/>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本期发生额</w:t>
                </w:r>
              </w:p>
            </w:tc>
          </w:sdtContent>
        </w:sdt>
        <w:sdt>
          <w:sdtPr>
            <w:tag w:val="_PLD_ec7e9f373a83410d886ebef444573eb8"/>
            <w:id w:val="17363"/>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7,920,892.90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6,923,322.18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服务费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2,952,494.79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2,098,665.58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物料消耗</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1,565,637.11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1,062,855.66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1,364,941.28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1,101,764.24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折旧及摊销</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1,007,839.05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884,078.08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t>水电汽费用</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564,074.05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245,084.60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r>
              <w:t>差旅费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color w:val="auto"/>
              </w:rPr>
            </w:pPr>
            <w:r>
              <w:rPr>
                <w:rFonts w:hint="default" w:ascii="Times New Roman" w:hAnsi="Times New Roman" w:cs="Times New Roman"/>
                <w:color w:val="auto"/>
              </w:rPr>
              <w:t> 329,704.43</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color w:val="auto"/>
              </w:rPr>
            </w:pPr>
            <w:r>
              <w:rPr>
                <w:rFonts w:hint="default" w:ascii="Times New Roman" w:hAnsi="Times New Roman" w:cs="Times New Roman"/>
                <w:color w:val="auto"/>
              </w:rPr>
              <w:t>126,715.14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szCs w:val="21"/>
                <w:lang w:eastAsia="zh-CN"/>
              </w:rPr>
            </w:pPr>
            <w:r>
              <w:rPr>
                <w:rFonts w:hint="eastAsia"/>
                <w:color w:val="auto"/>
                <w:szCs w:val="21"/>
                <w:lang w:val="en-US" w:eastAsia="zh-CN"/>
              </w:rPr>
              <w:t>合计</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15,705,583.61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12,442,485.48</w:t>
            </w:r>
          </w:p>
        </w:tc>
      </w:tr>
    </w:tbl>
    <w:p/>
    <w:p>
      <w:pPr>
        <w:rPr>
          <w:szCs w:val="21"/>
        </w:rPr>
      </w:pPr>
      <w:r>
        <w:rPr>
          <w:rFonts w:hint="eastAsia"/>
          <w:szCs w:val="21"/>
        </w:rPr>
        <w:t>其他说明：</w:t>
      </w:r>
    </w:p>
    <w:sdt>
      <w:sdtPr>
        <w:alias w:val="研发费用其他说明"/>
        <w:tag w:val="_GBC_da0db64d68d44b2fa6262eeadfe7c926"/>
        <w:id w:val="27528"/>
        <w:placeholder>
          <w:docPart w:val="GBC22222222222222222222222222222"/>
        </w:placeholder>
      </w:sdtPr>
      <w:sdtContent>
        <w:p>
          <w:r>
            <w:rPr>
              <w:rFonts w:hint="eastAsia"/>
              <w:lang w:eastAsia="zh-CN"/>
            </w:rPr>
            <w:t>无</w:t>
          </w:r>
        </w:p>
      </w:sdtContent>
    </w:sdt>
    <w:p/>
    <w:bookmarkEnd w:id="303"/>
    <w:bookmarkEnd w:id="304"/>
    <w:p>
      <w:pPr>
        <w:pStyle w:val="229"/>
        <w:numPr>
          <w:ilvl w:val="0"/>
          <w:numId w:val="71"/>
        </w:numPr>
        <w:tabs>
          <w:tab w:val="left" w:pos="504"/>
        </w:tabs>
        <w:rPr>
          <w:szCs w:val="21"/>
        </w:rPr>
      </w:pPr>
      <w:r>
        <w:rPr>
          <w:rFonts w:hint="eastAsia"/>
          <w:szCs w:val="21"/>
        </w:rPr>
        <w:t>财务费用</w:t>
      </w:r>
    </w:p>
    <w:sdt>
      <w:sdtPr>
        <w:alias w:val="是否适用：财务费用[双击切换]"/>
        <w:tag w:val="_GBC_7e467c6faebc402ab141f588df31680d"/>
        <w:id w:val="27529"/>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费用"/>
          <w:tag w:val="_GBC_adcf988d29cd43aba011ce1310eac264"/>
          <w:id w:val="275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275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3"/>
        <w:gridCol w:w="2351"/>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77e87dd3f474489b24bbaed00293d"/>
            <w:id w:val="27532"/>
          </w:sdtPr>
          <w:sdtContent>
            <w:tc>
              <w:tcPr>
                <w:tcW w:w="207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f64aa2e290ce4904a39347c56117acb7"/>
            <w:id w:val="27533"/>
          </w:sdtPr>
          <w:sdtContent>
            <w:tc>
              <w:tcPr>
                <w:tcW w:w="129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178c78585f7e495ebd86923cb8c24338"/>
            <w:id w:val="27534"/>
          </w:sdtPr>
          <w:sdtContent>
            <w:tc>
              <w:tcPr>
                <w:tcW w:w="1627"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pct"/>
            <w:tcBorders>
              <w:top w:val="single" w:color="auto" w:sz="4" w:space="0"/>
              <w:left w:val="single" w:color="auto" w:sz="4" w:space="0"/>
              <w:bottom w:val="single" w:color="auto" w:sz="4" w:space="0"/>
              <w:right w:val="single" w:color="auto" w:sz="4" w:space="0"/>
            </w:tcBorders>
            <w:shd w:val="clear" w:color="auto" w:fill="auto"/>
            <w:vAlign w:val="center"/>
          </w:tcPr>
          <w:p>
            <w:r>
              <w:t>利息支出</w:t>
            </w:r>
          </w:p>
        </w:tc>
        <w:tc>
          <w:tcPr>
            <w:tcW w:w="129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 1,740,963.59</w:t>
            </w:r>
          </w:p>
        </w:tc>
        <w:tc>
          <w:tcPr>
            <w:tcW w:w="1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1,409,582.62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pct"/>
            <w:tcBorders>
              <w:top w:val="single" w:color="auto" w:sz="4" w:space="0"/>
              <w:left w:val="single" w:color="auto" w:sz="4" w:space="0"/>
              <w:bottom w:val="single" w:color="auto" w:sz="4" w:space="0"/>
              <w:right w:val="single" w:color="auto" w:sz="4" w:space="0"/>
            </w:tcBorders>
            <w:shd w:val="clear" w:color="auto" w:fill="auto"/>
            <w:vAlign w:val="center"/>
          </w:tcPr>
          <w:p>
            <w:r>
              <w:t>减：利息收入</w:t>
            </w:r>
          </w:p>
        </w:tc>
        <w:tc>
          <w:tcPr>
            <w:tcW w:w="129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 38,022,884.12</w:t>
            </w:r>
          </w:p>
        </w:tc>
        <w:tc>
          <w:tcPr>
            <w:tcW w:w="1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39,268,653.80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pct"/>
            <w:tcBorders>
              <w:top w:val="single" w:color="auto" w:sz="4" w:space="0"/>
              <w:left w:val="single" w:color="auto" w:sz="4" w:space="0"/>
              <w:bottom w:val="single" w:color="auto" w:sz="4" w:space="0"/>
              <w:right w:val="single" w:color="auto" w:sz="4" w:space="0"/>
            </w:tcBorders>
            <w:shd w:val="clear" w:color="auto" w:fill="auto"/>
            <w:vAlign w:val="center"/>
          </w:tcPr>
          <w:p>
            <w:r>
              <w:t>汇兑损益</w:t>
            </w:r>
          </w:p>
        </w:tc>
        <w:tc>
          <w:tcPr>
            <w:tcW w:w="129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 -577,755.55</w:t>
            </w:r>
          </w:p>
        </w:tc>
        <w:tc>
          <w:tcPr>
            <w:tcW w:w="1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-1,439,353.29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pct"/>
            <w:tcBorders>
              <w:top w:val="single" w:color="auto" w:sz="4" w:space="0"/>
              <w:left w:val="single" w:color="auto" w:sz="4" w:space="0"/>
              <w:bottom w:val="single" w:color="auto" w:sz="4" w:space="0"/>
              <w:right w:val="single" w:color="auto" w:sz="4" w:space="0"/>
            </w:tcBorders>
            <w:shd w:val="clear" w:color="auto" w:fill="auto"/>
            <w:vAlign w:val="center"/>
          </w:tcPr>
          <w:p>
            <w:r>
              <w:t>银行手续费及其他</w:t>
            </w:r>
          </w:p>
        </w:tc>
        <w:tc>
          <w:tcPr>
            <w:tcW w:w="129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 131,794.73</w:t>
            </w:r>
          </w:p>
        </w:tc>
        <w:tc>
          <w:tcPr>
            <w:tcW w:w="1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235,542.07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tc>
          <w:tcPr>
            <w:tcW w:w="129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-36,727,881.35</w:t>
            </w:r>
          </w:p>
        </w:tc>
        <w:tc>
          <w:tcPr>
            <w:tcW w:w="1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-39,062,882.40</w:t>
            </w:r>
          </w:p>
        </w:tc>
      </w:tr>
    </w:tbl>
    <w:p/>
    <w:p>
      <w:pPr>
        <w:rPr>
          <w:szCs w:val="21"/>
        </w:rPr>
      </w:pPr>
      <w:r>
        <w:rPr>
          <w:rFonts w:hint="eastAsia"/>
          <w:szCs w:val="21"/>
        </w:rPr>
        <w:t>其他说明：</w:t>
      </w:r>
    </w:p>
    <w:sdt>
      <w:sdtPr>
        <w:rPr>
          <w:szCs w:val="21"/>
        </w:rPr>
        <w:alias w:val="财务费用的其他说明事项"/>
        <w:tag w:val="_GBC_ac6200ee95c7483d9ee9565f49369f9a"/>
        <w:id w:val="27535"/>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229"/>
        <w:numPr>
          <w:ilvl w:val="0"/>
          <w:numId w:val="71"/>
        </w:numPr>
        <w:tabs>
          <w:tab w:val="left" w:pos="504"/>
        </w:tabs>
      </w:pPr>
      <w:r>
        <w:rPr>
          <w:rFonts w:hint="eastAsia"/>
        </w:rPr>
        <w:t>其他收益</w:t>
      </w:r>
    </w:p>
    <w:sdt>
      <w:sdtPr>
        <w:rPr>
          <w:bCs/>
        </w:rPr>
        <w:alias w:val="是否适用：财务报表其他收益[双击切换]"/>
        <w:tag w:val="_GBC_24722ffac3b6474db1e1d7972d6e4a7b"/>
        <w:id w:val="27536"/>
        <w:placeholder>
          <w:docPart w:val="GBC22222222222222222222222222222"/>
        </w:placeholder>
      </w:sdtPr>
      <w:sdtEndPr>
        <w:rPr>
          <w:bCs/>
        </w:rPr>
      </w:sdtEnd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264"/>
        <w:ind w:left="420" w:firstLine="0" w:firstLineChars="0"/>
        <w:jc w:val="right"/>
        <w:rPr>
          <w:bCs/>
        </w:rPr>
      </w:pPr>
      <w:r>
        <w:rPr>
          <w:bCs/>
        </w:rPr>
        <w:t>单位：</w:t>
      </w:r>
      <w:sdt>
        <w:sdtPr>
          <w:rPr>
            <w:bCs/>
          </w:rPr>
          <w:alias w:val="单位：财务报表其他收益明细"/>
          <w:tag w:val="_GBC_74ea52f952324be7ab2c4c494ff673ce"/>
          <w:id w:val="275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 xml:space="preserve">  币种：</w:t>
      </w:r>
      <w:sdt>
        <w:sdtPr>
          <w:rPr>
            <w:bCs/>
          </w:rPr>
          <w:alias w:val="币种：财务报表其他收益明细"/>
          <w:tag w:val="_GBC_8360ed9b182a496c9b5d2220a414a4cb"/>
          <w:id w:val="27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1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f5d6dc8fe1463b8e0d41784241e311"/>
            <w:id w:val="5727"/>
          </w:sdtPr>
          <w:sdtContent>
            <w:tc>
              <w:tcPr>
                <w:tcW w:w="3016" w:type="dxa"/>
                <w:shd w:val="clear" w:color="auto" w:fill="auto"/>
              </w:tcPr>
              <w:p>
                <w:pPr>
                  <w:widowControl w:val="0"/>
                  <w:jc w:val="center"/>
                </w:pPr>
                <w:r>
                  <w:rPr>
                    <w:rFonts w:hint="eastAsia"/>
                  </w:rPr>
                  <w:t>按性质分类</w:t>
                </w:r>
              </w:p>
            </w:tc>
          </w:sdtContent>
        </w:sdt>
        <w:sdt>
          <w:sdtPr>
            <w:tag w:val="_PLD_2c34d48a6a534080943d2d340c325c15"/>
            <w:id w:val="5728"/>
          </w:sdtPr>
          <w:sdtContent>
            <w:tc>
              <w:tcPr>
                <w:tcW w:w="3016" w:type="dxa"/>
                <w:shd w:val="clear" w:color="auto" w:fill="auto"/>
              </w:tcPr>
              <w:p>
                <w:pPr>
                  <w:widowControl w:val="0"/>
                  <w:jc w:val="center"/>
                </w:pPr>
                <w:r>
                  <w:rPr>
                    <w:rFonts w:hint="eastAsia"/>
                  </w:rPr>
                  <w:t>本期发生额</w:t>
                </w:r>
              </w:p>
            </w:tc>
          </w:sdtContent>
        </w:sdt>
        <w:sdt>
          <w:sdtPr>
            <w:tag w:val="_PLD_1a2c9ed0a9704089897421e22b8696dd"/>
            <w:id w:val="5729"/>
          </w:sdtPr>
          <w:sdtContent>
            <w:tc>
              <w:tcPr>
                <w:tcW w:w="3017" w:type="dxa"/>
                <w:shd w:val="clear" w:color="auto" w:fill="auto"/>
              </w:tcPr>
              <w:p>
                <w:pPr>
                  <w:widowControl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增值税加计抵减</w:t>
            </w:r>
          </w:p>
        </w:tc>
        <w:tc>
          <w:tcPr>
            <w:tcW w:w="3016"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xml:space="preserve"> 4,009,911.36 </w:t>
            </w:r>
          </w:p>
        </w:tc>
        <w:tc>
          <w:tcPr>
            <w:tcW w:w="3017"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区级产业转型和科技创新引导资金</w:t>
            </w:r>
          </w:p>
        </w:tc>
        <w:tc>
          <w:tcPr>
            <w:tcW w:w="3016"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650,000.00</w:t>
            </w:r>
          </w:p>
        </w:tc>
        <w:tc>
          <w:tcPr>
            <w:tcW w:w="3017" w:type="dxa"/>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1,233,600.00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递延收益转入</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557,978.42 </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402,978.42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稳岗补贴资金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459,189.83</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582,435.63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企业新型学徒制培训补助资金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236,000.00</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扬州科技计划项目专项资金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200,000.00</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杭集高新区创新型经济发展专项引导资金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193,500.00</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308,900.00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扬州市中小企业发展专项资金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70,700.00</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300,000.00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市级技术改造专项资金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20,000.00</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616,100.00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企业创新平台奖</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省级工业和信息产业转型升级资金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150,000.00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管委会知识产权项目资金</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100,000.00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广告宣传及展会补助</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pPr>
            <w:r>
              <w:t>其他</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199,052.39</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182,296.84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widowControl w:val="0"/>
              <w:jc w:val="center"/>
            </w:pPr>
            <w:r>
              <w:rPr>
                <w:rFonts w:hint="eastAsia"/>
              </w:rPr>
              <w:t>合计</w:t>
            </w:r>
          </w:p>
        </w:tc>
        <w:tc>
          <w:tcPr>
            <w:tcW w:w="3016"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6,596,332.00</w:t>
            </w:r>
          </w:p>
        </w:tc>
        <w:tc>
          <w:tcPr>
            <w:tcW w:w="3017" w:type="dxa"/>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 4,278,310.89</w:t>
            </w:r>
          </w:p>
        </w:tc>
      </w:tr>
    </w:tbl>
    <w:p/>
    <w:p/>
    <w:p>
      <w:r>
        <w:rPr>
          <w:rFonts w:hint="eastAsia"/>
        </w:rPr>
        <w:t>其他说明：</w:t>
      </w:r>
    </w:p>
    <w:sdt>
      <w:sdtPr>
        <w:alias w:val="财务报表其他收益其他说明"/>
        <w:tag w:val="_GBC_4b4ba73a66704c609e7c6617d0fa6694"/>
        <w:id w:val="27542"/>
        <w:placeholder>
          <w:docPart w:val="GBC22222222222222222222222222222"/>
        </w:placeholder>
      </w:sdtPr>
      <w:sdtContent>
        <w:p>
          <w:r>
            <w:rPr>
              <w:rFonts w:hint="eastAsia"/>
              <w:lang w:eastAsia="zh-CN"/>
            </w:rPr>
            <w:t>无</w:t>
          </w:r>
        </w:p>
      </w:sdtContent>
    </w:sdt>
    <w:p/>
    <w:p>
      <w:pPr>
        <w:pStyle w:val="229"/>
        <w:numPr>
          <w:ilvl w:val="0"/>
          <w:numId w:val="71"/>
        </w:numPr>
        <w:tabs>
          <w:tab w:val="left" w:pos="504"/>
        </w:tabs>
        <w:rPr>
          <w:rFonts w:ascii="宋体" w:hAnsi="宋体"/>
          <w:szCs w:val="21"/>
          <w:highlight w:val="none"/>
        </w:rPr>
      </w:pPr>
      <w:bookmarkStart w:id="305" w:name="_Hlk11857276"/>
      <w:bookmarkEnd w:id="305"/>
      <w:bookmarkStart w:id="306" w:name="_Hlk24027658"/>
      <w:r>
        <w:rPr>
          <w:rFonts w:hint="eastAsia" w:ascii="宋体" w:hAnsi="宋体"/>
          <w:szCs w:val="21"/>
          <w:highlight w:val="none"/>
        </w:rPr>
        <w:t>投资收益</w:t>
      </w:r>
    </w:p>
    <w:sdt>
      <w:sdtPr>
        <w:alias w:val="是否适用：投资收益[双击切换]"/>
        <w:tag w:val="_GBC_f581223c46c2426aa46b9e88b6b47f4f"/>
        <w:id w:val="27543"/>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bookmarkStart w:id="307"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27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275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07"/>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6"/>
        <w:gridCol w:w="2399"/>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1"/>
              <w:szCs w:val="21"/>
            </w:rPr>
            <w:tag w:val="_PLD_998e1ec79cfc4df397c6fa0a751f3489"/>
            <w:id w:val="20118"/>
          </w:sdtPr>
          <w:sdtEndPr>
            <w:rPr>
              <w:sz w:val="21"/>
              <w:szCs w:val="21"/>
            </w:rPr>
          </w:sdtEndPr>
          <w:sdtContent>
            <w:tc>
              <w:tcPr>
                <w:tcW w:w="2180" w:type="pct"/>
                <w:vAlign w:val="center"/>
              </w:tcPr>
              <w:p>
                <w:pPr>
                  <w:ind w:left="420" w:hanging="420"/>
                  <w:jc w:val="center"/>
                  <w:rPr>
                    <w:sz w:val="21"/>
                    <w:szCs w:val="21"/>
                  </w:rPr>
                </w:pPr>
                <w:r>
                  <w:rPr>
                    <w:rFonts w:hint="eastAsia"/>
                    <w:sz w:val="21"/>
                    <w:szCs w:val="21"/>
                  </w:rPr>
                  <w:t>项目</w:t>
                </w:r>
              </w:p>
            </w:tc>
          </w:sdtContent>
        </w:sdt>
        <w:sdt>
          <w:sdtPr>
            <w:rPr>
              <w:sz w:val="21"/>
              <w:szCs w:val="21"/>
            </w:rPr>
            <w:tag w:val="_PLD_239208f1271348119306f77c15ab0ec0"/>
            <w:id w:val="20119"/>
          </w:sdtPr>
          <w:sdtEndPr>
            <w:rPr>
              <w:sz w:val="21"/>
              <w:szCs w:val="21"/>
            </w:rPr>
          </w:sdtEndPr>
          <w:sdtContent>
            <w:tc>
              <w:tcPr>
                <w:tcW w:w="1325" w:type="pct"/>
                <w:vAlign w:val="center"/>
              </w:tcPr>
              <w:p>
                <w:pPr>
                  <w:jc w:val="center"/>
                  <w:rPr>
                    <w:sz w:val="21"/>
                    <w:szCs w:val="21"/>
                  </w:rPr>
                </w:pPr>
                <w:r>
                  <w:rPr>
                    <w:rFonts w:hint="eastAsia"/>
                    <w:sz w:val="21"/>
                    <w:szCs w:val="21"/>
                  </w:rPr>
                  <w:t>本期发生额</w:t>
                </w:r>
              </w:p>
            </w:tc>
          </w:sdtContent>
        </w:sdt>
        <w:sdt>
          <w:sdtPr>
            <w:rPr>
              <w:sz w:val="21"/>
              <w:szCs w:val="21"/>
            </w:rPr>
            <w:tag w:val="_PLD_c548c34a5b7b4e3eb5536d1408d6cc7b"/>
            <w:id w:val="20120"/>
          </w:sdtPr>
          <w:sdtEndPr>
            <w:rPr>
              <w:sz w:val="21"/>
              <w:szCs w:val="21"/>
            </w:rPr>
          </w:sdtEndPr>
          <w:sdtContent>
            <w:tc>
              <w:tcPr>
                <w:tcW w:w="1494" w:type="pct"/>
                <w:vAlign w:val="center"/>
              </w:tcPr>
              <w:p>
                <w:pPr>
                  <w:jc w:val="center"/>
                  <w:rPr>
                    <w:sz w:val="21"/>
                    <w:szCs w:val="21"/>
                  </w:rPr>
                </w:pPr>
                <w:r>
                  <w:rPr>
                    <w:rFonts w:hint="eastAsia"/>
                    <w:sz w:val="21"/>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权益法核算的长期股权投资收益</w:t>
            </w:r>
          </w:p>
        </w:tc>
        <w:tc>
          <w:tcPr>
            <w:tcW w:w="1325" w:type="pct"/>
          </w:tcPr>
          <w:p>
            <w:pPr>
              <w:jc w:val="right"/>
              <w:rPr>
                <w:sz w:val="21"/>
                <w:szCs w:val="21"/>
              </w:rPr>
            </w:pPr>
          </w:p>
        </w:tc>
        <w:tc>
          <w:tcPr>
            <w:tcW w:w="1494" w:type="pct"/>
          </w:tcPr>
          <w:p>
            <w:pPr>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处置长期股权投资产生的投资收益</w:t>
            </w:r>
          </w:p>
        </w:tc>
        <w:tc>
          <w:tcPr>
            <w:tcW w:w="1325" w:type="pct"/>
          </w:tcPr>
          <w:p>
            <w:pPr>
              <w:jc w:val="right"/>
              <w:rPr>
                <w:rFonts w:hint="eastAsia"/>
                <w:sz w:val="21"/>
                <w:szCs w:val="21"/>
              </w:rPr>
            </w:pPr>
          </w:p>
        </w:tc>
        <w:tc>
          <w:tcPr>
            <w:tcW w:w="1494" w:type="pct"/>
          </w:tcPr>
          <w:p>
            <w:pPr>
              <w:jc w:val="right"/>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交易性金融资产在持有期间的投资收益</w:t>
            </w:r>
          </w:p>
        </w:tc>
        <w:tc>
          <w:tcPr>
            <w:tcW w:w="1325" w:type="pct"/>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4,899,025.82</w:t>
            </w:r>
          </w:p>
        </w:tc>
        <w:tc>
          <w:tcPr>
            <w:tcW w:w="1494" w:type="pct"/>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5,425,566.80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其他权益工具投资在持有期间取得的股利收入</w:t>
            </w:r>
          </w:p>
        </w:tc>
        <w:tc>
          <w:tcPr>
            <w:tcW w:w="1325"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16,200,000.00</w:t>
            </w:r>
          </w:p>
        </w:tc>
        <w:tc>
          <w:tcPr>
            <w:tcW w:w="1494"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13,860,000.00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债权投资在持有期间取得的利息收入</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0" w:type="pct"/>
          </w:tcPr>
          <w:p>
            <w:pPr>
              <w:rPr>
                <w:sz w:val="21"/>
                <w:szCs w:val="21"/>
              </w:rPr>
            </w:pPr>
            <w:r>
              <w:rPr>
                <w:rFonts w:hint="eastAsia"/>
                <w:sz w:val="21"/>
                <w:szCs w:val="21"/>
              </w:rPr>
              <w:t>其他债权投资在持有期间取得的利息收入</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处置交易性金融资产取得的投资收益</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r>
              <w:rPr>
                <w:rFonts w:hint="eastAsia" w:ascii="Times New Roman" w:hAnsi="Times New Roman" w:cs="Times New Roman"/>
                <w:sz w:val="21"/>
                <w:szCs w:val="21"/>
                <w:lang w:val="en-US" w:eastAsia="zh-CN"/>
              </w:rPr>
              <w:t>271,806.34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处置其他权益工具投资取得的投资收益</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处置债权投资取得的投资收益</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处置其他债权投资取得的投资收益</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tcPr>
          <w:p>
            <w:pPr>
              <w:rPr>
                <w:sz w:val="21"/>
                <w:szCs w:val="21"/>
              </w:rPr>
            </w:pPr>
            <w:r>
              <w:rPr>
                <w:rFonts w:hint="eastAsia"/>
                <w:sz w:val="21"/>
                <w:szCs w:val="21"/>
              </w:rPr>
              <w:t>债务重组收益</w:t>
            </w:r>
          </w:p>
        </w:tc>
        <w:tc>
          <w:tcPr>
            <w:tcW w:w="1325" w:type="pct"/>
            <w:vAlign w:val="center"/>
          </w:tcPr>
          <w:p>
            <w:pPr>
              <w:jc w:val="right"/>
              <w:rPr>
                <w:rFonts w:hint="default" w:ascii="Times New Roman" w:hAnsi="Times New Roman" w:cs="Times New Roman"/>
                <w:sz w:val="21"/>
                <w:szCs w:val="21"/>
              </w:rPr>
            </w:pPr>
          </w:p>
        </w:tc>
        <w:tc>
          <w:tcPr>
            <w:tcW w:w="1494"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pct"/>
            <w:vAlign w:val="center"/>
          </w:tcPr>
          <w:p>
            <w:pPr>
              <w:jc w:val="center"/>
              <w:rPr>
                <w:sz w:val="21"/>
                <w:szCs w:val="21"/>
              </w:rPr>
            </w:pPr>
            <w:r>
              <w:rPr>
                <w:rFonts w:hint="eastAsia"/>
                <w:sz w:val="21"/>
                <w:szCs w:val="21"/>
              </w:rPr>
              <w:t>合计</w:t>
            </w:r>
          </w:p>
        </w:tc>
        <w:tc>
          <w:tcPr>
            <w:tcW w:w="1325"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21,099,025.82</w:t>
            </w:r>
          </w:p>
        </w:tc>
        <w:tc>
          <w:tcPr>
            <w:tcW w:w="1494" w:type="pct"/>
            <w:vAlign w:val="center"/>
          </w:tcPr>
          <w:p>
            <w:pPr>
              <w:jc w:val="righ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19,557,373.14</w:t>
            </w:r>
          </w:p>
        </w:tc>
      </w:tr>
    </w:tbl>
    <w:p/>
    <w:p/>
    <w:p>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27549"/>
        <w:placeholder>
          <w:docPart w:val="GBC22222222222222222222222222222"/>
        </w:placeholder>
      </w:sdtPr>
      <w:sdtEndPr>
        <w:rPr>
          <w:rFonts w:hint="eastAsia"/>
          <w:szCs w:val="21"/>
        </w:rPr>
      </w:sdtEndPr>
      <w:sdtContent>
        <w:p>
          <w:pPr>
            <w:pStyle w:val="229"/>
            <w:keepNext w:val="0"/>
            <w:keepLines w:val="0"/>
            <w:tabs>
              <w:tab w:val="left" w:pos="504"/>
            </w:tabs>
            <w:spacing w:before="0" w:after="0" w:line="480" w:lineRule="exact"/>
            <w:ind w:left="482"/>
            <w:rPr>
              <w:rFonts w:ascii="Times New Roman" w:hAnsi="Times New Roman" w:eastAsia="宋体" w:cs="Times New Roman"/>
              <w:b w:val="0"/>
              <w:bCs w:val="0"/>
              <w:color w:val="000000"/>
              <w:szCs w:val="24"/>
            </w:rPr>
          </w:pPr>
          <w:r>
            <w:rPr>
              <w:rFonts w:hint="eastAsia" w:ascii="Times New Roman" w:hAnsi="Times New Roman" w:eastAsia="宋体" w:cs="Times New Roman"/>
              <w:b w:val="0"/>
              <w:bCs w:val="0"/>
              <w:szCs w:val="21"/>
            </w:rPr>
            <w:t>交</w:t>
          </w:r>
          <w:r>
            <w:rPr>
              <w:rFonts w:hint="eastAsia" w:ascii="Times New Roman" w:hAnsi="Times New Roman" w:eastAsia="宋体" w:cs="Times New Roman"/>
              <w:b w:val="0"/>
              <w:bCs w:val="0"/>
              <w:color w:val="000000"/>
              <w:szCs w:val="24"/>
            </w:rPr>
            <w:t>易性金融资产持有期间的投资收益</w:t>
          </w:r>
        </w:p>
        <w:tbl>
          <w:tblPr>
            <w:tblStyle w:val="125"/>
            <w:tblW w:w="4712"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546"/>
            <w:gridCol w:w="298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251" w:type="pct"/>
                <w:shd w:val="clear" w:color="auto" w:fill="auto"/>
                <w:vAlign w:val="center"/>
              </w:tcPr>
              <w:p>
                <w:pPr>
                  <w:jc w:val="center"/>
                  <w:rPr>
                    <w:rFonts w:ascii="宋体" w:hAnsi="宋体" w:eastAsia="宋体" w:cs="宋体"/>
                  </w:rPr>
                </w:pPr>
                <w:r>
                  <w:rPr>
                    <w:rFonts w:ascii="宋体" w:hAnsi="宋体" w:eastAsia="宋体" w:cs="宋体"/>
                  </w:rPr>
                  <w:t>项目</w:t>
                </w:r>
              </w:p>
            </w:tc>
            <w:tc>
              <w:tcPr>
                <w:tcW w:w="1748" w:type="pct"/>
                <w:shd w:val="clear" w:color="auto" w:fill="auto"/>
                <w:vAlign w:val="center"/>
              </w:tcPr>
              <w:p>
                <w:pPr>
                  <w:jc w:val="center"/>
                  <w:rPr>
                    <w:rFonts w:ascii="宋体" w:hAnsi="宋体" w:eastAsia="宋体" w:cs="宋体"/>
                  </w:rPr>
                </w:pPr>
                <w:r>
                  <w:rPr>
                    <w:rFonts w:ascii="宋体" w:hAnsi="宋体" w:eastAsia="宋体" w:cs="宋体"/>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rPr>
                    <w:rFonts w:ascii="宋体" w:hAnsi="宋体" w:eastAsia="宋体" w:cs="宋体"/>
                  </w:rPr>
                </w:pPr>
                <w:r>
                  <w:rPr>
                    <w:rFonts w:hint="eastAsia" w:ascii="宋体" w:hAnsi="宋体" w:eastAsia="宋体" w:cs="宋体"/>
                  </w:rPr>
                  <w:t>交通银行</w:t>
                </w:r>
                <w:r>
                  <w:rPr>
                    <w:rFonts w:hint="eastAsia" w:ascii="Times New Roman" w:hAnsi="Times New Roman" w:eastAsia="宋体" w:cs="宋体"/>
                  </w:rPr>
                  <w:t>A</w:t>
                </w:r>
                <w:r>
                  <w:rPr>
                    <w:rFonts w:hint="eastAsia" w:ascii="宋体" w:hAnsi="宋体" w:eastAsia="宋体" w:cs="宋体"/>
                  </w:rPr>
                  <w:t>股红利</w:t>
                </w:r>
              </w:p>
            </w:tc>
            <w:tc>
              <w:tcPr>
                <w:tcW w:w="1748" w:type="pct"/>
                <w:shd w:val="clear" w:color="auto" w:fill="auto"/>
                <w:vAlign w:val="center"/>
              </w:tcPr>
              <w:p>
                <w:pPr>
                  <w:jc w:val="right"/>
                  <w:rPr>
                    <w:rFonts w:hint="eastAsia" w:ascii="Times New Roman" w:hAnsi="Times New Roman" w:eastAsia="宋体" w:cs="宋体"/>
                    <w:color w:val="000000"/>
                    <w:szCs w:val="18"/>
                    <w:lang w:eastAsia="zh-CN"/>
                  </w:rPr>
                </w:pPr>
                <w:r>
                  <w:rPr>
                    <w:rFonts w:hint="eastAsia" w:ascii="Times New Roman" w:hAnsi="Times New Roman" w:eastAsia="宋体" w:cs="宋体"/>
                    <w:color w:val="000000"/>
                    <w:szCs w:val="18"/>
                    <w:lang w:eastAsia="zh-CN"/>
                  </w:rPr>
                  <w:t>19,228.52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rPr>
                    <w:rFonts w:ascii="宋体" w:hAnsi="宋体" w:eastAsia="宋体" w:cs="宋体"/>
                  </w:rPr>
                </w:pPr>
                <w:r>
                  <w:rPr>
                    <w:rFonts w:hint="eastAsia" w:ascii="宋体" w:hAnsi="宋体" w:eastAsia="宋体" w:cs="宋体"/>
                  </w:rPr>
                  <w:t>中信证券</w:t>
                </w:r>
                <w:r>
                  <w:rPr>
                    <w:rFonts w:hint="eastAsia" w:ascii="Times New Roman" w:hAnsi="Times New Roman" w:eastAsia="宋体" w:cs="宋体"/>
                  </w:rPr>
                  <w:t>A</w:t>
                </w:r>
                <w:r>
                  <w:rPr>
                    <w:rFonts w:hint="eastAsia" w:ascii="宋体" w:hAnsi="宋体" w:eastAsia="宋体" w:cs="宋体"/>
                  </w:rPr>
                  <w:t>股红利</w:t>
                </w:r>
              </w:p>
            </w:tc>
            <w:tc>
              <w:tcPr>
                <w:tcW w:w="1748" w:type="pct"/>
                <w:shd w:val="clear" w:color="auto" w:fill="auto"/>
                <w:vAlign w:val="center"/>
              </w:tcPr>
              <w:p>
                <w:pPr>
                  <w:jc w:val="right"/>
                  <w:rPr>
                    <w:rFonts w:hint="eastAsia" w:ascii="Times New Roman" w:hAnsi="Times New Roman" w:eastAsia="宋体" w:cs="宋体"/>
                    <w:color w:val="000000"/>
                    <w:szCs w:val="18"/>
                    <w:lang w:eastAsia="zh-CN"/>
                  </w:rPr>
                </w:pPr>
                <w:r>
                  <w:rPr>
                    <w:rFonts w:hint="eastAsia" w:ascii="Times New Roman" w:hAnsi="Times New Roman" w:eastAsia="宋体" w:cs="宋体"/>
                    <w:color w:val="000000"/>
                    <w:szCs w:val="18"/>
                    <w:lang w:eastAsia="zh-CN"/>
                  </w:rPr>
                  <w:t>4,879,797.30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jc w:val="center"/>
                  <w:rPr>
                    <w:rFonts w:ascii="Times New Roman" w:hAnsi="Times New Roman" w:eastAsia="宋体" w:cs="宋体"/>
                    <w:color w:val="000000"/>
                    <w:szCs w:val="18"/>
                  </w:rPr>
                </w:pPr>
                <w:r>
                  <w:rPr>
                    <w:rFonts w:hint="eastAsia" w:ascii="宋体" w:hAnsi="宋体" w:eastAsia="宋体" w:cs="宋体"/>
                  </w:rPr>
                  <w:t>合计</w:t>
                </w:r>
              </w:p>
            </w:tc>
            <w:tc>
              <w:tcPr>
                <w:tcW w:w="1748" w:type="pct"/>
                <w:shd w:val="clear" w:color="auto" w:fill="auto"/>
                <w:vAlign w:val="center"/>
              </w:tcPr>
              <w:p>
                <w:pPr>
                  <w:jc w:val="right"/>
                  <w:rPr>
                    <w:rFonts w:hint="eastAsia" w:ascii="Times New Roman" w:hAnsi="Times New Roman" w:eastAsia="宋体" w:cs="宋体"/>
                    <w:color w:val="000000"/>
                    <w:szCs w:val="18"/>
                    <w:lang w:eastAsia="zh-CN"/>
                  </w:rPr>
                </w:pPr>
                <w:r>
                  <w:rPr>
                    <w:rFonts w:hint="eastAsia" w:ascii="Times New Roman" w:hAnsi="Times New Roman" w:eastAsia="宋体" w:cs="宋体"/>
                    <w:color w:val="000000"/>
                    <w:szCs w:val="18"/>
                    <w:lang w:eastAsia="zh-CN"/>
                  </w:rPr>
                  <w:t>4</w:t>
                </w:r>
                <w:r>
                  <w:rPr>
                    <w:rFonts w:hint="eastAsia" w:ascii="Times New Roman" w:hAnsi="Times New Roman" w:cs="宋体"/>
                    <w:color w:val="000000"/>
                    <w:szCs w:val="18"/>
                    <w:lang w:val="en-US" w:eastAsia="zh-CN"/>
                  </w:rPr>
                  <w:t>,</w:t>
                </w:r>
                <w:r>
                  <w:rPr>
                    <w:rFonts w:hint="eastAsia" w:ascii="Times New Roman" w:hAnsi="Times New Roman" w:eastAsia="宋体" w:cs="宋体"/>
                    <w:color w:val="000000"/>
                    <w:szCs w:val="18"/>
                    <w:lang w:eastAsia="zh-CN"/>
                  </w:rPr>
                  <w:t>899</w:t>
                </w:r>
                <w:r>
                  <w:rPr>
                    <w:rFonts w:hint="eastAsia" w:ascii="Times New Roman" w:hAnsi="Times New Roman" w:cs="宋体"/>
                    <w:color w:val="000000"/>
                    <w:szCs w:val="18"/>
                    <w:lang w:val="en-US" w:eastAsia="zh-CN"/>
                  </w:rPr>
                  <w:t>,</w:t>
                </w:r>
                <w:r>
                  <w:rPr>
                    <w:rFonts w:hint="eastAsia" w:ascii="Times New Roman" w:hAnsi="Times New Roman" w:eastAsia="宋体" w:cs="宋体"/>
                    <w:color w:val="000000"/>
                    <w:szCs w:val="18"/>
                    <w:lang w:eastAsia="zh-CN"/>
                  </w:rPr>
                  <w:t>025.82</w:t>
                </w:r>
              </w:p>
            </w:tc>
          </w:tr>
        </w:tbl>
        <w:p>
          <w:pPr>
            <w:autoSpaceDE w:val="0"/>
            <w:autoSpaceDN w:val="0"/>
            <w:adjustRightInd w:val="0"/>
            <w:rPr>
              <w:szCs w:val="21"/>
            </w:rPr>
          </w:pPr>
        </w:p>
      </w:sdtContent>
    </w:sdt>
    <w:p>
      <w:pPr>
        <w:keepNext w:val="0"/>
        <w:keepLines w:val="0"/>
        <w:widowControl w:val="0"/>
        <w:tabs>
          <w:tab w:val="left" w:pos="504"/>
        </w:tabs>
        <w:spacing w:before="0" w:after="0" w:line="400" w:lineRule="exact"/>
        <w:ind w:left="482"/>
        <w:jc w:val="both"/>
        <w:outlineLvl w:val="2"/>
        <w:rPr>
          <w:rFonts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其他权益工具投资持有期间的股利收入</w:t>
      </w:r>
    </w:p>
    <w:tbl>
      <w:tblPr>
        <w:tblStyle w:val="125"/>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638"/>
        <w:gridCol w:w="341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115" w:type="pct"/>
            <w:shd w:val="clear" w:color="auto" w:fill="auto"/>
            <w:vAlign w:val="center"/>
          </w:tcPr>
          <w:p>
            <w:pPr>
              <w:widowControl w:val="0"/>
              <w:tabs>
                <w:tab w:val="left" w:pos="196"/>
                <w:tab w:val="left" w:pos="426"/>
              </w:tabs>
              <w:snapToGrid w:val="0"/>
              <w:jc w:val="center"/>
              <w:rPr>
                <w:rFonts w:ascii="Times New Roman" w:hAnsi="Times New Roman" w:eastAsia="宋体" w:cs="宋体"/>
                <w:szCs w:val="18"/>
              </w:rPr>
            </w:pPr>
            <w:r>
              <w:rPr>
                <w:rFonts w:ascii="Times New Roman" w:hAnsi="Times New Roman" w:eastAsia="宋体" w:cs="宋体"/>
                <w:szCs w:val="18"/>
              </w:rPr>
              <w:t>项目</w:t>
            </w:r>
          </w:p>
        </w:tc>
        <w:tc>
          <w:tcPr>
            <w:tcW w:w="1885" w:type="pct"/>
            <w:shd w:val="clear" w:color="auto" w:fill="auto"/>
            <w:vAlign w:val="center"/>
          </w:tcPr>
          <w:p>
            <w:pPr>
              <w:widowControl w:val="0"/>
              <w:tabs>
                <w:tab w:val="left" w:pos="196"/>
                <w:tab w:val="left" w:pos="426"/>
              </w:tabs>
              <w:snapToGrid w:val="0"/>
              <w:jc w:val="center"/>
              <w:rPr>
                <w:rFonts w:ascii="Times New Roman" w:hAnsi="Times New Roman" w:eastAsia="宋体" w:cs="宋体"/>
                <w:szCs w:val="18"/>
              </w:rPr>
            </w:pPr>
            <w:r>
              <w:rPr>
                <w:rFonts w:ascii="Times New Roman" w:hAnsi="Times New Roman" w:eastAsia="宋体" w:cs="宋体"/>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widowControl w:val="0"/>
              <w:rPr>
                <w:rFonts w:ascii="Times New Roman" w:hAnsi="Times New Roman" w:eastAsia="宋体" w:cs="宋体"/>
                <w:color w:val="000000"/>
                <w:szCs w:val="18"/>
              </w:rPr>
            </w:pPr>
            <w:r>
              <w:rPr>
                <w:rFonts w:hint="eastAsia" w:ascii="Times New Roman" w:hAnsi="Times New Roman" w:eastAsia="宋体" w:cs="宋体"/>
                <w:color w:val="000000"/>
                <w:szCs w:val="18"/>
              </w:rPr>
              <w:t>广西北部湾银行股份有限公司</w:t>
            </w:r>
          </w:p>
        </w:tc>
        <w:tc>
          <w:tcPr>
            <w:tcW w:w="1885" w:type="pct"/>
            <w:shd w:val="clear" w:color="auto" w:fill="auto"/>
            <w:vAlign w:val="center"/>
          </w:tcPr>
          <w:p>
            <w:pPr>
              <w:widowControl w:val="0"/>
              <w:jc w:val="right"/>
              <w:rPr>
                <w:rFonts w:hint="eastAsia" w:ascii="Times New Roman" w:hAnsi="Times New Roman" w:eastAsia="宋体" w:cs="宋体"/>
                <w:color w:val="000000"/>
                <w:szCs w:val="18"/>
                <w:lang w:eastAsia="zh-CN"/>
              </w:rPr>
            </w:pPr>
            <w:r>
              <w:rPr>
                <w:rFonts w:hint="eastAsia" w:ascii="Times New Roman" w:hAnsi="Times New Roman" w:eastAsia="宋体" w:cs="宋体"/>
                <w:color w:val="000000"/>
                <w:szCs w:val="18"/>
                <w:lang w:eastAsia="zh-CN"/>
              </w:rPr>
              <w:t>15,400,000.00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widowControl w:val="0"/>
              <w:rPr>
                <w:rFonts w:hint="eastAsia" w:ascii="Times New Roman" w:hAnsi="Times New Roman" w:eastAsia="宋体" w:cs="宋体"/>
                <w:color w:val="000000"/>
                <w:szCs w:val="18"/>
              </w:rPr>
            </w:pPr>
            <w:r>
              <w:rPr>
                <w:rFonts w:hint="eastAsia" w:ascii="Times New Roman" w:hAnsi="Times New Roman" w:eastAsia="宋体" w:cs="宋体"/>
                <w:color w:val="000000"/>
                <w:szCs w:val="18"/>
              </w:rPr>
              <w:t>柳州银行股份有限公司</w:t>
            </w:r>
          </w:p>
        </w:tc>
        <w:tc>
          <w:tcPr>
            <w:tcW w:w="1885" w:type="pct"/>
            <w:shd w:val="clear" w:color="auto" w:fill="auto"/>
            <w:vAlign w:val="center"/>
          </w:tcPr>
          <w:p>
            <w:pPr>
              <w:widowControl w:val="0"/>
              <w:jc w:val="right"/>
              <w:rPr>
                <w:rFonts w:hint="eastAsia" w:ascii="Times New Roman" w:hAnsi="Times New Roman" w:eastAsia="宋体" w:cs="宋体"/>
                <w:color w:val="000000"/>
                <w:szCs w:val="18"/>
                <w:lang w:eastAsia="zh-CN"/>
              </w:rPr>
            </w:pPr>
            <w:r>
              <w:rPr>
                <w:rFonts w:hint="eastAsia" w:ascii="Times New Roman" w:hAnsi="Times New Roman" w:eastAsia="宋体" w:cs="宋体"/>
                <w:color w:val="000000"/>
                <w:szCs w:val="18"/>
                <w:lang w:eastAsia="zh-CN"/>
              </w:rPr>
              <w:t>800,000.00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widowControl w:val="0"/>
              <w:jc w:val="center"/>
              <w:rPr>
                <w:rFonts w:ascii="Times New Roman" w:hAnsi="Times New Roman" w:eastAsia="宋体" w:cs="宋体"/>
                <w:color w:val="000000"/>
                <w:szCs w:val="18"/>
              </w:rPr>
            </w:pPr>
            <w:r>
              <w:rPr>
                <w:rFonts w:hint="eastAsia" w:ascii="Times New Roman" w:hAnsi="Times New Roman" w:eastAsia="宋体" w:cs="宋体"/>
                <w:color w:val="000000"/>
                <w:szCs w:val="18"/>
              </w:rPr>
              <w:t>合计</w:t>
            </w:r>
          </w:p>
        </w:tc>
        <w:tc>
          <w:tcPr>
            <w:tcW w:w="1885" w:type="pct"/>
            <w:shd w:val="clear" w:color="auto" w:fill="auto"/>
            <w:vAlign w:val="center"/>
          </w:tcPr>
          <w:p>
            <w:pPr>
              <w:widowControl w:val="0"/>
              <w:jc w:val="right"/>
              <w:rPr>
                <w:rFonts w:hint="default" w:ascii="Times New Roman" w:hAnsi="Times New Roman" w:eastAsia="宋体" w:cs="宋体"/>
                <w:color w:val="000000"/>
                <w:szCs w:val="18"/>
                <w:lang w:val="en-US" w:eastAsia="zh-CN"/>
              </w:rPr>
            </w:pPr>
            <w:r>
              <w:rPr>
                <w:rFonts w:hint="eastAsia" w:ascii="Times New Roman" w:hAnsi="Times New Roman" w:eastAsia="宋体" w:cs="宋体"/>
                <w:color w:val="000000"/>
                <w:szCs w:val="18"/>
                <w:lang w:eastAsia="zh-CN"/>
              </w:rPr>
              <w:t>16</w:t>
            </w:r>
            <w:r>
              <w:rPr>
                <w:rFonts w:hint="eastAsia" w:ascii="Times New Roman" w:hAnsi="Times New Roman" w:cs="宋体"/>
                <w:color w:val="000000"/>
                <w:szCs w:val="18"/>
                <w:lang w:val="en-US" w:eastAsia="zh-CN"/>
              </w:rPr>
              <w:t>,</w:t>
            </w:r>
            <w:r>
              <w:rPr>
                <w:rFonts w:hint="eastAsia" w:ascii="Times New Roman" w:hAnsi="Times New Roman" w:eastAsia="宋体" w:cs="宋体"/>
                <w:color w:val="000000"/>
                <w:szCs w:val="18"/>
                <w:lang w:eastAsia="zh-CN"/>
              </w:rPr>
              <w:t>200</w:t>
            </w:r>
            <w:r>
              <w:rPr>
                <w:rFonts w:hint="eastAsia" w:ascii="Times New Roman" w:hAnsi="Times New Roman" w:cs="宋体"/>
                <w:color w:val="000000"/>
                <w:szCs w:val="18"/>
                <w:lang w:val="en-US" w:eastAsia="zh-CN"/>
              </w:rPr>
              <w:t>,</w:t>
            </w:r>
            <w:r>
              <w:rPr>
                <w:rFonts w:hint="eastAsia" w:ascii="Times New Roman" w:hAnsi="Times New Roman" w:eastAsia="宋体" w:cs="宋体"/>
                <w:color w:val="000000"/>
                <w:szCs w:val="18"/>
                <w:lang w:eastAsia="zh-CN"/>
              </w:rPr>
              <w:t>000</w:t>
            </w:r>
            <w:r>
              <w:rPr>
                <w:rFonts w:hint="eastAsia" w:ascii="Times New Roman" w:hAnsi="Times New Roman" w:cs="宋体"/>
                <w:color w:val="000000"/>
                <w:szCs w:val="18"/>
                <w:lang w:val="en-US" w:eastAsia="zh-CN"/>
              </w:rPr>
              <w:t>.0</w:t>
            </w:r>
          </w:p>
        </w:tc>
      </w:tr>
    </w:tbl>
    <w:p>
      <w:pPr>
        <w:autoSpaceDE w:val="0"/>
        <w:autoSpaceDN w:val="0"/>
        <w:adjustRightInd w:val="0"/>
        <w:rPr>
          <w:szCs w:val="21"/>
        </w:rPr>
      </w:pPr>
    </w:p>
    <w:bookmarkEnd w:id="306"/>
    <w:p>
      <w:pPr>
        <w:pStyle w:val="229"/>
        <w:numPr>
          <w:ilvl w:val="0"/>
          <w:numId w:val="71"/>
        </w:numPr>
        <w:tabs>
          <w:tab w:val="left" w:pos="504"/>
        </w:tabs>
        <w:rPr>
          <w:szCs w:val="21"/>
        </w:rPr>
      </w:pPr>
      <w:r>
        <w:rPr>
          <w:rFonts w:hint="eastAsia"/>
          <w:szCs w:val="21"/>
        </w:rPr>
        <w:t>净敞口套期收益</w:t>
      </w:r>
    </w:p>
    <w:sdt>
      <w:sdtPr>
        <w:alias w:val="是否适用：净敞口套期收益[双击切换]"/>
        <w:tag w:val="_GBC_0b9c0635e78547e1b23b27daf08672cd"/>
        <w:id w:val="27550"/>
        <w:placeholder>
          <w:docPart w:val="GBC22222222222222222222222222222"/>
        </w:placeholder>
      </w:sdtPr>
      <w:sdtContent>
        <w:p>
          <w:pPr>
            <w:autoSpaceDE w:val="0"/>
            <w:autoSpaceDN w:val="0"/>
            <w:adjustRightInd w:val="0"/>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rPr>
          <w:szCs w:val="21"/>
        </w:rPr>
      </w:pPr>
    </w:p>
    <w:p>
      <w:pPr>
        <w:pStyle w:val="229"/>
        <w:numPr>
          <w:ilvl w:val="0"/>
          <w:numId w:val="71"/>
        </w:numPr>
        <w:tabs>
          <w:tab w:val="left" w:pos="504"/>
        </w:tabs>
        <w:rPr>
          <w:rFonts w:ascii="宋体" w:hAnsi="宋体"/>
          <w:szCs w:val="21"/>
        </w:rPr>
      </w:pPr>
      <w:bookmarkStart w:id="308" w:name="_Hlk534895224"/>
      <w:r>
        <w:rPr>
          <w:rFonts w:hint="eastAsia" w:ascii="宋体" w:hAnsi="宋体"/>
          <w:szCs w:val="21"/>
        </w:rPr>
        <w:t>公允价值变动收益</w:t>
      </w:r>
    </w:p>
    <w:sdt>
      <w:sdtPr>
        <w:alias w:val="是否适用：公允价值变动收益[双击切换]"/>
        <w:tag w:val="_GBC_703e46a239ba45afa37afdd4dcae0cb4"/>
        <w:id w:val="2755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公允价值变动收益"/>
          <w:tag w:val="_GBC_c4e1118ffbdf4d6f90815a9b487cc79b"/>
          <w:id w:val="275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275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825"/>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9a92135b46440eb6d0daa39f0ec40f"/>
            <w:id w:val="27554"/>
          </w:sdt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27555"/>
          </w:sdtPr>
          <w:sdtContent>
            <w:tc>
              <w:tcPr>
                <w:tcW w:w="156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1ebddc94af9345a99e7800415f9811c7"/>
            <w:id w:val="27556"/>
          </w:sdtPr>
          <w:sdtContent>
            <w:tc>
              <w:tcPr>
                <w:tcW w:w="156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交易性金融资产</w:t>
            </w: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4,632,585.20</w:t>
            </w: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-49,163,642.77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其中：衍生金融工具产生的公允价值变动收益</w:t>
            </w: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交易性金融负债</w:t>
            </w: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按公允价值计量的投资性房地产</w:t>
            </w: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tc>
          <w:tcPr>
            <w:tcW w:w="156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4,632,585.20</w:t>
            </w:r>
          </w:p>
        </w:tc>
        <w:tc>
          <w:tcPr>
            <w:tcW w:w="156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-49,163,642.77</w:t>
            </w:r>
          </w:p>
        </w:tc>
      </w:tr>
    </w:tbl>
    <w:p/>
    <w:p>
      <w:pPr>
        <w:spacing w:before="60" w:after="60"/>
        <w:rPr>
          <w:szCs w:val="21"/>
        </w:rPr>
      </w:pPr>
      <w:r>
        <w:rPr>
          <w:rFonts w:hint="eastAsia"/>
          <w:szCs w:val="21"/>
        </w:rPr>
        <w:t>其他说明：</w:t>
      </w:r>
    </w:p>
    <w:p>
      <w:pPr>
        <w:rPr>
          <w:szCs w:val="21"/>
        </w:rPr>
      </w:pPr>
      <w:sdt>
        <w:sdtPr>
          <w:rPr>
            <w:rFonts w:hint="eastAsia" w:ascii="Times New Roman" w:hAnsi="Times New Roman"/>
            <w:sz w:val="21"/>
            <w:szCs w:val="21"/>
          </w:rPr>
          <w:alias w:val="公允价值变动收益的说明"/>
          <w:tag w:val="_GBC_2de79fa0260c440dae18401771bdd5db"/>
          <w:id w:val="27557"/>
          <w:placeholder>
            <w:docPart w:val="GBC22222222222222222222222222222"/>
          </w:placeholder>
        </w:sdtPr>
        <w:sdtEndPr>
          <w:rPr>
            <w:rFonts w:hint="eastAsia" w:ascii="Times New Roman" w:hAnsi="Times New Roman"/>
            <w:sz w:val="21"/>
            <w:szCs w:val="21"/>
          </w:rPr>
        </w:sdtEndPr>
        <w:sdtContent>
          <w:r>
            <w:rPr>
              <w:rFonts w:hint="eastAsia" w:ascii="Times New Roman" w:hAnsi="Times New Roman"/>
              <w:sz w:val="21"/>
              <w:szCs w:val="21"/>
            </w:rPr>
            <w:t>公允价值变动收益主要为公司持有中信证券股票的股价上涨，公允价值上涨4,581,034.20元。</w:t>
          </w:r>
        </w:sdtContent>
      </w:sdt>
    </w:p>
    <w:p>
      <w:pPr>
        <w:rPr>
          <w:rFonts w:cstheme="minorBidi"/>
          <w:kern w:val="2"/>
          <w:szCs w:val="21"/>
        </w:rPr>
      </w:pPr>
    </w:p>
    <w:bookmarkEnd w:id="308"/>
    <w:p>
      <w:pPr>
        <w:pStyle w:val="229"/>
        <w:numPr>
          <w:ilvl w:val="0"/>
          <w:numId w:val="71"/>
        </w:numPr>
        <w:tabs>
          <w:tab w:val="left" w:pos="504"/>
        </w:tabs>
        <w:rPr>
          <w:highlight w:val="none"/>
        </w:rPr>
      </w:pPr>
      <w:r>
        <w:rPr>
          <w:rFonts w:hint="eastAsia"/>
          <w:highlight w:val="none"/>
        </w:rPr>
        <w:t>信用减值损失</w:t>
      </w:r>
    </w:p>
    <w:sdt>
      <w:sdtPr>
        <w:alias w:val="是否适用：信用减值损失[双击切换]"/>
        <w:tag w:val="_GBC_3e1c9d9dad6c4530991d2befd4b098e3"/>
        <w:id w:val="27558"/>
        <w:placeholder>
          <w:docPart w:val="GBC33333333333333333333333333333"/>
        </w:placeholder>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pStyle w:val="264"/>
        <w:ind w:left="420" w:firstLine="0" w:firstLineChars="0"/>
        <w:jc w:val="right"/>
      </w:pPr>
      <w:r>
        <w:rPr>
          <w:rFonts w:hint="eastAsia"/>
        </w:rPr>
        <w:t>单位：</w:t>
      </w:r>
      <w:sdt>
        <w:sdtPr>
          <w:rPr>
            <w:rFonts w:hint="eastAsia"/>
          </w:rPr>
          <w:alias w:val="单位：信用减值损失"/>
          <w:tag w:val="_GBC_64c0f12c02d44b548838a6936d90e525"/>
          <w:id w:val="27559"/>
          <w:placeholder>
            <w:docPart w:val="GBC3333333333333333333333333333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信用减值损失"/>
          <w:tag w:val="_GBC_4d6a964234bf4666a052d68fb8b9d060"/>
          <w:id w:val="27560"/>
          <w:placeholder>
            <w:docPart w:val="GBC3333333333333333333333333333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9"/>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1"/>
              <w:szCs w:val="21"/>
            </w:rPr>
            <w:tag w:val="_PLD_32efbc222fba4f8b87e71fbd7550f57d"/>
            <w:id w:val="27561"/>
          </w:sdtPr>
          <w:sdtEndPr>
            <w:rPr>
              <w:sz w:val="21"/>
              <w:szCs w:val="21"/>
            </w:rPr>
          </w:sdtEndPr>
          <w:sdtContent>
            <w:tc>
              <w:tcPr>
                <w:tcW w:w="2016" w:type="pct"/>
                <w:shd w:val="clear" w:color="auto" w:fill="auto"/>
                <w:vAlign w:val="center"/>
              </w:tcPr>
              <w:p>
                <w:pPr>
                  <w:jc w:val="center"/>
                  <w:rPr>
                    <w:sz w:val="21"/>
                    <w:szCs w:val="21"/>
                  </w:rPr>
                </w:pPr>
                <w:r>
                  <w:rPr>
                    <w:rFonts w:hint="eastAsia"/>
                    <w:sz w:val="21"/>
                    <w:szCs w:val="21"/>
                  </w:rPr>
                  <w:t>项目</w:t>
                </w:r>
              </w:p>
            </w:tc>
          </w:sdtContent>
        </w:sdt>
        <w:sdt>
          <w:sdtPr>
            <w:rPr>
              <w:sz w:val="21"/>
              <w:szCs w:val="21"/>
            </w:rPr>
            <w:tag w:val="_PLD_57fc93ac35684eca9207e23d2b2d6664"/>
            <w:id w:val="27562"/>
          </w:sdtPr>
          <w:sdtEndPr>
            <w:rPr>
              <w:sz w:val="21"/>
              <w:szCs w:val="21"/>
            </w:rPr>
          </w:sdtEndPr>
          <w:sdtContent>
            <w:tc>
              <w:tcPr>
                <w:tcW w:w="1485" w:type="pct"/>
                <w:shd w:val="clear" w:color="auto" w:fill="auto"/>
                <w:vAlign w:val="center"/>
              </w:tcPr>
              <w:p>
                <w:pPr>
                  <w:jc w:val="center"/>
                  <w:rPr>
                    <w:sz w:val="21"/>
                    <w:szCs w:val="21"/>
                  </w:rPr>
                </w:pPr>
                <w:r>
                  <w:rPr>
                    <w:rFonts w:hint="eastAsia"/>
                    <w:sz w:val="21"/>
                    <w:szCs w:val="21"/>
                  </w:rPr>
                  <w:t>本期发生额</w:t>
                </w:r>
              </w:p>
            </w:tc>
          </w:sdtContent>
        </w:sdt>
        <w:sdt>
          <w:sdtPr>
            <w:rPr>
              <w:sz w:val="21"/>
              <w:szCs w:val="21"/>
            </w:rPr>
            <w:tag w:val="_PLD_ddb6bc4a58314fb2abbbb04ed4af2419"/>
            <w:id w:val="27563"/>
          </w:sdtPr>
          <w:sdtEndPr>
            <w:rPr>
              <w:sz w:val="21"/>
              <w:szCs w:val="21"/>
            </w:rPr>
          </w:sdtEndPr>
          <w:sdtContent>
            <w:tc>
              <w:tcPr>
                <w:tcW w:w="1497" w:type="pct"/>
                <w:shd w:val="clear" w:color="auto" w:fill="auto"/>
                <w:vAlign w:val="center"/>
              </w:tcPr>
              <w:p>
                <w:pPr>
                  <w:jc w:val="center"/>
                  <w:rPr>
                    <w:sz w:val="21"/>
                    <w:szCs w:val="21"/>
                  </w:rPr>
                </w:pPr>
                <w:r>
                  <w:rPr>
                    <w:rFonts w:hint="eastAsia"/>
                    <w:sz w:val="21"/>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应收票据坏账损失</w:t>
            </w:r>
          </w:p>
        </w:tc>
        <w:tc>
          <w:tcPr>
            <w:tcW w:w="1485" w:type="pct"/>
            <w:shd w:val="clear" w:color="auto" w:fill="auto"/>
          </w:tcPr>
          <w:p>
            <w:pPr>
              <w:jc w:val="right"/>
              <w:rPr>
                <w:sz w:val="21"/>
                <w:szCs w:val="21"/>
              </w:rPr>
            </w:pPr>
          </w:p>
        </w:tc>
        <w:tc>
          <w:tcPr>
            <w:tcW w:w="1497" w:type="pct"/>
            <w:shd w:val="clear" w:color="auto" w:fill="auto"/>
          </w:tcPr>
          <w:p>
            <w:pPr>
              <w:jc w:val="righ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应收账款坏账损失</w:t>
            </w:r>
          </w:p>
        </w:tc>
        <w:tc>
          <w:tcPr>
            <w:tcW w:w="1485" w:type="pct"/>
            <w:shd w:val="clear" w:color="auto" w:fill="auto"/>
            <w:vAlign w:val="center"/>
          </w:tcPr>
          <w:p>
            <w:pPr>
              <w:jc w:val="righ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378,620.17</w:t>
            </w:r>
          </w:p>
        </w:tc>
        <w:tc>
          <w:tcPr>
            <w:tcW w:w="1497"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-3,315,498.14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其他应收款坏账损失</w:t>
            </w:r>
          </w:p>
        </w:tc>
        <w:tc>
          <w:tcPr>
            <w:tcW w:w="1485" w:type="pct"/>
            <w:shd w:val="clear" w:color="auto" w:fill="auto"/>
            <w:vAlign w:val="center"/>
          </w:tcPr>
          <w:p>
            <w:pPr>
              <w:jc w:val="righ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-192,886.17</w:t>
            </w:r>
          </w:p>
        </w:tc>
        <w:tc>
          <w:tcPr>
            <w:tcW w:w="1497"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-683,576.81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债权投资减值损失</w:t>
            </w:r>
          </w:p>
        </w:tc>
        <w:tc>
          <w:tcPr>
            <w:tcW w:w="1485" w:type="pct"/>
            <w:shd w:val="clear" w:color="auto" w:fill="auto"/>
            <w:vAlign w:val="center"/>
          </w:tcPr>
          <w:p>
            <w:pPr>
              <w:jc w:val="right"/>
              <w:rPr>
                <w:rFonts w:hint="default" w:ascii="Times New Roman" w:hAnsi="Times New Roman" w:cs="Times New Roman"/>
                <w:sz w:val="21"/>
                <w:szCs w:val="21"/>
              </w:rPr>
            </w:pPr>
          </w:p>
        </w:tc>
        <w:tc>
          <w:tcPr>
            <w:tcW w:w="1497"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其他债权投资减值损失</w:t>
            </w:r>
          </w:p>
        </w:tc>
        <w:tc>
          <w:tcPr>
            <w:tcW w:w="1485" w:type="pct"/>
            <w:shd w:val="clear" w:color="auto" w:fill="auto"/>
            <w:vAlign w:val="center"/>
          </w:tcPr>
          <w:p>
            <w:pPr>
              <w:jc w:val="right"/>
              <w:rPr>
                <w:rFonts w:hint="default" w:ascii="Times New Roman" w:hAnsi="Times New Roman" w:cs="Times New Roman"/>
                <w:sz w:val="21"/>
                <w:szCs w:val="21"/>
              </w:rPr>
            </w:pPr>
          </w:p>
        </w:tc>
        <w:tc>
          <w:tcPr>
            <w:tcW w:w="1497"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长期应收款坏账损失</w:t>
            </w:r>
          </w:p>
        </w:tc>
        <w:tc>
          <w:tcPr>
            <w:tcW w:w="1485" w:type="pct"/>
            <w:shd w:val="clear" w:color="auto" w:fill="auto"/>
            <w:vAlign w:val="center"/>
          </w:tcPr>
          <w:p>
            <w:pPr>
              <w:jc w:val="right"/>
              <w:rPr>
                <w:rFonts w:hint="default" w:ascii="Times New Roman" w:hAnsi="Times New Roman" w:cs="Times New Roman"/>
                <w:sz w:val="21"/>
                <w:szCs w:val="21"/>
              </w:rPr>
            </w:pPr>
          </w:p>
        </w:tc>
        <w:tc>
          <w:tcPr>
            <w:tcW w:w="1497"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rFonts w:hint="eastAsia"/>
                <w:sz w:val="21"/>
                <w:szCs w:val="21"/>
              </w:rPr>
              <w:t>财务担保相关减值损失</w:t>
            </w:r>
          </w:p>
        </w:tc>
        <w:tc>
          <w:tcPr>
            <w:tcW w:w="1485" w:type="pct"/>
            <w:shd w:val="clear" w:color="auto" w:fill="auto"/>
            <w:vAlign w:val="center"/>
          </w:tcPr>
          <w:p>
            <w:pPr>
              <w:jc w:val="right"/>
              <w:rPr>
                <w:rFonts w:hint="default" w:ascii="Times New Roman" w:hAnsi="Times New Roman" w:cs="Times New Roman"/>
                <w:sz w:val="21"/>
                <w:szCs w:val="21"/>
              </w:rPr>
            </w:pPr>
          </w:p>
        </w:tc>
        <w:tc>
          <w:tcPr>
            <w:tcW w:w="1497"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rPr>
                <w:sz w:val="21"/>
                <w:szCs w:val="21"/>
              </w:rPr>
            </w:pPr>
            <w:r>
              <w:rPr>
                <w:sz w:val="21"/>
                <w:szCs w:val="21"/>
              </w:rPr>
              <w:t>合同资产减值损失</w:t>
            </w:r>
          </w:p>
        </w:tc>
        <w:tc>
          <w:tcPr>
            <w:tcW w:w="1485" w:type="pct"/>
            <w:shd w:val="clear" w:color="auto" w:fill="auto"/>
            <w:vAlign w:val="center"/>
          </w:tcPr>
          <w:p>
            <w:pPr>
              <w:jc w:val="right"/>
              <w:rPr>
                <w:rFonts w:hint="default" w:ascii="Times New Roman" w:hAnsi="Times New Roman" w:cs="Times New Roman"/>
                <w:sz w:val="21"/>
                <w:szCs w:val="21"/>
              </w:rPr>
            </w:pPr>
          </w:p>
        </w:tc>
        <w:tc>
          <w:tcPr>
            <w:tcW w:w="1497" w:type="pct"/>
            <w:shd w:val="clear" w:color="auto" w:fill="auto"/>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shd w:val="clear" w:color="auto" w:fill="auto"/>
            <w:vAlign w:val="center"/>
          </w:tcPr>
          <w:p>
            <w:pPr>
              <w:jc w:val="center"/>
              <w:rPr>
                <w:sz w:val="21"/>
                <w:szCs w:val="21"/>
              </w:rPr>
            </w:pPr>
            <w:r>
              <w:rPr>
                <w:rFonts w:hint="eastAsia"/>
                <w:sz w:val="21"/>
                <w:szCs w:val="21"/>
              </w:rPr>
              <w:t>合计</w:t>
            </w:r>
          </w:p>
        </w:tc>
        <w:tc>
          <w:tcPr>
            <w:tcW w:w="1485" w:type="pct"/>
            <w:shd w:val="clear" w:color="auto" w:fill="auto"/>
            <w:vAlign w:val="center"/>
          </w:tcPr>
          <w:p>
            <w:pPr>
              <w:jc w:val="righ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185,734.00</w:t>
            </w:r>
          </w:p>
        </w:tc>
        <w:tc>
          <w:tcPr>
            <w:tcW w:w="1497" w:type="pct"/>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-3,999,074.95</w:t>
            </w:r>
          </w:p>
        </w:tc>
      </w:tr>
    </w:tbl>
    <w:p/>
    <w:p>
      <w:r>
        <w:rPr>
          <w:rFonts w:hint="eastAsia"/>
        </w:rPr>
        <w:t>其他</w:t>
      </w:r>
      <w:r>
        <w:t>说明</w:t>
      </w:r>
      <w:r>
        <w:rPr>
          <w:rFonts w:hint="eastAsia"/>
        </w:rPr>
        <w:t>：</w:t>
      </w:r>
    </w:p>
    <w:sdt>
      <w:sdtPr>
        <w:alias w:val="信用减值损失其他说明"/>
        <w:tag w:val="_GBC_c4f5a3728c354e07a647f36805e2176b"/>
        <w:id w:val="27564"/>
        <w:placeholder>
          <w:docPart w:val="{13349e38-51a2-4095-a516-b29aa8a09569}"/>
        </w:placeholder>
      </w:sdtPr>
      <w:sdtContent>
        <w:p>
          <w:r>
            <w:rPr>
              <w:rFonts w:hint="eastAsia"/>
              <w:lang w:eastAsia="zh-CN"/>
            </w:rPr>
            <w:t>无</w:t>
          </w:r>
        </w:p>
      </w:sdtContent>
    </w:sdt>
    <w:p>
      <w:pPr>
        <w:rPr>
          <w:rFonts w:cstheme="minorBidi"/>
          <w:kern w:val="2"/>
          <w:szCs w:val="21"/>
        </w:rPr>
      </w:pPr>
    </w:p>
    <w:p>
      <w:pPr>
        <w:pStyle w:val="229"/>
        <w:numPr>
          <w:ilvl w:val="0"/>
          <w:numId w:val="71"/>
        </w:numPr>
        <w:tabs>
          <w:tab w:val="left" w:pos="504"/>
        </w:tabs>
        <w:rPr>
          <w:rFonts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8b37643fea7c43289fdaf85f79b2bcae"/>
        <w:id w:val="27565"/>
        <w:placeholder>
          <w:docPart w:val="GBC33333333333333333333333333333"/>
        </w:placeholder>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产减值损失"/>
          <w:tag w:val="_GBC_fe85f36c54dd476ea970b9d8ae08135d"/>
          <w:id w:val="27566"/>
          <w:placeholder>
            <w:docPart w:val="GBC3333333333333333333333333333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7567"/>
          <w:placeholder>
            <w:docPart w:val="GBC3333333333333333333333333333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4de032f71b4e06985c561df3bcf55a"/>
            <w:id w:val="27568"/>
          </w:sdtPr>
          <w:sdtContent>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9551307ec5c049a3aa84c3c7d3e61d92"/>
            <w:id w:val="27569"/>
          </w:sdt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46a2a62cd1b1406f877f135b9d7e38a6"/>
            <w:id w:val="27570"/>
          </w:sdt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一、合同资产减值损失</w:t>
            </w:r>
          </w:p>
        </w:tc>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二、存货跌价损失及合同履约成本减值损失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-3,140,942.13</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-2,540,845.52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三、长期股权投资减值损失</w:t>
            </w:r>
          </w:p>
        </w:tc>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rPr>
            </w:pPr>
          </w:p>
        </w:tc>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四</w:t>
            </w:r>
            <w:r>
              <w:rPr>
                <w:rFonts w:hint="eastAsia"/>
                <w:szCs w:val="21"/>
              </w:rPr>
              <w:t>、投资性房地产减值损失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五</w:t>
            </w:r>
            <w:r>
              <w:rPr>
                <w:rFonts w:hint="eastAsia"/>
                <w:szCs w:val="21"/>
              </w:rPr>
              <w:t>、固定资产减值损失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六</w:t>
            </w:r>
            <w:r>
              <w:rPr>
                <w:rFonts w:hint="eastAsia"/>
                <w:szCs w:val="21"/>
              </w:rPr>
              <w:t>、工程物资减值损失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七</w:t>
            </w:r>
            <w:r>
              <w:rPr>
                <w:rFonts w:hint="eastAsia"/>
                <w:szCs w:val="21"/>
              </w:rPr>
              <w:t>、在建工程减值损失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八</w:t>
            </w:r>
            <w:r>
              <w:rPr>
                <w:rFonts w:hint="eastAsia"/>
                <w:szCs w:val="21"/>
              </w:rPr>
              <w:t>、生产性生物资产减值损失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九</w:t>
            </w:r>
            <w:r>
              <w:rPr>
                <w:rFonts w:hint="eastAsia"/>
                <w:szCs w:val="21"/>
              </w:rPr>
              <w:t>、油气资产减值损失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十</w:t>
            </w:r>
            <w:r>
              <w:rPr>
                <w:rFonts w:hint="eastAsia"/>
                <w:szCs w:val="21"/>
              </w:rPr>
              <w:t>、无形资产减值损失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十一、商誉减值损失</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十二、其他</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szCs w:val="21"/>
              </w:rPr>
            </w:pPr>
            <w:r>
              <w:rPr>
                <w:rFonts w:hint="eastAsia"/>
                <w:szCs w:val="21"/>
              </w:rPr>
              <w:t>合计</w:t>
            </w:r>
          </w:p>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-3,140,942.13</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-2,540,845.52</w:t>
            </w:r>
          </w:p>
        </w:tc>
      </w:tr>
    </w:tbl>
    <w:p/>
    <w:p>
      <w:pPr>
        <w:spacing w:before="60" w:after="60"/>
        <w:rPr>
          <w:szCs w:val="21"/>
        </w:rPr>
      </w:pPr>
      <w:r>
        <w:rPr>
          <w:rFonts w:hint="eastAsia"/>
          <w:szCs w:val="21"/>
        </w:rPr>
        <w:t>其他说明：</w:t>
      </w:r>
    </w:p>
    <w:sdt>
      <w:sdtPr>
        <w:alias w:val="资产减值损失的说明"/>
        <w:tag w:val="_GBC_1e9b73a63ce74456883b0a5fd2597461"/>
        <w:id w:val="27571"/>
        <w:placeholder>
          <w:docPart w:val="{cdb11e1e-1698-4ec5-afc9-9cbb9a47fb9a}"/>
        </w:placeholder>
      </w:sdtPr>
      <w:sdtContent>
        <w:p>
          <w:r>
            <w:rPr>
              <w:rFonts w:hint="eastAsia"/>
              <w:lang w:eastAsia="zh-CN"/>
            </w:rPr>
            <w:t>无</w:t>
          </w:r>
        </w:p>
      </w:sdtContent>
    </w:sdt>
    <w:p/>
    <w:p>
      <w:pPr>
        <w:pStyle w:val="229"/>
        <w:numPr>
          <w:ilvl w:val="0"/>
          <w:numId w:val="71"/>
        </w:numPr>
        <w:tabs>
          <w:tab w:val="left" w:pos="504"/>
        </w:tabs>
        <w:rPr>
          <w:szCs w:val="21"/>
          <w:highlight w:val="none"/>
        </w:rPr>
      </w:pPr>
      <w:r>
        <w:rPr>
          <w:rFonts w:hint="eastAsia"/>
          <w:szCs w:val="21"/>
          <w:highlight w:val="none"/>
        </w:rPr>
        <w:t>资产处置收益</w:t>
      </w:r>
    </w:p>
    <w:sdt>
      <w:sdtPr>
        <w:rPr>
          <w:bCs/>
        </w:rPr>
        <w:alias w:val="是否适用：资产处置收益[双击切换]"/>
        <w:tag w:val="_GBC_b76400e6a673420c9bc522936e82c207"/>
        <w:id w:val="27572"/>
        <w:lock w:val="contentLocked"/>
        <w:placeholder>
          <w:docPart w:val="GBC22222222222222222222222222222"/>
        </w:placeholder>
      </w:sdtPr>
      <w:sdtEndPr>
        <w:rPr>
          <w:bCs/>
        </w:rPr>
      </w:sdtEndPr>
      <w:sdtContent>
        <w:p>
          <w:pPr>
            <w:outlineLvl w:val="9"/>
          </w:pPr>
          <w:r>
            <w:rPr>
              <w:bCs/>
            </w:rPr>
            <w:fldChar w:fldCharType="begin"/>
          </w:r>
          <w:r>
            <w:rPr>
              <w:rFonts w:hint="eastAsia"/>
              <w:bCs/>
              <w:lang w:eastAsia="zh-CN"/>
            </w:rPr>
            <w:instrText xml:space="preserve"> MACROBUTTON  SnrToggleCheckbox □适用 </w:instrText>
          </w:r>
          <w:r>
            <w:rPr>
              <w:bCs/>
            </w:rPr>
            <w:fldChar w:fldCharType="end"/>
          </w:r>
          <w:r>
            <w:rPr>
              <w:bCs/>
            </w:rPr>
            <w:fldChar w:fldCharType="begin"/>
          </w:r>
          <w:r>
            <w:rPr>
              <w:rFonts w:hint="eastAsia"/>
              <w:bCs/>
              <w:lang w:eastAsia="zh-CN"/>
            </w:rPr>
            <w:instrText xml:space="preserve"> MACROBUTTON  SnrToggleCheckbox √不适用 </w:instrText>
          </w:r>
          <w:r>
            <w:rPr>
              <w:bCs/>
            </w:rPr>
            <w:fldChar w:fldCharType="end"/>
          </w:r>
        </w:p>
      </w:sdtContent>
    </w:sdt>
    <w:p>
      <w:pPr>
        <w:autoSpaceDE w:val="0"/>
        <w:autoSpaceDN w:val="0"/>
        <w:adjustRightInd w:val="0"/>
        <w:rPr>
          <w:szCs w:val="21"/>
        </w:rPr>
      </w:pPr>
    </w:p>
    <w:p>
      <w:pPr>
        <w:pStyle w:val="229"/>
        <w:numPr>
          <w:ilvl w:val="0"/>
          <w:numId w:val="71"/>
        </w:numPr>
        <w:tabs>
          <w:tab w:val="left" w:pos="504"/>
        </w:tabs>
        <w:rPr>
          <w:rFonts w:ascii="宋体" w:hAnsi="宋体"/>
          <w:szCs w:val="21"/>
        </w:rPr>
      </w:pPr>
      <w:r>
        <w:rPr>
          <w:rFonts w:hint="eastAsia" w:ascii="宋体" w:hAnsi="宋体"/>
          <w:szCs w:val="21"/>
        </w:rPr>
        <w:t>营业外收入</w:t>
      </w:r>
    </w:p>
    <w:p>
      <w:r>
        <w:rPr>
          <w:rFonts w:hint="eastAsia"/>
        </w:rPr>
        <w:t>营业外收入情况</w:t>
      </w:r>
    </w:p>
    <w:sdt>
      <w:sdtPr>
        <w:rPr>
          <w:rFonts w:hint="eastAsia"/>
        </w:rPr>
        <w:alias w:val="是否适用：营业外收入情况 [双击切换]"/>
        <w:tag w:val="_GBC_4aec8b65d0e744aaaddac8859ae249bc"/>
        <w:id w:val="27573"/>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收入"/>
          <w:tag w:val="_GBC_79d3fe1c29e746e7b2a9a9acfcc43449"/>
          <w:id w:val="275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275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52b1902e1443609ba6891d7076aebe"/>
            <w:id w:val="27576"/>
          </w:sdtPr>
          <w:sdtContent>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9dc87bd465124a2289f545f76d28c96c"/>
            <w:id w:val="27577"/>
          </w:sdtPr>
          <w:sdtContent>
            <w:tc>
              <w:tcPr>
                <w:tcW w:w="12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e1b91f5db91a439083c1f9a1b7d17ef9"/>
            <w:id w:val="27578"/>
          </w:sdt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sdt>
          <w:sdtPr>
            <w:tag w:val="_PLD_db1c9e08e7ea407889a350e8451d2848"/>
            <w:id w:val="27579"/>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FF0000"/>
                    <w:szCs w:val="21"/>
                  </w:rPr>
                </w:pPr>
                <w:r>
                  <w:rPr>
                    <w:rFonts w:hint="eastAsia"/>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非流动资产处置利得合计</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80,711.57</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145,166.66</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 80,711.57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其中：固定资产处置利得</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80,711.57</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145,166.66</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 80,711.57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ind w:firstLine="630" w:firstLineChars="300"/>
              <w:rPr>
                <w:szCs w:val="21"/>
              </w:rPr>
            </w:pPr>
            <w:r>
              <w:rPr>
                <w:rFonts w:hint="eastAsia"/>
                <w:szCs w:val="21"/>
              </w:rPr>
              <w:t>无形资产处置利得</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非货币性资产交换利得</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接受捐赠</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ind w:right="6"/>
              <w:rPr>
                <w:bCs/>
                <w:szCs w:val="21"/>
              </w:rPr>
            </w:pPr>
            <w:r>
              <w:rPr>
                <w:rFonts w:hint="eastAsia"/>
                <w:bCs/>
                <w:szCs w:val="21"/>
              </w:rPr>
              <w:t>政府补助</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342,269.93</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424,080.00</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 342,269.93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rPr>
                <w:szCs w:val="21"/>
              </w:rPr>
            </w:pPr>
            <w:r>
              <w:t>其他</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918,118.57</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161,198.60</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918,118.57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1,341,100.07</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730,445.26</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 1,341,100.07</w:t>
            </w:r>
          </w:p>
        </w:tc>
      </w:tr>
    </w:tbl>
    <w:p/>
    <w:p>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27580"/>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27581"/>
        <w:placeholder>
          <w:docPart w:val="{6ff754f8-c6ae-492c-ae63-edc387c6b0e8}"/>
        </w:placeholder>
      </w:sdtPr>
      <w:sdtEndPr>
        <w:rPr>
          <w:rFonts w:hint="eastAsia"/>
          <w:szCs w:val="21"/>
        </w:rPr>
      </w:sdtEndPr>
      <w:sdtContent>
        <w:p>
          <w:pPr>
            <w:widowControl w:val="0"/>
            <w:autoSpaceDE w:val="0"/>
            <w:adjustRightInd w:val="0"/>
            <w:snapToGrid w:val="0"/>
            <w:spacing w:line="460" w:lineRule="atLeast"/>
            <w:ind w:firstLine="420" w:firstLineChars="200"/>
            <w:jc w:val="both"/>
            <w:textAlignment w:val="baseline"/>
            <w:rPr>
              <w:rFonts w:ascii="Arial" w:hAnsi="Arial" w:eastAsia="宋体" w:cs="Arial"/>
              <w:bCs/>
              <w:kern w:val="2"/>
              <w:sz w:val="24"/>
            </w:rPr>
          </w:pPr>
          <w:r>
            <w:rPr>
              <w:rFonts w:hint="eastAsia"/>
              <w:szCs w:val="21"/>
            </w:rPr>
            <w:t>计入当期损益的政府补助</w:t>
          </w:r>
        </w:p>
        <w:tbl>
          <w:tblPr>
            <w:tblStyle w:val="125"/>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973"/>
            <w:gridCol w:w="1955"/>
            <w:gridCol w:w="1686"/>
            <w:gridCol w:w="243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642" w:type="pct"/>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 w:val="21"/>
                    <w:szCs w:val="21"/>
                  </w:rPr>
                </w:pPr>
                <w:r>
                  <w:rPr>
                    <w:rFonts w:ascii="Arial Narrow" w:hAnsi="Arial Narrow" w:eastAsia="宋体" w:cs="Times New Roman"/>
                    <w:kern w:val="2"/>
                    <w:sz w:val="21"/>
                    <w:szCs w:val="21"/>
                  </w:rPr>
                  <w:t>补助项目</w:t>
                </w:r>
              </w:p>
            </w:tc>
            <w:tc>
              <w:tcPr>
                <w:tcW w:w="1080" w:type="pct"/>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 w:val="21"/>
                    <w:szCs w:val="21"/>
                  </w:rPr>
                </w:pPr>
                <w:r>
                  <w:rPr>
                    <w:rFonts w:ascii="Arial Narrow" w:hAnsi="Arial Narrow" w:eastAsia="宋体" w:cs="Times New Roman"/>
                    <w:kern w:val="2"/>
                    <w:sz w:val="21"/>
                    <w:szCs w:val="21"/>
                  </w:rPr>
                  <w:t>本期发生额</w:t>
                </w:r>
              </w:p>
            </w:tc>
            <w:tc>
              <w:tcPr>
                <w:tcW w:w="931" w:type="pct"/>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 w:val="21"/>
                    <w:szCs w:val="21"/>
                  </w:rPr>
                </w:pPr>
                <w:r>
                  <w:rPr>
                    <w:rFonts w:ascii="Arial Narrow" w:hAnsi="Arial Narrow" w:eastAsia="宋体" w:cs="Times New Roman"/>
                    <w:kern w:val="2"/>
                    <w:sz w:val="21"/>
                    <w:szCs w:val="21"/>
                  </w:rPr>
                  <w:t>上期发生额</w:t>
                </w:r>
              </w:p>
            </w:tc>
            <w:tc>
              <w:tcPr>
                <w:tcW w:w="1345" w:type="pct"/>
                <w:shd w:val="clear" w:color="auto" w:fill="auto"/>
                <w:vAlign w:val="center"/>
              </w:tcPr>
              <w:p>
                <w:pPr>
                  <w:widowControl w:val="0"/>
                  <w:tabs>
                    <w:tab w:val="left" w:pos="196"/>
                    <w:tab w:val="left" w:pos="426"/>
                  </w:tabs>
                  <w:snapToGrid w:val="0"/>
                  <w:spacing w:line="480" w:lineRule="exact"/>
                  <w:ind w:firstLine="0" w:firstLineChars="0"/>
                  <w:jc w:val="center"/>
                  <w:rPr>
                    <w:rFonts w:ascii="Arial Narrow" w:hAnsi="Arial Narrow" w:eastAsia="宋体" w:cs="Times New Roman"/>
                    <w:kern w:val="2"/>
                    <w:sz w:val="21"/>
                    <w:szCs w:val="21"/>
                  </w:rPr>
                </w:pPr>
                <w:r>
                  <w:rPr>
                    <w:rFonts w:ascii="Arial Narrow" w:hAnsi="Arial Narrow" w:eastAsia="宋体" w:cs="Times New Roman"/>
                    <w:kern w:val="2"/>
                    <w:sz w:val="21"/>
                    <w:szCs w:val="21"/>
                  </w:rPr>
                  <w:t>与资产相关/与收益相关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80" w:hRule="atLeast"/>
            </w:trPr>
            <w:tc>
              <w:tcPr>
                <w:tcW w:w="1642" w:type="pct"/>
                <w:shd w:val="clear" w:color="auto" w:fill="auto"/>
                <w:vAlign w:val="center"/>
              </w:tcPr>
              <w:p>
                <w:pPr>
                  <w:widowControl w:val="0"/>
                  <w:adjustRightInd w:val="0"/>
                  <w:snapToGrid w:val="0"/>
                  <w:spacing w:line="240" w:lineRule="auto"/>
                  <w:ind w:firstLine="0" w:firstLineChars="0"/>
                  <w:jc w:val="both"/>
                  <w:rPr>
                    <w:rFonts w:ascii="Arial Narrow" w:hAnsi="Arial Narrow" w:eastAsia="宋体" w:cs="Times New Roman"/>
                    <w:kern w:val="2"/>
                    <w:sz w:val="21"/>
                    <w:szCs w:val="21"/>
                  </w:rPr>
                </w:pPr>
                <w:r>
                  <w:rPr>
                    <w:rFonts w:hint="eastAsia" w:ascii="宋体" w:hAnsi="宋体" w:eastAsia="宋体" w:cs="宋体"/>
                    <w:kern w:val="0"/>
                    <w:sz w:val="21"/>
                    <w:szCs w:val="21"/>
                  </w:rPr>
                  <w:t>各种企业奖励及发展补助</w:t>
                </w:r>
              </w:p>
            </w:tc>
            <w:tc>
              <w:tcPr>
                <w:tcW w:w="1080" w:type="pct"/>
                <w:shd w:val="clear" w:color="auto" w:fill="auto"/>
                <w:vAlign w:val="center"/>
              </w:tcPr>
              <w:p>
                <w:pPr>
                  <w:widowControl w:val="0"/>
                  <w:adjustRightInd w:val="0"/>
                  <w:snapToGrid w:val="0"/>
                  <w:spacing w:line="240" w:lineRule="auto"/>
                  <w:ind w:firstLine="0" w:firstLineChars="0"/>
                  <w:jc w:val="righ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 342,269.93</w:t>
                </w:r>
              </w:p>
            </w:tc>
            <w:tc>
              <w:tcPr>
                <w:tcW w:w="931" w:type="pct"/>
                <w:shd w:val="clear" w:color="auto" w:fill="auto"/>
                <w:vAlign w:val="center"/>
              </w:tcPr>
              <w:p>
                <w:pPr>
                  <w:widowControl w:val="0"/>
                  <w:adjustRightInd w:val="0"/>
                  <w:snapToGrid w:val="0"/>
                  <w:spacing w:line="240" w:lineRule="auto"/>
                  <w:ind w:firstLine="0" w:firstLineChars="0"/>
                  <w:jc w:val="righ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424,080.00</w:t>
                </w:r>
              </w:p>
            </w:tc>
            <w:tc>
              <w:tcPr>
                <w:tcW w:w="1345" w:type="pct"/>
                <w:shd w:val="clear" w:color="auto" w:fill="auto"/>
                <w:vAlign w:val="center"/>
              </w:tcPr>
              <w:p>
                <w:pPr>
                  <w:widowControl w:val="0"/>
                  <w:adjustRightInd w:val="0"/>
                  <w:snapToGrid w:val="0"/>
                  <w:spacing w:line="240" w:lineRule="auto"/>
                  <w:ind w:firstLine="0" w:firstLineChars="0"/>
                  <w:jc w:val="center"/>
                  <w:rPr>
                    <w:rFonts w:ascii="Arial" w:hAnsi="Arial" w:eastAsia="宋体" w:cs="Arial"/>
                    <w:kern w:val="2"/>
                    <w:sz w:val="21"/>
                    <w:szCs w:val="21"/>
                  </w:rPr>
                </w:pPr>
                <w:r>
                  <w:rPr>
                    <w:rFonts w:hint="eastAsia" w:ascii="Arial" w:hAnsi="Arial" w:eastAsia="宋体" w:cs="Arial"/>
                    <w:kern w:val="2"/>
                    <w:sz w:val="21"/>
                    <w:szCs w:val="21"/>
                  </w:rPr>
                  <w:t>与</w:t>
                </w:r>
                <w:r>
                  <w:rPr>
                    <w:rFonts w:ascii="Arial" w:hAnsi="Arial" w:eastAsia="宋体" w:cs="Arial"/>
                    <w:kern w:val="2"/>
                    <w:sz w:val="21"/>
                    <w:szCs w:val="21"/>
                  </w:rPr>
                  <w:t>收益相关</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80" w:hRule="atLeast"/>
            </w:trPr>
            <w:tc>
              <w:tcPr>
                <w:tcW w:w="1642" w:type="pct"/>
                <w:shd w:val="clear" w:color="auto" w:fill="auto"/>
                <w:vAlign w:val="center"/>
              </w:tcPr>
              <w:p>
                <w:pPr>
                  <w:widowControl w:val="0"/>
                  <w:adjustRightInd w:val="0"/>
                  <w:snapToGrid w:val="0"/>
                  <w:spacing w:line="240" w:lineRule="auto"/>
                  <w:ind w:firstLine="0" w:firstLineChars="0"/>
                  <w:jc w:val="center"/>
                  <w:rPr>
                    <w:rFonts w:ascii="Arial" w:hAnsi="Arial" w:eastAsia="宋体" w:cs="Arial"/>
                    <w:kern w:val="2"/>
                    <w:sz w:val="21"/>
                    <w:szCs w:val="21"/>
                  </w:rPr>
                </w:pPr>
                <w:r>
                  <w:rPr>
                    <w:rFonts w:ascii="Arial" w:hAnsi="Arial" w:eastAsia="宋体" w:cs="Arial"/>
                    <w:kern w:val="2"/>
                    <w:sz w:val="21"/>
                    <w:szCs w:val="21"/>
                  </w:rPr>
                  <w:t>合计</w:t>
                </w:r>
              </w:p>
            </w:tc>
            <w:tc>
              <w:tcPr>
                <w:tcW w:w="1080" w:type="pct"/>
                <w:shd w:val="clear" w:color="auto" w:fill="auto"/>
                <w:vAlign w:val="center"/>
              </w:tcPr>
              <w:p>
                <w:pPr>
                  <w:widowControl w:val="0"/>
                  <w:adjustRightInd w:val="0"/>
                  <w:snapToGrid w:val="0"/>
                  <w:spacing w:line="240" w:lineRule="auto"/>
                  <w:ind w:firstLine="0" w:firstLineChars="0"/>
                  <w:jc w:val="righ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 342,269.93</w:t>
                </w:r>
              </w:p>
            </w:tc>
            <w:tc>
              <w:tcPr>
                <w:tcW w:w="931" w:type="pct"/>
                <w:shd w:val="clear" w:color="auto" w:fill="auto"/>
                <w:vAlign w:val="center"/>
              </w:tcPr>
              <w:p>
                <w:pPr>
                  <w:widowControl w:val="0"/>
                  <w:adjustRightInd w:val="0"/>
                  <w:snapToGrid w:val="0"/>
                  <w:spacing w:line="240" w:lineRule="auto"/>
                  <w:ind w:firstLine="0" w:firstLineChars="0"/>
                  <w:jc w:val="righ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424,080.00</w:t>
                </w:r>
              </w:p>
            </w:tc>
            <w:tc>
              <w:tcPr>
                <w:tcW w:w="1345" w:type="pct"/>
                <w:shd w:val="clear" w:color="auto" w:fill="auto"/>
                <w:vAlign w:val="center"/>
              </w:tcPr>
              <w:p>
                <w:pPr>
                  <w:widowControl w:val="0"/>
                  <w:tabs>
                    <w:tab w:val="left" w:pos="196"/>
                    <w:tab w:val="left" w:pos="426"/>
                  </w:tabs>
                  <w:snapToGrid w:val="0"/>
                  <w:spacing w:line="480" w:lineRule="exact"/>
                  <w:ind w:firstLine="0" w:firstLineChars="0"/>
                  <w:jc w:val="left"/>
                  <w:rPr>
                    <w:rFonts w:ascii="Arial Narrow" w:hAnsi="Arial Narrow" w:eastAsia="宋体" w:cs="Times New Roman"/>
                    <w:kern w:val="2"/>
                    <w:sz w:val="21"/>
                    <w:szCs w:val="21"/>
                  </w:rPr>
                </w:pPr>
              </w:p>
            </w:tc>
          </w:tr>
        </w:tbl>
        <w:p>
          <w:pPr>
            <w:rPr>
              <w:szCs w:val="21"/>
            </w:rPr>
          </w:pPr>
        </w:p>
      </w:sdtContent>
    </w:sdt>
    <w:p/>
    <w:p>
      <w:pPr>
        <w:pStyle w:val="229"/>
        <w:numPr>
          <w:ilvl w:val="0"/>
          <w:numId w:val="71"/>
        </w:numPr>
        <w:tabs>
          <w:tab w:val="left" w:pos="504"/>
        </w:tabs>
        <w:rPr>
          <w:rFonts w:ascii="宋体" w:hAnsi="宋体"/>
          <w:szCs w:val="21"/>
        </w:rPr>
      </w:pPr>
      <w:r>
        <w:rPr>
          <w:rFonts w:hint="eastAsia" w:ascii="宋体" w:hAnsi="宋体"/>
          <w:szCs w:val="21"/>
        </w:rPr>
        <w:t>营业外支出</w:t>
      </w:r>
    </w:p>
    <w:sdt>
      <w:sdtPr>
        <w:rPr>
          <w:rFonts w:hint="eastAsia"/>
          <w:szCs w:val="21"/>
        </w:rPr>
        <w:alias w:val="是否适用：营业外支出[双击切换]"/>
        <w:tag w:val="_GBC_8e8d3e6e563742f48edf759d6034f4ce"/>
        <w:id w:val="27582"/>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营业外支出"/>
          <w:tag w:val="_GBC_825ccc5a51fd47a4888bf19121bc88e6"/>
          <w:id w:val="27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275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376"/>
        <w:gridCol w:w="232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3e5b39f95fae41609c103f36a1017c54"/>
            <w:id w:val="27585"/>
          </w:sdtPr>
          <w:sdtEndPr>
            <w:rPr>
              <w:rFonts w:hint="default"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项目</w:t>
                </w:r>
              </w:p>
            </w:tc>
          </w:sdtContent>
        </w:sdt>
        <w:sdt>
          <w:sdtPr>
            <w:rPr>
              <w:rFonts w:hint="default" w:ascii="Times New Roman" w:hAnsi="Times New Roman" w:cs="Times New Roman"/>
            </w:rPr>
            <w:tag w:val="_PLD_9ea5703e0d9641a1acf20638053e3dd5"/>
            <w:id w:val="27586"/>
          </w:sdtPr>
          <w:sdtEndPr>
            <w:rPr>
              <w:rFonts w:hint="default" w:ascii="Times New Roman" w:hAnsi="Times New Roman" w:cs="Times New Roman"/>
            </w:rPr>
          </w:sdtEndPr>
          <w:sdtContent>
            <w:tc>
              <w:tcPr>
                <w:tcW w:w="131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本期发生额</w:t>
                </w:r>
              </w:p>
            </w:tc>
          </w:sdtContent>
        </w:sdt>
        <w:sdt>
          <w:sdtPr>
            <w:rPr>
              <w:rFonts w:hint="default" w:ascii="Times New Roman" w:hAnsi="Times New Roman" w:cs="Times New Roman"/>
            </w:rPr>
            <w:tag w:val="_PLD_27cbc4bb29594bcfa61154a0d46b4d20"/>
            <w:id w:val="27587"/>
          </w:sdtPr>
          <w:sdtEndPr>
            <w:rPr>
              <w:rFonts w:hint="default" w:ascii="Times New Roman" w:hAnsi="Times New Roman" w:cs="Times New Roman"/>
            </w:rPr>
          </w:sdtEndPr>
          <w:sdtContent>
            <w:tc>
              <w:tcPr>
                <w:tcW w:w="1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上期发生额</w:t>
                </w:r>
              </w:p>
            </w:tc>
          </w:sdtContent>
        </w:sdt>
        <w:sdt>
          <w:sdtPr>
            <w:rPr>
              <w:rFonts w:hint="default" w:ascii="Times New Roman" w:hAnsi="Times New Roman" w:cs="Times New Roman"/>
            </w:rPr>
            <w:tag w:val="_PLD_cab5bf568f924fed9d087fb26b588481"/>
            <w:id w:val="27588"/>
          </w:sdtPr>
          <w:sdtEndPr>
            <w:rPr>
              <w:rFonts w:hint="default" w:ascii="Times New Roman" w:hAnsi="Times New Roman"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szCs w:val="21"/>
              </w:rPr>
              <w:t>非流动资产处置损失合计</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szCs w:val="21"/>
              </w:rPr>
              <w:t>其中：固定资产处置损失</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ind w:firstLine="630" w:firstLineChars="300"/>
              <w:rPr>
                <w:rFonts w:hint="default" w:ascii="Times New Roman" w:hAnsi="Times New Roman" w:cs="Times New Roman"/>
                <w:szCs w:val="21"/>
              </w:rPr>
            </w:pPr>
            <w:r>
              <w:rPr>
                <w:rFonts w:hint="default" w:ascii="Times New Roman" w:hAnsi="Times New Roman" w:cs="Times New Roman"/>
                <w:szCs w:val="21"/>
              </w:rPr>
              <w:t>无形资产处置损失</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szCs w:val="21"/>
              </w:rPr>
              <w:t>非货币性资产交换损失</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szCs w:val="21"/>
              </w:rPr>
              <w:t>对外捐赠</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106,875.48</w:t>
            </w: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24,888.49</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 106,875.48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固定资产报废损失</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607,957.14</w:t>
            </w: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227,268.05</w:t>
            </w:r>
          </w:p>
        </w:tc>
        <w:tc>
          <w:tcPr>
            <w:tcW w:w="128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607,957.14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罚款及赔款支出</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63,400.89</w:t>
            </w: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293,253.74</w:t>
            </w:r>
          </w:p>
        </w:tc>
        <w:tc>
          <w:tcPr>
            <w:tcW w:w="128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63,400.89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其他</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1,024,797.62</w:t>
            </w: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62,724.74</w:t>
            </w:r>
          </w:p>
        </w:tc>
        <w:tc>
          <w:tcPr>
            <w:tcW w:w="1280"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1,024,797.62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ind w:right="6"/>
              <w:jc w:val="center"/>
              <w:rPr>
                <w:rFonts w:hint="default" w:ascii="Times New Roman" w:hAnsi="Times New Roman" w:cs="Times New Roman"/>
                <w:szCs w:val="21"/>
              </w:rPr>
            </w:pPr>
            <w:r>
              <w:rPr>
                <w:rFonts w:hint="default" w:ascii="Times New Roman" w:hAnsi="Times New Roman" w:cs="Times New Roman"/>
                <w:szCs w:val="21"/>
              </w:rPr>
              <w:t>合计</w:t>
            </w:r>
          </w:p>
        </w:tc>
        <w:tc>
          <w:tcPr>
            <w:tcW w:w="1313"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1,803,031.13</w:t>
            </w:r>
          </w:p>
        </w:tc>
        <w:tc>
          <w:tcPr>
            <w:tcW w:w="128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Cs w:val="21"/>
              </w:rPr>
            </w:pPr>
            <w:r>
              <w:rPr>
                <w:rFonts w:hint="default" w:ascii="Times New Roman" w:hAnsi="Times New Roman" w:cs="Times New Roman"/>
              </w:rPr>
              <w:t> 608,135.02</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 1,803,031.13</w:t>
            </w:r>
          </w:p>
        </w:tc>
      </w:tr>
    </w:tbl>
    <w:p/>
    <w:p>
      <w:pPr>
        <w:spacing w:before="60" w:after="60"/>
        <w:rPr>
          <w:szCs w:val="21"/>
        </w:rPr>
      </w:pPr>
      <w:r>
        <w:rPr>
          <w:rFonts w:hint="eastAsia"/>
          <w:szCs w:val="21"/>
        </w:rPr>
        <w:t>其他说明：</w:t>
      </w:r>
    </w:p>
    <w:sdt>
      <w:sdtPr>
        <w:rPr>
          <w:rFonts w:hint="eastAsia"/>
          <w:szCs w:val="21"/>
        </w:rPr>
        <w:alias w:val="营业外支出说明"/>
        <w:tag w:val="_GBC_88ac743f9ece44c8ba4b737327409578"/>
        <w:id w:val="27589"/>
        <w:placeholder>
          <w:docPart w:val="GBC22222222222222222222222222222"/>
        </w:placeholder>
      </w:sdtPr>
      <w:sdtEndPr>
        <w:rPr>
          <w:rFonts w:hint="eastAsia" w:asciiTheme="minorHAnsi" w:hAnsiTheme="minorHAnsi" w:eastAsiaTheme="minorEastAsia"/>
          <w:szCs w:val="21"/>
        </w:rPr>
      </w:sdtEndPr>
      <w:sdtContent>
        <w:p>
          <w:pPr>
            <w:rPr>
              <w:szCs w:val="21"/>
            </w:rPr>
          </w:pPr>
          <w:r>
            <w:rPr>
              <w:rFonts w:hint="eastAsia"/>
              <w:szCs w:val="21"/>
              <w:lang w:eastAsia="zh-CN"/>
            </w:rPr>
            <w:t>无</w:t>
          </w:r>
        </w:p>
      </w:sdtContent>
    </w:sdt>
    <w:p/>
    <w:p>
      <w:pPr>
        <w:pStyle w:val="229"/>
        <w:numPr>
          <w:ilvl w:val="0"/>
          <w:numId w:val="71"/>
        </w:numPr>
        <w:tabs>
          <w:tab w:val="left" w:pos="504"/>
        </w:tabs>
        <w:rPr>
          <w:rFonts w:ascii="宋体" w:hAnsi="宋体"/>
          <w:szCs w:val="21"/>
        </w:rPr>
      </w:pPr>
      <w:r>
        <w:rPr>
          <w:rFonts w:hint="eastAsia" w:ascii="宋体" w:hAnsi="宋体"/>
          <w:szCs w:val="21"/>
        </w:rPr>
        <w:t>所得税费用</w:t>
      </w:r>
    </w:p>
    <w:p>
      <w:pPr>
        <w:pStyle w:val="196"/>
        <w:numPr>
          <w:ilvl w:val="0"/>
          <w:numId w:val="106"/>
        </w:numPr>
        <w:ind w:left="426" w:hanging="426"/>
      </w:pPr>
      <w:r>
        <w:rPr>
          <w:rFonts w:hint="eastAsia"/>
        </w:rPr>
        <w:t>所得税费用表</w:t>
      </w:r>
    </w:p>
    <w:sdt>
      <w:sdtPr>
        <w:alias w:val="是否适用：所得税费用表[双击切换]"/>
        <w:tag w:val="_GBC_3ea18046339d457a8712506679035498"/>
        <w:id w:val="2759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275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275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5"/>
        <w:gridCol w:w="2930"/>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tag w:val="_PLD_e0d72a7f55e04c898352587240ce636b"/>
            <w:id w:val="20124"/>
          </w:sdtPr>
          <w:sdtContent>
            <w:tc>
              <w:tcPr>
                <w:tcW w:w="1774" w:type="pct"/>
                <w:vAlign w:val="center"/>
              </w:tcPr>
              <w:p>
                <w:pPr>
                  <w:ind w:right="6"/>
                  <w:jc w:val="center"/>
                  <w:rPr>
                    <w:szCs w:val="21"/>
                  </w:rPr>
                </w:pPr>
                <w:r>
                  <w:rPr>
                    <w:rFonts w:hint="eastAsia"/>
                    <w:szCs w:val="21"/>
                  </w:rPr>
                  <w:t>项目</w:t>
                </w:r>
              </w:p>
            </w:tc>
          </w:sdtContent>
        </w:sdt>
        <w:sdt>
          <w:sdtPr>
            <w:tag w:val="_PLD_e2b12491de324856a6b2f7034aa875da"/>
            <w:id w:val="20125"/>
          </w:sdtPr>
          <w:sdtContent>
            <w:tc>
              <w:tcPr>
                <w:tcW w:w="1617" w:type="pct"/>
                <w:vAlign w:val="center"/>
              </w:tcPr>
              <w:p>
                <w:pPr>
                  <w:ind w:right="6"/>
                  <w:jc w:val="center"/>
                  <w:rPr>
                    <w:szCs w:val="21"/>
                  </w:rPr>
                </w:pPr>
                <w:r>
                  <w:rPr>
                    <w:rFonts w:hint="eastAsia"/>
                    <w:szCs w:val="21"/>
                  </w:rPr>
                  <w:t>本期发生额</w:t>
                </w:r>
              </w:p>
            </w:tc>
          </w:sdtContent>
        </w:sdt>
        <w:sdt>
          <w:sdtPr>
            <w:tag w:val="_PLD_4b2515977b8d462088eb538637703bf1"/>
            <w:id w:val="20126"/>
          </w:sdtPr>
          <w:sdtContent>
            <w:tc>
              <w:tcPr>
                <w:tcW w:w="1608" w:type="pct"/>
                <w:vAlign w:val="center"/>
              </w:tcPr>
              <w:p>
                <w:pPr>
                  <w:ind w:right="6"/>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rPr>
                <w:b/>
                <w:bCs/>
                <w:szCs w:val="21"/>
              </w:rPr>
            </w:pPr>
            <w:r>
              <w:rPr>
                <w:rFonts w:hint="eastAsia"/>
                <w:szCs w:val="21"/>
              </w:rPr>
              <w:t>当期所得税费用</w:t>
            </w:r>
          </w:p>
        </w:tc>
        <w:tc>
          <w:tcPr>
            <w:tcW w:w="161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4,387,730.51</w:t>
            </w:r>
          </w:p>
        </w:tc>
        <w:tc>
          <w:tcPr>
            <w:tcW w:w="1608" w:type="pct"/>
            <w:vAlign w:val="center"/>
          </w:tcPr>
          <w:p>
            <w:pPr>
              <w:ind w:right="6"/>
              <w:jc w:val="right"/>
              <w:rPr>
                <w:rFonts w:hint="default" w:ascii="Times New Roman" w:hAnsi="Times New Roman" w:cs="Times New Roman"/>
                <w:szCs w:val="21"/>
              </w:rPr>
            </w:pPr>
            <w:r>
              <w:rPr>
                <w:rFonts w:hint="default" w:ascii="Times New Roman" w:hAnsi="Times New Roman" w:cs="Times New Roman"/>
                <w:color w:val="auto"/>
              </w:rPr>
              <w:t>1,464,915.72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rPr>
                <w:szCs w:val="21"/>
              </w:rPr>
            </w:pPr>
            <w:r>
              <w:rPr>
                <w:rFonts w:hint="eastAsia"/>
                <w:szCs w:val="21"/>
              </w:rPr>
              <w:t>递延所得税费用</w:t>
            </w:r>
          </w:p>
        </w:tc>
        <w:tc>
          <w:tcPr>
            <w:tcW w:w="161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1,268,842.52</w:t>
            </w:r>
          </w:p>
        </w:tc>
        <w:tc>
          <w:tcPr>
            <w:tcW w:w="1608" w:type="pct"/>
            <w:vAlign w:val="center"/>
          </w:tcPr>
          <w:p>
            <w:pPr>
              <w:ind w:right="6"/>
              <w:jc w:val="right"/>
              <w:rPr>
                <w:rFonts w:hint="default" w:ascii="Times New Roman" w:hAnsi="Times New Roman" w:cs="Times New Roman"/>
                <w:szCs w:val="21"/>
              </w:rPr>
            </w:pPr>
            <w:r>
              <w:rPr>
                <w:rFonts w:hint="default" w:ascii="Times New Roman" w:hAnsi="Times New Roman" w:cs="Times New Roman"/>
                <w:color w:val="auto"/>
              </w:rPr>
              <w:t>-13,402,460.14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jc w:val="center"/>
              <w:rPr>
                <w:szCs w:val="21"/>
              </w:rPr>
            </w:pPr>
            <w:r>
              <w:rPr>
                <w:rFonts w:hint="eastAsia"/>
                <w:szCs w:val="21"/>
              </w:rPr>
              <w:t>合计</w:t>
            </w:r>
          </w:p>
        </w:tc>
        <w:tc>
          <w:tcPr>
            <w:tcW w:w="1617" w:type="pct"/>
            <w:vAlign w:val="center"/>
          </w:tcPr>
          <w:p>
            <w:pPr>
              <w:ind w:right="6"/>
              <w:jc w:val="right"/>
              <w:rPr>
                <w:rFonts w:hint="default" w:ascii="Times New Roman" w:hAnsi="Times New Roman" w:cs="Times New Roman"/>
                <w:szCs w:val="21"/>
              </w:rPr>
            </w:pPr>
            <w:r>
              <w:rPr>
                <w:rFonts w:hint="default" w:ascii="Times New Roman" w:hAnsi="Times New Roman" w:cs="Times New Roman"/>
                <w:color w:val="auto"/>
              </w:rPr>
              <w:t>5,656,573.03</w:t>
            </w:r>
          </w:p>
        </w:tc>
        <w:tc>
          <w:tcPr>
            <w:tcW w:w="1608" w:type="pct"/>
            <w:vAlign w:val="center"/>
          </w:tcPr>
          <w:p>
            <w:pPr>
              <w:ind w:right="6"/>
              <w:jc w:val="right"/>
              <w:rPr>
                <w:rFonts w:hint="default" w:ascii="Times New Roman" w:hAnsi="Times New Roman" w:cs="Times New Roman"/>
                <w:szCs w:val="21"/>
              </w:rPr>
            </w:pPr>
            <w:r>
              <w:rPr>
                <w:rFonts w:hint="default" w:ascii="Times New Roman" w:hAnsi="Times New Roman" w:cs="Times New Roman"/>
                <w:color w:val="auto"/>
              </w:rPr>
              <w:t>-11,937,544.42</w:t>
            </w:r>
          </w:p>
        </w:tc>
      </w:tr>
    </w:tbl>
    <w:p/>
    <w:p/>
    <w:p>
      <w:pPr>
        <w:pStyle w:val="196"/>
        <w:numPr>
          <w:ilvl w:val="0"/>
          <w:numId w:val="106"/>
        </w:numPr>
        <w:ind w:left="426" w:hanging="426"/>
      </w:pPr>
      <w:r>
        <w:rPr>
          <w:rFonts w:hint="eastAsia"/>
        </w:rPr>
        <w:t>会计利润与所得税费用调整过程</w:t>
      </w:r>
    </w:p>
    <w:sdt>
      <w:sdtPr>
        <w:alias w:val="是否适用：会计利润与所得税费用调整过程[双击切换]"/>
        <w:tag w:val="_GBC_add00d323e2049ad8bc932f632966661"/>
        <w:id w:val="2759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10825cb9bb5e445c9210ee34dc80406a"/>
          <w:id w:val="275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75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6107"/>
        <w:gridCol w:w="29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1123621c9879400694da9a8842888e14"/>
            <w:id w:val="20129"/>
          </w:sdtPr>
          <w:sdtContent>
            <w:tc>
              <w:tcPr>
                <w:tcW w:w="3372"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4a270148a32846b69754961e55c75a04"/>
            <w:id w:val="20130"/>
          </w:sdtPr>
          <w:sdtContent>
            <w:tc>
              <w:tcPr>
                <w:tcW w:w="1627"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rPr>
                <w:b/>
                <w:bCs/>
                <w:szCs w:val="21"/>
              </w:rPr>
            </w:pPr>
            <w:r>
              <w:rPr>
                <w:rFonts w:hint="eastAsia"/>
                <w:color w:val="auto"/>
                <w:szCs w:val="21"/>
              </w:rPr>
              <w:t>利润总额</w:t>
            </w:r>
          </w:p>
        </w:tc>
        <w:tc>
          <w:tcPr>
            <w:tcW w:w="1627" w:type="pct"/>
            <w:tcBorders>
              <w:top w:val="single" w:color="auto" w:sz="4"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30,293,388.11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按法定/适用税率计算的所得税费用</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7,573,347.03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39" w:hRule="atLeast"/>
        </w:trPr>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子公司适用不同税率的影响</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-592,865.47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调整以前期间所得税的影响</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25,168.22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非应税收入的影响</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-5,274,756.46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不可抵扣的成本、费用和损失的影响</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301,510.66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使用前期未确认递延所得税资产的可抵扣亏损的影响</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-64,699.83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color w:val="auto"/>
              </w:rPr>
              <w:t>本期未确认递延所得税资产的可抵扣暂时性差异或可抵扣亏损的影响</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7,107,953.13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6" w:space="0"/>
              <w:bottom w:val="single" w:color="auto" w:sz="6" w:space="0"/>
              <w:right w:val="single" w:color="auto" w:sz="6" w:space="0"/>
            </w:tcBorders>
            <w:shd w:val="clear" w:color="auto" w:fill="auto"/>
            <w:vAlign w:val="center"/>
          </w:tcPr>
          <w:p>
            <w:r>
              <w:t>其他</w:t>
            </w:r>
          </w:p>
        </w:tc>
        <w:tc>
          <w:tcPr>
            <w:tcW w:w="1627"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-3,419,084.25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372"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所得税费用</w:t>
            </w:r>
          </w:p>
        </w:tc>
        <w:tc>
          <w:tcPr>
            <w:tcW w:w="1627"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color w:val="auto"/>
                <w:sz w:val="21"/>
                <w:szCs w:val="21"/>
              </w:rPr>
              <w:t>5,656,573.03</w:t>
            </w:r>
          </w:p>
        </w:tc>
      </w:tr>
    </w:tbl>
    <w:p>
      <w:pPr>
        <w:rPr>
          <w:szCs w:val="21"/>
        </w:rPr>
      </w:pPr>
    </w:p>
    <w:p>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760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b/>
        </w:rPr>
      </w:pPr>
    </w:p>
    <w:p>
      <w:pPr>
        <w:pStyle w:val="229"/>
        <w:numPr>
          <w:ilvl w:val="0"/>
          <w:numId w:val="71"/>
        </w:numPr>
        <w:tabs>
          <w:tab w:val="left" w:pos="504"/>
        </w:tabs>
        <w:rPr>
          <w:rFonts w:ascii="宋体" w:hAnsi="宋体"/>
          <w:szCs w:val="21"/>
        </w:rPr>
      </w:pPr>
      <w:r>
        <w:rPr>
          <w:rFonts w:hint="eastAsia" w:ascii="宋体" w:hAnsi="宋体"/>
          <w:szCs w:val="21"/>
        </w:rPr>
        <w:t>其他综合收益</w:t>
      </w:r>
    </w:p>
    <w:sdt>
      <w:sdtPr>
        <w:alias w:val="是否适用：其他综合收益说明[双击切换]"/>
        <w:tag w:val="_GBC_055e86e99cd742699e3e89a438a26b74"/>
        <w:id w:val="27602"/>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229"/>
        <w:numPr>
          <w:ilvl w:val="0"/>
          <w:numId w:val="71"/>
        </w:numPr>
        <w:tabs>
          <w:tab w:val="left" w:pos="504"/>
        </w:tabs>
        <w:rPr>
          <w:rFonts w:ascii="宋体" w:hAnsi="宋体"/>
          <w:szCs w:val="21"/>
        </w:rPr>
      </w:pPr>
      <w:r>
        <w:rPr>
          <w:rFonts w:hint="eastAsia" w:ascii="宋体" w:hAnsi="宋体"/>
          <w:szCs w:val="21"/>
        </w:rPr>
        <w:t>现金流量表项目</w:t>
      </w:r>
    </w:p>
    <w:p>
      <w:pPr>
        <w:pStyle w:val="196"/>
        <w:numPr>
          <w:ilvl w:val="0"/>
          <w:numId w:val="107"/>
        </w:numPr>
        <w:ind w:left="426" w:hanging="426"/>
      </w:pPr>
      <w:r>
        <w:rPr>
          <w:rFonts w:hint="eastAsia"/>
        </w:rPr>
        <w:t>与经营活动有关的现金</w:t>
      </w:r>
    </w:p>
    <w:p>
      <w:r>
        <w:rPr>
          <w:rFonts w:hint="eastAsia"/>
        </w:rPr>
        <w:t>收到的其他与经营活动有关的现金</w:t>
      </w:r>
    </w:p>
    <w:sdt>
      <w:sdtPr>
        <w:alias w:val="是否适用：收到的其他与经营活动有关的现金[双击切换]"/>
        <w:tag w:val="_GBC_27345010807c4445aa9d99ce1518a33b"/>
        <w:id w:val="2760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276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276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f7a5d7090c5c4e2b95d9e6f0ea383580"/>
            <w:id w:val="20134"/>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20135"/>
          </w:sdtPr>
          <w:sdtContent>
            <w:tc>
              <w:tcPr>
                <w:tcW w:w="1562"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20136"/>
          </w:sdtPr>
          <w:sdtContent>
            <w:tc>
              <w:tcPr>
                <w:tcW w:w="1556" w:type="pct"/>
              </w:tcPr>
              <w:p>
                <w:pPr>
                  <w:autoSpaceDE w:val="0"/>
                  <w:autoSpaceDN w:val="0"/>
                  <w:adjustRightInd w:val="0"/>
                  <w:snapToGrid w:val="0"/>
                  <w:spacing w:line="240" w:lineRule="atLeast"/>
                  <w:jc w:val="center"/>
                  <w:rPr>
                    <w:szCs w:val="21"/>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收到的政府补助</w:t>
            </w:r>
          </w:p>
        </w:tc>
        <w:tc>
          <w:tcPr>
            <w:tcW w:w="156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2,480,712.15</w:t>
            </w:r>
          </w:p>
        </w:tc>
        <w:tc>
          <w:tcPr>
            <w:tcW w:w="155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4,592,965.71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收到利息</w:t>
            </w:r>
          </w:p>
        </w:tc>
        <w:tc>
          <w:tcPr>
            <w:tcW w:w="156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38,022,884.12</w:t>
            </w:r>
          </w:p>
        </w:tc>
        <w:tc>
          <w:tcPr>
            <w:tcW w:w="155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39,268,653.80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收到的往来款</w:t>
            </w:r>
          </w:p>
        </w:tc>
        <w:tc>
          <w:tcPr>
            <w:tcW w:w="156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5,302,471.45 </w:t>
            </w:r>
          </w:p>
        </w:tc>
        <w:tc>
          <w:tcPr>
            <w:tcW w:w="155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16,397,944.91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收到的其他</w:t>
            </w:r>
          </w:p>
        </w:tc>
        <w:tc>
          <w:tcPr>
            <w:tcW w:w="156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xml:space="preserve">2,318,425.28 </w:t>
            </w:r>
          </w:p>
        </w:tc>
        <w:tc>
          <w:tcPr>
            <w:tcW w:w="155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5,815,863.42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48,124,493.00</w:t>
            </w:r>
          </w:p>
        </w:tc>
        <w:tc>
          <w:tcPr>
            <w:tcW w:w="1556"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66,075,427.84</w:t>
            </w:r>
          </w:p>
        </w:tc>
      </w:tr>
    </w:tbl>
    <w:p/>
    <w:p/>
    <w:p>
      <w:pPr>
        <w:snapToGrid w:val="0"/>
        <w:spacing w:before="60" w:after="60" w:line="240" w:lineRule="atLeast"/>
        <w:rPr>
          <w:rFonts w:hint="default" w:eastAsia="宋体"/>
          <w:szCs w:val="21"/>
          <w:highlight w:val="none"/>
          <w:lang w:val="en-US" w:eastAsia="zh-CN"/>
        </w:rPr>
      </w:pPr>
      <w:r>
        <w:rPr>
          <w:rFonts w:hint="eastAsia"/>
          <w:szCs w:val="21"/>
          <w:highlight w:val="none"/>
        </w:rPr>
        <w:t>收到的其他与经营活动有关的现金说明：</w:t>
      </w:r>
      <w:r>
        <w:rPr>
          <w:rFonts w:hint="eastAsia"/>
          <w:szCs w:val="21"/>
          <w:highlight w:val="none"/>
          <w:lang w:val="en-US" w:eastAsia="zh-CN"/>
        </w:rPr>
        <w:t xml:space="preserve">   </w:t>
      </w:r>
    </w:p>
    <w:sdt>
      <w:sdtPr>
        <w:rPr>
          <w:szCs w:val="21"/>
          <w:highlight w:val="none"/>
        </w:rPr>
        <w:alias w:val="收到的其他与经营活动有关的现金说明"/>
        <w:tag w:val="_GBC_2e3adcc96d704a9b8dd36934b863d3d4"/>
        <w:id w:val="27609"/>
        <w:lock w:val="sdtLocked"/>
        <w:placeholder>
          <w:docPart w:val="GBC22222222222222222222222222222"/>
        </w:placeholder>
      </w:sdtPr>
      <w:sdtEndPr>
        <w:rPr>
          <w:szCs w:val="21"/>
          <w:highlight w:val="yellow"/>
        </w:rPr>
      </w:sdtEndPr>
      <w:sdtContent>
        <w:p>
          <w:pPr>
            <w:rPr>
              <w:szCs w:val="21"/>
              <w:highlight w:val="yellow"/>
            </w:rPr>
          </w:pPr>
          <w:r>
            <w:rPr>
              <w:rFonts w:hint="eastAsia"/>
              <w:szCs w:val="21"/>
              <w:highlight w:val="none"/>
              <w:lang w:eastAsia="zh-CN"/>
            </w:rPr>
            <w:t>无</w:t>
          </w:r>
        </w:p>
      </w:sdtContent>
    </w:sdt>
    <w:p>
      <w:pPr>
        <w:rPr>
          <w:szCs w:val="21"/>
        </w:rPr>
      </w:pPr>
    </w:p>
    <w:p>
      <w:r>
        <w:rPr>
          <w:rFonts w:hint="eastAsia"/>
        </w:rPr>
        <w:t>支付的其他与经营活动有关的现金</w:t>
      </w:r>
    </w:p>
    <w:sdt>
      <w:sdtPr>
        <w:alias w:val="是否适用：支付的其他与经营活动有关的现金[双击切换]"/>
        <w:tag w:val="_GBC_f4dd9812849049808cd722f0acb16a7a"/>
        <w:id w:val="2761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27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6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1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313336294a534de9a634e32311d5592e"/>
            <w:id w:val="20140"/>
          </w:sdtPr>
          <w:sdtEndPr>
            <w:rPr>
              <w:rFonts w:ascii="Times New Roman" w:hAnsi="Times New Roman"/>
            </w:rPr>
          </w:sdtEndPr>
          <w:sdtContent>
            <w:tc>
              <w:tcPr>
                <w:tcW w:w="1882" w:type="pct"/>
              </w:tcPr>
              <w:p>
                <w:pPr>
                  <w:autoSpaceDE w:val="0"/>
                  <w:autoSpaceDN w:val="0"/>
                  <w:adjustRightInd w:val="0"/>
                  <w:snapToGrid w:val="0"/>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254446e36934468da941d479360a4c79"/>
            <w:id w:val="20141"/>
          </w:sdtPr>
          <w:sdtEndPr>
            <w:rPr>
              <w:rFonts w:ascii="Times New Roman" w:hAnsi="Times New Roman"/>
            </w:rPr>
          </w:sdtEndPr>
          <w:sdtContent>
            <w:tc>
              <w:tcPr>
                <w:tcW w:w="1551" w:type="pct"/>
              </w:tcPr>
              <w:p>
                <w:pPr>
                  <w:autoSpaceDE w:val="0"/>
                  <w:autoSpaceDN w:val="0"/>
                  <w:adjustRightInd w:val="0"/>
                  <w:snapToGrid w:val="0"/>
                  <w:jc w:val="center"/>
                  <w:rPr>
                    <w:rFonts w:ascii="Times New Roman" w:hAnsi="Times New Roman"/>
                    <w:szCs w:val="21"/>
                  </w:rPr>
                </w:pPr>
                <w:r>
                  <w:rPr>
                    <w:rFonts w:hint="eastAsia" w:ascii="Times New Roman" w:hAnsi="Times New Roman"/>
                  </w:rPr>
                  <w:t>本期发生额</w:t>
                </w:r>
              </w:p>
            </w:tc>
          </w:sdtContent>
        </w:sdt>
        <w:sdt>
          <w:sdtPr>
            <w:rPr>
              <w:rFonts w:ascii="Times New Roman" w:hAnsi="Times New Roman"/>
            </w:rPr>
            <w:tag w:val="_PLD_7dc479c1c10240cc94f89ea3fc1d6136"/>
            <w:id w:val="20142"/>
          </w:sdtPr>
          <w:sdtEndPr>
            <w:rPr>
              <w:rFonts w:ascii="Times New Roman" w:hAnsi="Times New Roman"/>
            </w:rPr>
          </w:sdtEndPr>
          <w:sdtContent>
            <w:tc>
              <w:tcPr>
                <w:tcW w:w="1567" w:type="pct"/>
              </w:tcPr>
              <w:p>
                <w:pPr>
                  <w:autoSpaceDE w:val="0"/>
                  <w:autoSpaceDN w:val="0"/>
                  <w:adjustRightInd w:val="0"/>
                  <w:snapToGrid w:val="0"/>
                  <w:jc w:val="center"/>
                  <w:rPr>
                    <w:rFonts w:ascii="Times New Roman" w:hAnsi="Times New Roman"/>
                    <w:szCs w:val="21"/>
                  </w:rPr>
                </w:pPr>
                <w:r>
                  <w:rPr>
                    <w:rFonts w:hint="eastAsia" w:ascii="Times New Roman" w:hAnsi="Times New Roman"/>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ascii="Times New Roman" w:hAnsi="Times New Roman"/>
                <w:szCs w:val="21"/>
              </w:rPr>
            </w:pPr>
            <w:r>
              <w:rPr>
                <w:rFonts w:ascii="Times New Roman" w:hAnsi="Times New Roman"/>
              </w:rPr>
              <w:t>支付各项费用</w:t>
            </w:r>
          </w:p>
        </w:tc>
        <w:tc>
          <w:tcPr>
            <w:tcW w:w="1551" w:type="pct"/>
          </w:tcPr>
          <w:p>
            <w:pPr>
              <w:jc w:val="right"/>
              <w:rPr>
                <w:rFonts w:ascii="Times New Roman" w:hAnsi="Times New Roman"/>
                <w:szCs w:val="21"/>
              </w:rPr>
            </w:pPr>
            <w:r>
              <w:rPr>
                <w:rFonts w:ascii="Times New Roman" w:hAnsi="Times New Roman"/>
                <w:color w:val="auto"/>
              </w:rPr>
              <w:t> 129,133,789.67</w:t>
            </w:r>
          </w:p>
        </w:tc>
        <w:tc>
          <w:tcPr>
            <w:tcW w:w="1567" w:type="pct"/>
          </w:tcPr>
          <w:p>
            <w:pPr>
              <w:jc w:val="right"/>
              <w:rPr>
                <w:rFonts w:ascii="Times New Roman" w:hAnsi="Times New Roman"/>
                <w:szCs w:val="21"/>
              </w:rPr>
            </w:pPr>
            <w:r>
              <w:rPr>
                <w:rFonts w:ascii="Times New Roman" w:hAnsi="Times New Roman"/>
                <w:color w:val="auto"/>
              </w:rPr>
              <w:t>101,763,278.96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ascii="Times New Roman" w:hAnsi="Times New Roman"/>
                <w:szCs w:val="21"/>
              </w:rPr>
            </w:pPr>
            <w:r>
              <w:rPr>
                <w:rFonts w:ascii="Times New Roman" w:hAnsi="Times New Roman"/>
              </w:rPr>
              <w:t>支付的往来款</w:t>
            </w:r>
          </w:p>
        </w:tc>
        <w:tc>
          <w:tcPr>
            <w:tcW w:w="1551" w:type="pct"/>
          </w:tcPr>
          <w:p>
            <w:pPr>
              <w:jc w:val="right"/>
              <w:rPr>
                <w:rFonts w:ascii="Times New Roman" w:hAnsi="Times New Roman"/>
                <w:szCs w:val="21"/>
              </w:rPr>
            </w:pPr>
            <w:r>
              <w:rPr>
                <w:rFonts w:ascii="Times New Roman" w:hAnsi="Times New Roman"/>
                <w:color w:val="auto"/>
              </w:rPr>
              <w:t> 8,351,790.89</w:t>
            </w:r>
          </w:p>
        </w:tc>
        <w:tc>
          <w:tcPr>
            <w:tcW w:w="1567" w:type="pct"/>
          </w:tcPr>
          <w:p>
            <w:pPr>
              <w:jc w:val="right"/>
              <w:rPr>
                <w:rFonts w:ascii="Times New Roman" w:hAnsi="Times New Roman"/>
                <w:szCs w:val="21"/>
              </w:rPr>
            </w:pPr>
            <w:r>
              <w:rPr>
                <w:rFonts w:ascii="Times New Roman" w:hAnsi="Times New Roman"/>
                <w:color w:val="auto"/>
              </w:rPr>
              <w:t>8,046,953.90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rPr>
                <w:rFonts w:ascii="Times New Roman" w:hAnsi="Times New Roman"/>
                <w:szCs w:val="21"/>
              </w:rPr>
            </w:pPr>
            <w:r>
              <w:rPr>
                <w:rFonts w:hint="eastAsia" w:ascii="Times New Roman" w:hAnsi="Times New Roman"/>
                <w:szCs w:val="21"/>
              </w:rPr>
              <w:t>合计</w:t>
            </w:r>
          </w:p>
        </w:tc>
        <w:tc>
          <w:tcPr>
            <w:tcW w:w="1551" w:type="pct"/>
          </w:tcPr>
          <w:p>
            <w:pPr>
              <w:jc w:val="right"/>
              <w:rPr>
                <w:rFonts w:hint="eastAsia" w:ascii="Times New Roman" w:hAnsi="Times New Roman"/>
                <w:szCs w:val="21"/>
              </w:rPr>
            </w:pPr>
            <w:r>
              <w:rPr>
                <w:rFonts w:ascii="Times New Roman" w:hAnsi="Times New Roman"/>
                <w:color w:val="auto"/>
              </w:rPr>
              <w:t> 137,485,580.56</w:t>
            </w:r>
          </w:p>
        </w:tc>
        <w:tc>
          <w:tcPr>
            <w:tcW w:w="1567" w:type="pct"/>
          </w:tcPr>
          <w:p>
            <w:pPr>
              <w:jc w:val="right"/>
              <w:rPr>
                <w:rFonts w:hint="eastAsia" w:ascii="Times New Roman" w:hAnsi="Times New Roman"/>
                <w:szCs w:val="21"/>
              </w:rPr>
            </w:pPr>
            <w:r>
              <w:rPr>
                <w:rFonts w:ascii="Times New Roman" w:hAnsi="Times New Roman"/>
                <w:color w:val="auto"/>
              </w:rPr>
              <w:t>109,810,232.86</w:t>
            </w:r>
          </w:p>
        </w:tc>
      </w:tr>
    </w:tbl>
    <w:p/>
    <w:p/>
    <w:p/>
    <w:p>
      <w:pPr>
        <w:spacing w:before="60" w:after="60"/>
        <w:rPr>
          <w:szCs w:val="21"/>
          <w:highlight w:val="none"/>
        </w:rPr>
      </w:pPr>
      <w:r>
        <w:rPr>
          <w:rFonts w:hint="eastAsia"/>
          <w:szCs w:val="21"/>
          <w:highlight w:val="none"/>
        </w:rPr>
        <w:t>支付的其他与经营活动有关的现金说明：</w:t>
      </w:r>
    </w:p>
    <w:sdt>
      <w:sdtPr>
        <w:rPr>
          <w:rFonts w:hint="eastAsia"/>
          <w:szCs w:val="21"/>
          <w:highlight w:val="none"/>
        </w:rPr>
        <w:alias w:val="支付的其他与经营活动有关的现金说明"/>
        <w:tag w:val="_GBC_0465de66d71e4a34a0d6c076baa704db"/>
        <w:id w:val="27616"/>
        <w:lock w:val="sdtLocked"/>
        <w:placeholder>
          <w:docPart w:val="GBC22222222222222222222222222222"/>
        </w:placeholder>
      </w:sdtPr>
      <w:sdtEndPr>
        <w:rPr>
          <w:rFonts w:hint="eastAsia"/>
          <w:szCs w:val="21"/>
          <w:highlight w:val="yellow"/>
        </w:rPr>
      </w:sdtEndPr>
      <w:sdtContent>
        <w:p>
          <w:pPr>
            <w:ind w:right="5"/>
            <w:rPr>
              <w:szCs w:val="21"/>
            </w:rPr>
          </w:pPr>
          <w:r>
            <w:rPr>
              <w:rFonts w:hint="eastAsia"/>
              <w:szCs w:val="21"/>
              <w:highlight w:val="none"/>
              <w:lang w:eastAsia="zh-CN"/>
            </w:rPr>
            <w:t>无</w:t>
          </w:r>
        </w:p>
      </w:sdtContent>
    </w:sdt>
    <w:p>
      <w:pPr>
        <w:pStyle w:val="196"/>
        <w:numPr>
          <w:ilvl w:val="0"/>
          <w:numId w:val="107"/>
        </w:numPr>
        <w:ind w:left="426" w:hanging="426"/>
      </w:pPr>
      <w:r>
        <w:rPr>
          <w:rFonts w:hint="eastAsia"/>
        </w:rPr>
        <w:t>与投资活动有关的现金</w:t>
      </w:r>
    </w:p>
    <w:p>
      <w:r>
        <w:rPr>
          <w:rFonts w:hint="eastAsia"/>
        </w:rPr>
        <w:t>收到的重要的投资活动有关的现金</w:t>
      </w:r>
    </w:p>
    <w:sdt>
      <w:sdtPr>
        <w:alias w:val="是否适用：收到的重要的投资活动有关的现金[双击切换]"/>
        <w:tag w:val="_GBC_9196f5edd13f48c58cf11429e2524db4"/>
        <w:id w:val="2761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支付的重要的投资活动有关的现金</w:t>
      </w:r>
    </w:p>
    <w:sdt>
      <w:sdtPr>
        <w:alias w:val="是否适用：支付的重要的投资活动有关的现金[双击切换]"/>
        <w:tag w:val="_GBC_87278c8d34004ae4ad117e1026d10209"/>
        <w:id w:val="27618"/>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收到的其他与投资活动有关的现金</w:t>
      </w:r>
    </w:p>
    <w:sdt>
      <w:sdtPr>
        <w:alias w:val="是否适用：收到的其他与投资活动有关的现金[双击切换]"/>
        <w:tag w:val="_GBC_a9d11a87566b448d9e6aac9a017a8388"/>
        <w:id w:val="27619"/>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276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76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5"/>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fe69c5749494bb49faf620c5198417e"/>
            <w:id w:val="27622"/>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27623"/>
          </w:sdtPr>
          <w:sdtContent>
            <w:tc>
              <w:tcPr>
                <w:tcW w:w="1609"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27624"/>
          </w:sdtPr>
          <w:sdtContent>
            <w:tc>
              <w:tcPr>
                <w:tcW w:w="1509" w:type="pct"/>
              </w:tcPr>
              <w:p>
                <w:pPr>
                  <w:autoSpaceDE w:val="0"/>
                  <w:autoSpaceDN w:val="0"/>
                  <w:adjustRightInd w:val="0"/>
                  <w:snapToGrid w:val="0"/>
                  <w:spacing w:line="240" w:lineRule="atLeast"/>
                  <w:jc w:val="center"/>
                  <w:rPr>
                    <w:szCs w:val="21"/>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收回理财产品款</w:t>
            </w:r>
          </w:p>
        </w:tc>
        <w:tc>
          <w:tcPr>
            <w:tcW w:w="1609" w:type="pct"/>
            <w:vAlign w:val="bottom"/>
          </w:tcPr>
          <w:p>
            <w:pPr>
              <w:jc w:val="right"/>
              <w:rPr>
                <w:rFonts w:hint="eastAsia"/>
                <w:szCs w:val="21"/>
              </w:rPr>
            </w:pPr>
            <w:r>
              <w:t> </w:t>
            </w:r>
          </w:p>
        </w:tc>
        <w:tc>
          <w:tcPr>
            <w:tcW w:w="1509" w:type="pct"/>
          </w:tcPr>
          <w:p>
            <w:pPr>
              <w:jc w:val="right"/>
              <w:rPr>
                <w:rFonts w:hint="eastAsia"/>
                <w:szCs w:val="21"/>
              </w:rPr>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hint="eastAsia"/>
                <w:szCs w:val="21"/>
              </w:rPr>
            </w:pPr>
            <w:r>
              <w:t>收回投资理财产品</w:t>
            </w:r>
          </w:p>
        </w:tc>
        <w:tc>
          <w:tcPr>
            <w:tcW w:w="1609" w:type="pct"/>
            <w:vAlign w:val="bottom"/>
          </w:tcPr>
          <w:p>
            <w:pPr>
              <w:jc w:val="right"/>
              <w:rPr>
                <w:rFonts w:hint="eastAsia"/>
                <w:szCs w:val="21"/>
              </w:rPr>
            </w:pPr>
            <w:r>
              <w:t> </w:t>
            </w:r>
          </w:p>
        </w:tc>
        <w:tc>
          <w:tcPr>
            <w:tcW w:w="1509" w:type="pct"/>
            <w:vAlign w:val="center"/>
          </w:tcPr>
          <w:p>
            <w:pPr>
              <w:jc w:val="right"/>
              <w:rPr>
                <w:rFonts w:hint="default" w:ascii="Times New Roman" w:hAnsi="Times New Roman" w:cs="Times New Roman"/>
                <w:szCs w:val="21"/>
              </w:rPr>
            </w:pPr>
            <w:r>
              <w:rPr>
                <w:rFonts w:hint="default" w:ascii="Times New Roman" w:hAnsi="Times New Roman" w:cs="Times New Roman"/>
              </w:rPr>
              <w:t>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rPr>
                <w:rFonts w:hint="eastAsia"/>
                <w:szCs w:val="21"/>
              </w:rPr>
              <w:t>合计</w:t>
            </w:r>
          </w:p>
        </w:tc>
        <w:tc>
          <w:tcPr>
            <w:tcW w:w="1609" w:type="pct"/>
            <w:vAlign w:val="bottom"/>
          </w:tcPr>
          <w:p>
            <w:pPr>
              <w:jc w:val="right"/>
              <w:rPr>
                <w:rFonts w:hint="eastAsia"/>
                <w:szCs w:val="21"/>
              </w:rPr>
            </w:pPr>
          </w:p>
        </w:tc>
        <w:tc>
          <w:tcPr>
            <w:tcW w:w="1509" w:type="pct"/>
            <w:vAlign w:val="center"/>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30,000,000.00</w:t>
            </w:r>
          </w:p>
        </w:tc>
      </w:tr>
    </w:tbl>
    <w:p/>
    <w:p>
      <w:pPr>
        <w:snapToGrid w:val="0"/>
        <w:spacing w:before="60" w:after="60"/>
        <w:rPr>
          <w:szCs w:val="21"/>
          <w:highlight w:val="none"/>
        </w:rPr>
      </w:pPr>
      <w:r>
        <w:rPr>
          <w:rFonts w:hint="eastAsia"/>
          <w:szCs w:val="21"/>
          <w:highlight w:val="none"/>
        </w:rPr>
        <w:t>收到的其他与投资活动有关的现金说明：</w:t>
      </w:r>
    </w:p>
    <w:sdt>
      <w:sdtPr>
        <w:rPr>
          <w:szCs w:val="21"/>
          <w:highlight w:val="none"/>
        </w:rPr>
        <w:alias w:val="收到的其他与投资活动有关的现金说明"/>
        <w:tag w:val="_GBC_4f6584697d884cfd99a931a45c33cdac"/>
        <w:id w:val="27625"/>
        <w:placeholder>
          <w:docPart w:val="GBC22222222222222222222222222222"/>
        </w:placeholder>
      </w:sdtPr>
      <w:sdtEndPr>
        <w:rPr>
          <w:szCs w:val="21"/>
          <w:highlight w:val="yellow"/>
        </w:rPr>
      </w:sdtEndPr>
      <w:sdtContent>
        <w:p>
          <w:pPr>
            <w:snapToGrid w:val="0"/>
            <w:spacing w:line="240" w:lineRule="atLeast"/>
            <w:rPr>
              <w:szCs w:val="21"/>
            </w:rPr>
          </w:pPr>
          <w:r>
            <w:rPr>
              <w:rFonts w:hint="eastAsia"/>
              <w:szCs w:val="21"/>
              <w:highlight w:val="none"/>
              <w:lang w:eastAsia="zh-CN"/>
            </w:rPr>
            <w:t>无</w:t>
          </w:r>
        </w:p>
      </w:sdtContent>
    </w:sdt>
    <w:p>
      <w:pPr>
        <w:rPr>
          <w:szCs w:val="21"/>
        </w:rPr>
      </w:pPr>
    </w:p>
    <w:p>
      <w:r>
        <w:rPr>
          <w:rFonts w:hint="eastAsia"/>
        </w:rPr>
        <w:t>支付的其他与投资活动有关的现金</w:t>
      </w:r>
    </w:p>
    <w:sdt>
      <w:sdtPr>
        <w:alias w:val="是否适用：支付的其他与投资活动有关的现金[双击切换]"/>
        <w:tag w:val="_GBC_c733aab18a804ecea142a329ce5180ba"/>
        <w:id w:val="27626"/>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276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27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8"/>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87dffb6cb394ed0abe3449c37ec4700"/>
            <w:id w:val="27629"/>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7630"/>
          </w:sdtPr>
          <w:sdtContent>
            <w:tc>
              <w:tcPr>
                <w:tcW w:w="1610" w:type="pct"/>
              </w:tcPr>
              <w:p>
                <w:pPr>
                  <w:autoSpaceDE w:val="0"/>
                  <w:autoSpaceDN w:val="0"/>
                  <w:adjustRightInd w:val="0"/>
                  <w:snapToGrid w:val="0"/>
                  <w:jc w:val="center"/>
                  <w:rPr>
                    <w:szCs w:val="21"/>
                  </w:rPr>
                </w:pPr>
                <w:r>
                  <w:rPr>
                    <w:rFonts w:hint="eastAsia"/>
                  </w:rPr>
                  <w:t>本期发生额</w:t>
                </w:r>
              </w:p>
            </w:tc>
          </w:sdtContent>
        </w:sdt>
        <w:sdt>
          <w:sdtPr>
            <w:tag w:val="_PLD_f161b1c392e440818862ceb1761bb906"/>
            <w:id w:val="27631"/>
          </w:sdtPr>
          <w:sdtContent>
            <w:tc>
              <w:tcPr>
                <w:tcW w:w="1507" w:type="pct"/>
              </w:tcPr>
              <w:p>
                <w:pPr>
                  <w:autoSpaceDE w:val="0"/>
                  <w:autoSpaceDN w:val="0"/>
                  <w:adjustRightInd w:val="0"/>
                  <w:snapToGrid w:val="0"/>
                  <w:jc w:val="center"/>
                  <w:rPr>
                    <w:szCs w:val="21"/>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szCs w:val="21"/>
              </w:rPr>
            </w:pPr>
            <w:r>
              <w:t>支付的投资理财产品</w:t>
            </w:r>
          </w:p>
        </w:tc>
        <w:tc>
          <w:tcPr>
            <w:tcW w:w="1610" w:type="pct"/>
            <w:vAlign w:val="bottom"/>
          </w:tcPr>
          <w:p>
            <w:pPr>
              <w:jc w:val="right"/>
              <w:rPr>
                <w:szCs w:val="21"/>
              </w:rPr>
            </w:pPr>
            <w:r>
              <w:t> </w:t>
            </w:r>
          </w:p>
        </w:tc>
        <w:tc>
          <w:tcPr>
            <w:tcW w:w="1507" w:type="pct"/>
          </w:tcPr>
          <w:p>
            <w:pPr>
              <w:jc w:val="right"/>
              <w:rPr>
                <w:rFonts w:hint="default" w:ascii="Times New Roman" w:hAnsi="Times New Roman" w:cs="Times New Roman"/>
                <w:szCs w:val="21"/>
              </w:rPr>
            </w:pPr>
            <w:r>
              <w:rPr>
                <w:rFonts w:hint="default" w:ascii="Times New Roman" w:hAnsi="Times New Roman" w:cs="Times New Roman"/>
              </w:rPr>
              <w:t>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rPr>
                <w:szCs w:val="21"/>
              </w:rPr>
            </w:pPr>
            <w:r>
              <w:rPr>
                <w:rFonts w:hint="eastAsia"/>
                <w:szCs w:val="21"/>
              </w:rPr>
              <w:t>合计</w:t>
            </w:r>
          </w:p>
        </w:tc>
        <w:tc>
          <w:tcPr>
            <w:tcW w:w="1610" w:type="pct"/>
            <w:vAlign w:val="bottom"/>
          </w:tcPr>
          <w:p>
            <w:pPr>
              <w:jc w:val="right"/>
              <w:rPr>
                <w:rFonts w:hint="eastAsia"/>
                <w:szCs w:val="21"/>
              </w:rPr>
            </w:pPr>
          </w:p>
        </w:tc>
        <w:tc>
          <w:tcPr>
            <w:tcW w:w="1507" w:type="pct"/>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30,000,000.00</w:t>
            </w:r>
          </w:p>
        </w:tc>
      </w:tr>
    </w:tbl>
    <w:p/>
    <w:p>
      <w:pPr>
        <w:spacing w:before="60" w:after="60"/>
        <w:rPr>
          <w:szCs w:val="21"/>
          <w:highlight w:val="none"/>
        </w:rPr>
      </w:pPr>
      <w:r>
        <w:rPr>
          <w:rFonts w:hint="eastAsia"/>
          <w:szCs w:val="21"/>
          <w:highlight w:val="none"/>
        </w:rPr>
        <w:t>支付的其他与投资活动有关的现金说明：</w:t>
      </w:r>
    </w:p>
    <w:sdt>
      <w:sdtPr>
        <w:rPr>
          <w:rFonts w:hint="eastAsia"/>
          <w:szCs w:val="21"/>
          <w:highlight w:val="none"/>
        </w:rPr>
        <w:alias w:val="支付的其他与投资活动有关的现金说明"/>
        <w:tag w:val="_GBC_e94cfcc1a78341c4a50c9acc8c5c726c"/>
        <w:id w:val="27632"/>
        <w:placeholder>
          <w:docPart w:val="GBC22222222222222222222222222222"/>
        </w:placeholder>
      </w:sdtPr>
      <w:sdtEndPr>
        <w:rPr>
          <w:rFonts w:hint="eastAsia"/>
          <w:szCs w:val="21"/>
          <w:highlight w:val="none"/>
        </w:rPr>
      </w:sdtEndPr>
      <w:sdtContent>
        <w:p>
          <w:pPr>
            <w:rPr>
              <w:szCs w:val="21"/>
              <w:highlight w:val="none"/>
            </w:rPr>
          </w:pPr>
          <w:r>
            <w:rPr>
              <w:rFonts w:hint="eastAsia"/>
              <w:szCs w:val="21"/>
              <w:highlight w:val="none"/>
              <w:lang w:eastAsia="zh-CN"/>
            </w:rPr>
            <w:t>无</w:t>
          </w:r>
        </w:p>
      </w:sdtContent>
    </w:sdt>
    <w:p>
      <w:pPr>
        <w:rPr>
          <w:szCs w:val="21"/>
        </w:rPr>
      </w:pPr>
    </w:p>
    <w:p>
      <w:pPr>
        <w:pStyle w:val="196"/>
        <w:numPr>
          <w:ilvl w:val="0"/>
          <w:numId w:val="107"/>
        </w:numPr>
        <w:ind w:left="426" w:hanging="426"/>
      </w:pPr>
      <w:r>
        <w:rPr>
          <w:rFonts w:hint="eastAsia"/>
        </w:rPr>
        <w:t>与筹资活动有关的现金</w:t>
      </w:r>
    </w:p>
    <w:p>
      <w:r>
        <w:rPr>
          <w:rFonts w:hint="eastAsia"/>
        </w:rPr>
        <w:t>收到的其他与筹资活动有关的现金</w:t>
      </w:r>
    </w:p>
    <w:sdt>
      <w:sdtPr>
        <w:alias w:val="是否适用：收到的其他与筹资活动有关的现金[双击切换]"/>
        <w:tag w:val="_GBC_031910cf781944cf80900ffa99f7a9d7"/>
        <w:id w:val="2763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276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27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8"/>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a77349a2c05f473b9ac20b64fc24179e"/>
            <w:id w:val="27636"/>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27637"/>
          </w:sdtPr>
          <w:sdtContent>
            <w:tc>
              <w:tcPr>
                <w:tcW w:w="1610" w:type="pct"/>
              </w:tcPr>
              <w:p>
                <w:pPr>
                  <w:autoSpaceDE w:val="0"/>
                  <w:autoSpaceDN w:val="0"/>
                  <w:adjustRightInd w:val="0"/>
                  <w:snapToGrid w:val="0"/>
                  <w:jc w:val="center"/>
                  <w:rPr>
                    <w:szCs w:val="21"/>
                  </w:rPr>
                </w:pPr>
                <w:r>
                  <w:rPr>
                    <w:rFonts w:hint="eastAsia"/>
                  </w:rPr>
                  <w:t>本期发生额</w:t>
                </w:r>
              </w:p>
            </w:tc>
          </w:sdtContent>
        </w:sdt>
        <w:sdt>
          <w:sdtPr>
            <w:tag w:val="_PLD_aa071ffac82040379300e6f5150e4ff7"/>
            <w:id w:val="27638"/>
          </w:sdtPr>
          <w:sdtContent>
            <w:tc>
              <w:tcPr>
                <w:tcW w:w="1507" w:type="pct"/>
              </w:tcPr>
              <w:p>
                <w:pPr>
                  <w:autoSpaceDE w:val="0"/>
                  <w:autoSpaceDN w:val="0"/>
                  <w:adjustRightInd w:val="0"/>
                  <w:snapToGrid w:val="0"/>
                  <w:jc w:val="center"/>
                  <w:rPr>
                    <w:szCs w:val="21"/>
                  </w:rP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hint="eastAsia"/>
                <w:szCs w:val="21"/>
              </w:rPr>
            </w:pPr>
            <w:r>
              <w:t>收到的贷款贴息</w:t>
            </w:r>
          </w:p>
        </w:tc>
        <w:tc>
          <w:tcPr>
            <w:tcW w:w="1610" w:type="pct"/>
            <w:vAlign w:val="bottom"/>
          </w:tcPr>
          <w:p>
            <w:pPr>
              <w:jc w:val="right"/>
              <w:rPr>
                <w:rFonts w:hint="eastAsia"/>
                <w:szCs w:val="21"/>
              </w:rPr>
            </w:pPr>
            <w:r>
              <w:t> </w:t>
            </w:r>
          </w:p>
        </w:tc>
        <w:tc>
          <w:tcPr>
            <w:tcW w:w="1507" w:type="pct"/>
          </w:tcPr>
          <w:p>
            <w:pPr>
              <w:jc w:val="right"/>
              <w:rPr>
                <w:rFonts w:hint="default" w:ascii="Times New Roman" w:hAnsi="Times New Roman" w:cs="Times New Roman"/>
                <w:szCs w:val="21"/>
              </w:rPr>
            </w:pPr>
            <w:r>
              <w:rPr>
                <w:rFonts w:hint="default" w:ascii="Times New Roman" w:hAnsi="Times New Roman" w:cs="Times New Roman"/>
              </w:rPr>
              <w:t>769,200.00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rPr>
                <w:szCs w:val="21"/>
              </w:rPr>
            </w:pPr>
            <w:r>
              <w:rPr>
                <w:rFonts w:hint="eastAsia"/>
                <w:szCs w:val="21"/>
              </w:rPr>
              <w:t>合计</w:t>
            </w:r>
          </w:p>
        </w:tc>
        <w:tc>
          <w:tcPr>
            <w:tcW w:w="1610" w:type="pct"/>
            <w:vAlign w:val="bottom"/>
          </w:tcPr>
          <w:p>
            <w:pPr>
              <w:jc w:val="right"/>
              <w:rPr>
                <w:rFonts w:hint="eastAsia"/>
                <w:szCs w:val="21"/>
              </w:rPr>
            </w:pPr>
          </w:p>
        </w:tc>
        <w:tc>
          <w:tcPr>
            <w:tcW w:w="1507" w:type="pct"/>
          </w:tcPr>
          <w:p>
            <w:pPr>
              <w:jc w:val="right"/>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769,200.00</w:t>
            </w:r>
          </w:p>
        </w:tc>
      </w:tr>
    </w:tbl>
    <w:p/>
    <w:p>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27639"/>
        <w:placeholder>
          <w:docPart w:val="GBC22222222222222222222222222222"/>
        </w:placeholder>
      </w:sdtPr>
      <w:sdtEndPr>
        <w:rPr>
          <w:rFonts w:hint="eastAsia"/>
          <w:szCs w:val="22"/>
        </w:rPr>
      </w:sdtEndPr>
      <w:sdtContent>
        <w:p>
          <w:r>
            <w:rPr>
              <w:rFonts w:hint="eastAsia"/>
              <w:szCs w:val="21"/>
              <w:lang w:eastAsia="zh-CN"/>
            </w:rPr>
            <w:t>无</w:t>
          </w:r>
        </w:p>
      </w:sdtContent>
    </w:sdt>
    <w:p/>
    <w:p>
      <w:r>
        <w:rPr>
          <w:rFonts w:hint="eastAsia"/>
        </w:rPr>
        <w:t>支付的其他与筹资活动有关的现金</w:t>
      </w:r>
    </w:p>
    <w:sdt>
      <w:sdtPr>
        <w:alias w:val="是否适用：支付的其他与筹资活动有关的现金[双击切换]"/>
        <w:tag w:val="_GBC_fcc0d0c43a2d4fa88ca685f3e36f2f40"/>
        <w:id w:val="2764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276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27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8"/>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e2db8e0335cc47fe9b6461eeb2befa7e"/>
            <w:id w:val="27643"/>
          </w:sdtPr>
          <w:sdtContent>
            <w:tc>
              <w:tcPr>
                <w:tcW w:w="1882" w:type="pct"/>
              </w:tcPr>
              <w:p>
                <w:pPr>
                  <w:autoSpaceDE w:val="0"/>
                  <w:autoSpaceDN w:val="0"/>
                  <w:adjustRightInd w:val="0"/>
                  <w:snapToGrid w:val="0"/>
                  <w:jc w:val="center"/>
                </w:pPr>
                <w:r>
                  <w:rPr>
                    <w:rFonts w:hint="eastAsia"/>
                  </w:rPr>
                  <w:t>项目</w:t>
                </w:r>
              </w:p>
            </w:tc>
          </w:sdtContent>
        </w:sdt>
        <w:sdt>
          <w:sdtPr>
            <w:tag w:val="_PLD_bb4a54a8a5be4a6691e4d59483217c64"/>
            <w:id w:val="27644"/>
          </w:sdtPr>
          <w:sdtContent>
            <w:tc>
              <w:tcPr>
                <w:tcW w:w="1610" w:type="pct"/>
              </w:tcPr>
              <w:p>
                <w:pPr>
                  <w:autoSpaceDE w:val="0"/>
                  <w:autoSpaceDN w:val="0"/>
                  <w:adjustRightInd w:val="0"/>
                  <w:snapToGrid w:val="0"/>
                  <w:jc w:val="center"/>
                </w:pPr>
                <w:r>
                  <w:rPr>
                    <w:rFonts w:hint="eastAsia"/>
                  </w:rPr>
                  <w:t>本期发生额</w:t>
                </w:r>
              </w:p>
            </w:tc>
          </w:sdtContent>
        </w:sdt>
        <w:sdt>
          <w:sdtPr>
            <w:tag w:val="_PLD_a4930447bc4d450faf79f923eef8597b"/>
            <w:id w:val="27645"/>
          </w:sdtPr>
          <w:sdtContent>
            <w:tc>
              <w:tcPr>
                <w:tcW w:w="1507" w:type="pct"/>
              </w:tcPr>
              <w:p>
                <w:pPr>
                  <w:autoSpaceDE w:val="0"/>
                  <w:autoSpaceDN w:val="0"/>
                  <w:adjustRightInd w:val="0"/>
                  <w:snapToGri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pPr>
            <w:r>
              <w:t>支付的融资租赁费</w:t>
            </w:r>
          </w:p>
        </w:tc>
        <w:tc>
          <w:tcPr>
            <w:tcW w:w="1610" w:type="pct"/>
            <w:vAlign w:val="bottom"/>
          </w:tcPr>
          <w:p>
            <w:pPr>
              <w:jc w:val="right"/>
              <w:rPr>
                <w:rFonts w:hint="default" w:ascii="Times New Roman" w:hAnsi="Times New Roman" w:cs="Times New Roman"/>
              </w:rPr>
            </w:pPr>
            <w:r>
              <w:rPr>
                <w:rFonts w:hint="default" w:ascii="Times New Roman" w:hAnsi="Times New Roman" w:cs="Times New Roman"/>
              </w:rPr>
              <w:t> 2,264,865.51</w:t>
            </w:r>
          </w:p>
        </w:tc>
        <w:tc>
          <w:tcPr>
            <w:tcW w:w="1507" w:type="pct"/>
          </w:tcPr>
          <w:p>
            <w:pPr>
              <w:jc w:val="right"/>
              <w:rPr>
                <w:rFonts w:hint="default" w:ascii="Times New Roman" w:hAnsi="Times New Roman" w:cs="Times New Roman"/>
              </w:rPr>
            </w:pPr>
            <w:r>
              <w:rPr>
                <w:rFonts w:hint="default" w:ascii="Times New Roman" w:hAnsi="Times New Roman" w:cs="Times New Roman"/>
              </w:rPr>
              <w:t>920,880.00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pPr>
            <w:r>
              <w:rPr>
                <w:rFonts w:hint="eastAsia"/>
              </w:rPr>
              <w:t>合计</w:t>
            </w:r>
          </w:p>
        </w:tc>
        <w:tc>
          <w:tcPr>
            <w:tcW w:w="1610" w:type="pct"/>
            <w:vAlign w:val="bottom"/>
          </w:tcPr>
          <w:p>
            <w:pPr>
              <w:jc w:val="right"/>
              <w:rPr>
                <w:rFonts w:hint="default" w:ascii="Times New Roman" w:hAnsi="Times New Roman" w:cs="Times New Roman"/>
              </w:rPr>
            </w:pPr>
            <w:r>
              <w:rPr>
                <w:rFonts w:hint="default" w:ascii="Times New Roman" w:hAnsi="Times New Roman" w:cs="Times New Roman"/>
              </w:rPr>
              <w:t> 2,264,865.51</w:t>
            </w:r>
          </w:p>
        </w:tc>
        <w:tc>
          <w:tcPr>
            <w:tcW w:w="1507" w:type="pct"/>
          </w:tcPr>
          <w:p>
            <w:pPr>
              <w:jc w:val="right"/>
              <w:rPr>
                <w:rFonts w:hint="default" w:ascii="Times New Roman" w:hAnsi="Times New Roman" w:cs="Times New Roman"/>
              </w:rPr>
            </w:pPr>
            <w:r>
              <w:rPr>
                <w:rFonts w:hint="default" w:ascii="Times New Roman" w:hAnsi="Times New Roman" w:cs="Times New Roman"/>
              </w:rPr>
              <w:t>920,880.00</w:t>
            </w:r>
          </w:p>
        </w:tc>
      </w:tr>
    </w:tbl>
    <w:p/>
    <w:p/>
    <w:p>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27646"/>
        <w:placeholder>
          <w:docPart w:val="GBC22222222222222222222222222222"/>
        </w:placeholder>
      </w:sdtPr>
      <w:sdtEndPr>
        <w:rPr>
          <w:rFonts w:hint="eastAsia"/>
        </w:rPr>
      </w:sdtEndPr>
      <w:sdtContent>
        <w:p>
          <w:pPr>
            <w:ind w:right="5"/>
            <w:rPr>
              <w:rFonts w:hint="eastAsia"/>
              <w:lang w:eastAsia="zh-CN"/>
            </w:rPr>
          </w:pPr>
          <w:r>
            <w:rPr>
              <w:rFonts w:hint="eastAsia"/>
              <w:lang w:eastAsia="zh-CN"/>
            </w:rPr>
            <w:t>无</w:t>
          </w:r>
        </w:p>
        <w:p>
          <w:pPr>
            <w:ind w:right="5"/>
            <w:rPr>
              <w:rFonts w:hint="eastAsia"/>
              <w:lang w:eastAsia="zh-CN"/>
            </w:rPr>
          </w:pPr>
        </w:p>
        <w:p>
          <w:pPr>
            <w:ind w:right="5"/>
            <w:rPr>
              <w:rFonts w:asciiTheme="minorHAnsi" w:hAnsiTheme="minorHAnsi" w:cstheme="minorBidi"/>
              <w:kern w:val="2"/>
              <w:szCs w:val="22"/>
            </w:rPr>
          </w:pPr>
        </w:p>
      </w:sdtContent>
    </w:sdt>
    <w:p>
      <w:pPr>
        <w:ind w:right="5"/>
        <w:rPr>
          <w:highlight w:val="none"/>
        </w:rPr>
      </w:pPr>
    </w:p>
    <w:p>
      <w:pPr>
        <w:ind w:right="5"/>
        <w:rPr>
          <w:highlight w:val="none"/>
        </w:rPr>
      </w:pPr>
      <w:r>
        <w:rPr>
          <w:rFonts w:hint="eastAsia"/>
          <w:highlight w:val="none"/>
        </w:rPr>
        <w:t>筹资活动产生的各项负债变动情况</w:t>
      </w:r>
    </w:p>
    <w:sdt>
      <w:sdtPr>
        <w:alias w:val="是否适用：筹资活动产生的各项负债变动情况[双击切换]"/>
        <w:tag w:val="_GBC_6935418490e145edaf7010b5534b8d6c"/>
        <w:id w:val="2764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1401407026"/>
          <w:placeholder>
            <w:docPart w:val="{b0455aa9-4081-4e76-9064-ed02d0d88675}"/>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1246688914"/>
          <w:placeholder>
            <w:docPart w:val="{b0455aa9-4081-4e76-9064-ed02d0d88675}"/>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37"/>
        <w:tblW w:w="5162" w:type="pct"/>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173"/>
        <w:gridCol w:w="1363"/>
        <w:gridCol w:w="1418"/>
        <w:gridCol w:w="1323"/>
        <w:gridCol w:w="1446"/>
        <w:gridCol w:w="1336"/>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sdt>
          <w:sdtPr>
            <w:rPr>
              <w:rFonts w:hint="eastAsia" w:ascii="Times New Roman" w:hAnsi="Times New Roman"/>
              <w:sz w:val="18"/>
              <w:szCs w:val="18"/>
            </w:rPr>
            <w:tag w:val="_PLD_5f8ab210fee34d74a9ce8c73775994d9"/>
            <w:id w:val="13743"/>
          </w:sdtPr>
          <w:sdtEndPr>
            <w:rPr>
              <w:rFonts w:hint="eastAsia" w:ascii="Times New Roman" w:hAnsi="Times New Roman"/>
              <w:sz w:val="18"/>
              <w:szCs w:val="18"/>
            </w:rPr>
          </w:sdtEndPr>
          <w:sdtContent>
            <w:tc>
              <w:tcPr>
                <w:tcW w:w="627" w:type="pct"/>
                <w:vMerge w:val="restart"/>
                <w:vAlign w:val="center"/>
              </w:tcPr>
              <w:p>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项目</w:t>
                </w:r>
              </w:p>
            </w:tc>
          </w:sdtContent>
        </w:sdt>
        <w:sdt>
          <w:sdtPr>
            <w:rPr>
              <w:rFonts w:ascii="Times New Roman" w:hAnsi="Times New Roman"/>
              <w:sz w:val="18"/>
              <w:szCs w:val="18"/>
            </w:rPr>
            <w:tag w:val="_PLD_bab049d4c26d47d49041c46652b3d748"/>
            <w:id w:val="13744"/>
          </w:sdtPr>
          <w:sdtEndPr>
            <w:rPr>
              <w:rFonts w:ascii="Times New Roman" w:hAnsi="Times New Roman"/>
              <w:sz w:val="18"/>
              <w:szCs w:val="18"/>
            </w:rPr>
          </w:sdtEndPr>
          <w:sdtContent>
            <w:tc>
              <w:tcPr>
                <w:tcW w:w="728" w:type="pct"/>
                <w:vMerge w:val="restart"/>
                <w:vAlign w:val="center"/>
              </w:tcPr>
              <w:p>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期初余额</w:t>
                </w:r>
              </w:p>
            </w:tc>
          </w:sdtContent>
        </w:sdt>
        <w:sdt>
          <w:sdtPr>
            <w:rPr>
              <w:rFonts w:hint="eastAsia" w:ascii="Times New Roman" w:hAnsi="Times New Roman"/>
              <w:sz w:val="18"/>
              <w:szCs w:val="18"/>
            </w:rPr>
            <w:tag w:val="_PLD_440b2c54c3664dc199a52a962ffbbdd3"/>
            <w:id w:val="13745"/>
          </w:sdtPr>
          <w:sdtEndPr>
            <w:rPr>
              <w:rFonts w:hint="eastAsia" w:ascii="Times New Roman" w:hAnsi="Times New Roman"/>
              <w:sz w:val="18"/>
              <w:szCs w:val="18"/>
            </w:rPr>
          </w:sdtEndPr>
          <w:sdtContent>
            <w:tc>
              <w:tcPr>
                <w:tcW w:w="1465" w:type="pct"/>
                <w:gridSpan w:val="2"/>
                <w:vAlign w:val="center"/>
              </w:tcPr>
              <w:p>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本期增加</w:t>
                </w:r>
              </w:p>
            </w:tc>
          </w:sdtContent>
        </w:sdt>
        <w:sdt>
          <w:sdtPr>
            <w:rPr>
              <w:rFonts w:hint="eastAsia" w:ascii="Times New Roman" w:hAnsi="Times New Roman"/>
              <w:sz w:val="18"/>
              <w:szCs w:val="18"/>
            </w:rPr>
            <w:tag w:val="_PLD_4dc104f2ec524f5a86e41fb0db78ed82"/>
            <w:id w:val="13746"/>
          </w:sdtPr>
          <w:sdtEndPr>
            <w:rPr>
              <w:rFonts w:hint="eastAsia" w:ascii="Times New Roman" w:hAnsi="Times New Roman"/>
              <w:sz w:val="18"/>
              <w:szCs w:val="18"/>
            </w:rPr>
          </w:sdtEndPr>
          <w:sdtContent>
            <w:tc>
              <w:tcPr>
                <w:tcW w:w="1487" w:type="pct"/>
                <w:gridSpan w:val="2"/>
                <w:vAlign w:val="center"/>
              </w:tcPr>
              <w:p>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本期减少</w:t>
                </w:r>
              </w:p>
            </w:tc>
          </w:sdtContent>
        </w:sdt>
        <w:sdt>
          <w:sdtPr>
            <w:rPr>
              <w:rFonts w:hint="eastAsia" w:ascii="Times New Roman" w:hAnsi="Times New Roman"/>
              <w:sz w:val="18"/>
              <w:szCs w:val="18"/>
            </w:rPr>
            <w:tag w:val="_PLD_54378f5247a844d49aa0017541fa519d"/>
            <w:id w:val="13747"/>
          </w:sdtPr>
          <w:sdtEndPr>
            <w:rPr>
              <w:rFonts w:hint="eastAsia" w:ascii="Times New Roman" w:hAnsi="Times New Roman"/>
              <w:sz w:val="18"/>
              <w:szCs w:val="18"/>
            </w:rPr>
          </w:sdtEndPr>
          <w:sdtContent>
            <w:tc>
              <w:tcPr>
                <w:tcW w:w="692" w:type="pct"/>
                <w:vMerge w:val="restart"/>
                <w:vAlign w:val="center"/>
              </w:tcPr>
              <w:p>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trPr>
        <w:tc>
          <w:tcPr>
            <w:tcW w:w="627" w:type="pct"/>
            <w:vMerge w:val="continue"/>
          </w:tcPr>
          <w:p>
            <w:pPr>
              <w:autoSpaceDE w:val="0"/>
              <w:autoSpaceDN w:val="0"/>
              <w:adjustRightInd w:val="0"/>
              <w:snapToGrid w:val="0"/>
              <w:jc w:val="center"/>
              <w:rPr>
                <w:rFonts w:ascii="Times New Roman" w:hAnsi="Times New Roman"/>
                <w:sz w:val="18"/>
                <w:szCs w:val="18"/>
              </w:rPr>
            </w:pPr>
          </w:p>
        </w:tc>
        <w:tc>
          <w:tcPr>
            <w:tcW w:w="728" w:type="pct"/>
            <w:vMerge w:val="continue"/>
          </w:tcPr>
          <w:p>
            <w:pPr>
              <w:autoSpaceDE w:val="0"/>
              <w:autoSpaceDN w:val="0"/>
              <w:adjustRightInd w:val="0"/>
              <w:snapToGrid w:val="0"/>
              <w:jc w:val="center"/>
              <w:rPr>
                <w:rFonts w:ascii="Times New Roman" w:hAnsi="Times New Roman"/>
                <w:sz w:val="18"/>
                <w:szCs w:val="18"/>
              </w:rPr>
            </w:pPr>
          </w:p>
        </w:tc>
        <w:sdt>
          <w:sdtPr>
            <w:rPr>
              <w:rFonts w:ascii="Times New Roman" w:hAnsi="Times New Roman"/>
              <w:sz w:val="18"/>
              <w:szCs w:val="18"/>
            </w:rPr>
            <w:tag w:val="_PLD_420e321954544771b0b73780f2164d28"/>
            <w:id w:val="13748"/>
          </w:sdtPr>
          <w:sdtEndPr>
            <w:rPr>
              <w:rFonts w:ascii="Times New Roman" w:hAnsi="Times New Roman"/>
              <w:sz w:val="18"/>
              <w:szCs w:val="18"/>
            </w:rPr>
          </w:sdtEndPr>
          <w:sdtContent>
            <w:tc>
              <w:tcPr>
                <w:tcW w:w="757"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现金变动</w:t>
                </w:r>
              </w:p>
            </w:tc>
          </w:sdtContent>
        </w:sdt>
        <w:sdt>
          <w:sdtPr>
            <w:rPr>
              <w:rFonts w:ascii="Times New Roman" w:hAnsi="Times New Roman"/>
              <w:sz w:val="18"/>
              <w:szCs w:val="18"/>
            </w:rPr>
            <w:tag w:val="_PLD_258fabff104642c7837f9d6f4d653a0f"/>
            <w:id w:val="13749"/>
          </w:sdtPr>
          <w:sdtEndPr>
            <w:rPr>
              <w:rFonts w:ascii="Times New Roman" w:hAnsi="Times New Roman"/>
              <w:sz w:val="18"/>
              <w:szCs w:val="18"/>
            </w:rPr>
          </w:sdtEndPr>
          <w:sdtContent>
            <w:tc>
              <w:tcPr>
                <w:tcW w:w="707"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非现金变动</w:t>
                </w:r>
              </w:p>
            </w:tc>
          </w:sdtContent>
        </w:sdt>
        <w:sdt>
          <w:sdtPr>
            <w:rPr>
              <w:rFonts w:ascii="Times New Roman" w:hAnsi="Times New Roman"/>
              <w:sz w:val="18"/>
              <w:szCs w:val="18"/>
            </w:rPr>
            <w:tag w:val="_PLD_3c34596330aa4ababb3e1ef50efc7668"/>
            <w:id w:val="13750"/>
          </w:sdtPr>
          <w:sdtEndPr>
            <w:rPr>
              <w:rFonts w:ascii="Times New Roman" w:hAnsi="Times New Roman"/>
              <w:sz w:val="18"/>
              <w:szCs w:val="18"/>
            </w:rPr>
          </w:sdtEndPr>
          <w:sdtContent>
            <w:tc>
              <w:tcPr>
                <w:tcW w:w="772"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现金变动</w:t>
                </w:r>
              </w:p>
            </w:tc>
          </w:sdtContent>
        </w:sdt>
        <w:sdt>
          <w:sdtPr>
            <w:rPr>
              <w:rFonts w:ascii="Times New Roman" w:hAnsi="Times New Roman"/>
              <w:sz w:val="18"/>
              <w:szCs w:val="18"/>
            </w:rPr>
            <w:tag w:val="_PLD_5640b38554e340769223289d39b620da"/>
            <w:id w:val="13751"/>
          </w:sdtPr>
          <w:sdtEndPr>
            <w:rPr>
              <w:rFonts w:ascii="Times New Roman" w:hAnsi="Times New Roman"/>
              <w:sz w:val="18"/>
              <w:szCs w:val="18"/>
            </w:rPr>
          </w:sdtEndPr>
          <w:sdtContent>
            <w:tc>
              <w:tcPr>
                <w:tcW w:w="714"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非现金变动</w:t>
                </w:r>
              </w:p>
            </w:tc>
          </w:sdtContent>
        </w:sdt>
        <w:tc>
          <w:tcPr>
            <w:tcW w:w="692" w:type="pct"/>
            <w:vMerge w:val="continue"/>
          </w:tcPr>
          <w:p>
            <w:pPr>
              <w:autoSpaceDE w:val="0"/>
              <w:autoSpaceDN w:val="0"/>
              <w:adjustRightInd w:val="0"/>
              <w:snapToGrid w:val="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27"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短期借款</w:t>
            </w:r>
          </w:p>
        </w:tc>
        <w:tc>
          <w:tcPr>
            <w:tcW w:w="728" w:type="pct"/>
            <w:vAlign w:val="center"/>
          </w:tcPr>
          <w:p>
            <w:pPr>
              <w:jc w:val="right"/>
              <w:rPr>
                <w:rFonts w:ascii="Times New Roman" w:hAnsi="Times New Roman"/>
                <w:sz w:val="18"/>
                <w:szCs w:val="18"/>
              </w:rPr>
            </w:pPr>
            <w:r>
              <w:rPr>
                <w:rFonts w:ascii="Times New Roman" w:hAnsi="Times New Roman"/>
                <w:sz w:val="18"/>
                <w:szCs w:val="18"/>
              </w:rPr>
              <w:t>43,000,000.00</w:t>
            </w:r>
          </w:p>
        </w:tc>
        <w:tc>
          <w:tcPr>
            <w:tcW w:w="757" w:type="pct"/>
            <w:vAlign w:val="center"/>
          </w:tcPr>
          <w:p>
            <w:pPr>
              <w:jc w:val="right"/>
              <w:rPr>
                <w:rFonts w:ascii="Times New Roman" w:hAnsi="Times New Roman"/>
                <w:sz w:val="18"/>
                <w:szCs w:val="18"/>
              </w:rPr>
            </w:pPr>
            <w:r>
              <w:rPr>
                <w:rFonts w:ascii="Times New Roman" w:hAnsi="Times New Roman"/>
                <w:sz w:val="18"/>
                <w:szCs w:val="18"/>
              </w:rPr>
              <w:t>59,000,000.00</w:t>
            </w:r>
          </w:p>
        </w:tc>
        <w:tc>
          <w:tcPr>
            <w:tcW w:w="707" w:type="pct"/>
            <w:vAlign w:val="center"/>
          </w:tcPr>
          <w:p>
            <w:pPr>
              <w:jc w:val="right"/>
              <w:rPr>
                <w:rFonts w:ascii="Times New Roman" w:hAnsi="Times New Roman"/>
                <w:sz w:val="18"/>
                <w:szCs w:val="18"/>
              </w:rPr>
            </w:pPr>
            <w:r>
              <w:rPr>
                <w:rFonts w:ascii="Times New Roman" w:hAnsi="Times New Roman"/>
                <w:sz w:val="18"/>
                <w:szCs w:val="18"/>
              </w:rPr>
              <w:t> </w:t>
            </w:r>
          </w:p>
        </w:tc>
        <w:tc>
          <w:tcPr>
            <w:tcW w:w="772" w:type="pct"/>
            <w:vAlign w:val="center"/>
          </w:tcPr>
          <w:p>
            <w:pPr>
              <w:jc w:val="right"/>
              <w:rPr>
                <w:rFonts w:ascii="Times New Roman" w:hAnsi="Times New Roman"/>
                <w:sz w:val="18"/>
                <w:szCs w:val="18"/>
              </w:rPr>
            </w:pPr>
            <w:r>
              <w:rPr>
                <w:rFonts w:ascii="Times New Roman" w:hAnsi="Times New Roman"/>
                <w:sz w:val="18"/>
                <w:szCs w:val="18"/>
              </w:rPr>
              <w:t>44,000,000.00</w:t>
            </w:r>
          </w:p>
        </w:tc>
        <w:tc>
          <w:tcPr>
            <w:tcW w:w="714" w:type="pct"/>
            <w:vAlign w:val="center"/>
          </w:tcPr>
          <w:p>
            <w:pPr>
              <w:jc w:val="right"/>
              <w:rPr>
                <w:rFonts w:ascii="Times New Roman" w:hAnsi="Times New Roman"/>
                <w:sz w:val="18"/>
                <w:szCs w:val="18"/>
              </w:rPr>
            </w:pPr>
            <w:r>
              <w:rPr>
                <w:rFonts w:ascii="Times New Roman" w:hAnsi="Times New Roman"/>
                <w:sz w:val="18"/>
                <w:szCs w:val="18"/>
              </w:rPr>
              <w:t> </w:t>
            </w:r>
          </w:p>
        </w:tc>
        <w:tc>
          <w:tcPr>
            <w:tcW w:w="692" w:type="pct"/>
            <w:vAlign w:val="center"/>
          </w:tcPr>
          <w:p>
            <w:pPr>
              <w:jc w:val="right"/>
              <w:rPr>
                <w:rFonts w:ascii="Times New Roman" w:hAnsi="Times New Roman"/>
                <w:sz w:val="18"/>
                <w:szCs w:val="18"/>
              </w:rPr>
            </w:pPr>
            <w:r>
              <w:rPr>
                <w:rFonts w:ascii="Times New Roman" w:hAnsi="Times New Roman"/>
                <w:sz w:val="18"/>
                <w:szCs w:val="18"/>
              </w:rPr>
              <w:t>58,000,000.00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27"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长期借款</w:t>
            </w:r>
          </w:p>
        </w:tc>
        <w:tc>
          <w:tcPr>
            <w:tcW w:w="728" w:type="pct"/>
            <w:vAlign w:val="center"/>
          </w:tcPr>
          <w:p>
            <w:pPr>
              <w:jc w:val="right"/>
              <w:rPr>
                <w:rFonts w:ascii="Times New Roman" w:hAnsi="Times New Roman"/>
                <w:sz w:val="18"/>
                <w:szCs w:val="18"/>
              </w:rPr>
            </w:pPr>
            <w:r>
              <w:rPr>
                <w:rFonts w:ascii="Times New Roman" w:hAnsi="Times New Roman"/>
                <w:sz w:val="18"/>
                <w:szCs w:val="18"/>
              </w:rPr>
              <w:t> </w:t>
            </w:r>
          </w:p>
        </w:tc>
        <w:tc>
          <w:tcPr>
            <w:tcW w:w="757" w:type="pct"/>
            <w:vAlign w:val="center"/>
          </w:tcPr>
          <w:p>
            <w:pPr>
              <w:jc w:val="right"/>
              <w:rPr>
                <w:rFonts w:ascii="Times New Roman" w:hAnsi="Times New Roman"/>
                <w:sz w:val="18"/>
                <w:szCs w:val="18"/>
              </w:rPr>
            </w:pPr>
            <w:r>
              <w:rPr>
                <w:rFonts w:ascii="Times New Roman" w:hAnsi="Times New Roman"/>
                <w:sz w:val="18"/>
                <w:szCs w:val="18"/>
              </w:rPr>
              <w:t>24,000,000.00</w:t>
            </w:r>
          </w:p>
        </w:tc>
        <w:tc>
          <w:tcPr>
            <w:tcW w:w="707" w:type="pct"/>
            <w:vAlign w:val="center"/>
          </w:tcPr>
          <w:p>
            <w:pPr>
              <w:jc w:val="right"/>
              <w:rPr>
                <w:rFonts w:ascii="Times New Roman" w:hAnsi="Times New Roman"/>
                <w:sz w:val="18"/>
                <w:szCs w:val="18"/>
              </w:rPr>
            </w:pPr>
            <w:r>
              <w:rPr>
                <w:rFonts w:ascii="Times New Roman" w:hAnsi="Times New Roman"/>
                <w:sz w:val="18"/>
                <w:szCs w:val="18"/>
              </w:rPr>
              <w:t> </w:t>
            </w:r>
          </w:p>
        </w:tc>
        <w:tc>
          <w:tcPr>
            <w:tcW w:w="772" w:type="pct"/>
            <w:vAlign w:val="center"/>
          </w:tcPr>
          <w:p>
            <w:pPr>
              <w:jc w:val="right"/>
              <w:rPr>
                <w:rFonts w:ascii="Times New Roman" w:hAnsi="Times New Roman"/>
                <w:sz w:val="18"/>
                <w:szCs w:val="18"/>
              </w:rPr>
            </w:pPr>
            <w:r>
              <w:rPr>
                <w:rFonts w:ascii="Times New Roman" w:hAnsi="Times New Roman"/>
                <w:sz w:val="18"/>
                <w:szCs w:val="18"/>
              </w:rPr>
              <w:t> </w:t>
            </w:r>
          </w:p>
        </w:tc>
        <w:tc>
          <w:tcPr>
            <w:tcW w:w="714" w:type="pct"/>
            <w:vAlign w:val="center"/>
          </w:tcPr>
          <w:p>
            <w:pPr>
              <w:jc w:val="right"/>
              <w:rPr>
                <w:rFonts w:ascii="Times New Roman" w:hAnsi="Times New Roman"/>
                <w:sz w:val="18"/>
                <w:szCs w:val="18"/>
              </w:rPr>
            </w:pPr>
            <w:r>
              <w:rPr>
                <w:rFonts w:ascii="Times New Roman" w:hAnsi="Times New Roman"/>
                <w:sz w:val="18"/>
                <w:szCs w:val="18"/>
              </w:rPr>
              <w:t>24,000,000.00</w:t>
            </w:r>
          </w:p>
        </w:tc>
        <w:tc>
          <w:tcPr>
            <w:tcW w:w="692" w:type="pct"/>
            <w:vAlign w:val="center"/>
          </w:tcPr>
          <w:p>
            <w:pPr>
              <w:jc w:val="right"/>
              <w:rPr>
                <w:rFonts w:ascii="Times New Roman" w:hAnsi="Times New Roman"/>
                <w:sz w:val="18"/>
                <w:szCs w:val="18"/>
              </w:rPr>
            </w:pPr>
            <w:r>
              <w:rPr>
                <w:rFonts w:ascii="Times New Roman" w:hAnsi="Times New Roman"/>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27"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一年内到期的非流动负债</w:t>
            </w:r>
          </w:p>
        </w:tc>
        <w:tc>
          <w:tcPr>
            <w:tcW w:w="728" w:type="pct"/>
            <w:vAlign w:val="center"/>
          </w:tcPr>
          <w:p>
            <w:pPr>
              <w:jc w:val="right"/>
              <w:rPr>
                <w:rFonts w:ascii="Times New Roman" w:hAnsi="Times New Roman"/>
                <w:sz w:val="18"/>
                <w:szCs w:val="18"/>
              </w:rPr>
            </w:pPr>
            <w:r>
              <w:rPr>
                <w:rFonts w:ascii="Times New Roman" w:hAnsi="Times New Roman"/>
                <w:sz w:val="18"/>
                <w:szCs w:val="18"/>
              </w:rPr>
              <w:t> </w:t>
            </w:r>
          </w:p>
        </w:tc>
        <w:tc>
          <w:tcPr>
            <w:tcW w:w="757" w:type="pct"/>
            <w:vAlign w:val="center"/>
          </w:tcPr>
          <w:p>
            <w:pPr>
              <w:jc w:val="right"/>
              <w:rPr>
                <w:rFonts w:ascii="Times New Roman" w:hAnsi="Times New Roman"/>
                <w:sz w:val="18"/>
                <w:szCs w:val="18"/>
              </w:rPr>
            </w:pPr>
            <w:r>
              <w:rPr>
                <w:rFonts w:ascii="Times New Roman" w:hAnsi="Times New Roman"/>
                <w:sz w:val="18"/>
                <w:szCs w:val="18"/>
              </w:rPr>
              <w:t> </w:t>
            </w:r>
          </w:p>
        </w:tc>
        <w:tc>
          <w:tcPr>
            <w:tcW w:w="707" w:type="pct"/>
            <w:vAlign w:val="center"/>
          </w:tcPr>
          <w:p>
            <w:pPr>
              <w:jc w:val="right"/>
              <w:rPr>
                <w:rFonts w:ascii="Times New Roman" w:hAnsi="Times New Roman"/>
                <w:sz w:val="18"/>
                <w:szCs w:val="18"/>
              </w:rPr>
            </w:pPr>
            <w:r>
              <w:rPr>
                <w:rFonts w:ascii="Times New Roman" w:hAnsi="Times New Roman"/>
                <w:sz w:val="18"/>
                <w:szCs w:val="18"/>
              </w:rPr>
              <w:t> 24,000,000.00</w:t>
            </w:r>
          </w:p>
        </w:tc>
        <w:tc>
          <w:tcPr>
            <w:tcW w:w="772" w:type="pct"/>
            <w:vAlign w:val="center"/>
          </w:tcPr>
          <w:p>
            <w:pPr>
              <w:jc w:val="right"/>
              <w:rPr>
                <w:rFonts w:ascii="Times New Roman" w:hAnsi="Times New Roman"/>
                <w:sz w:val="18"/>
                <w:szCs w:val="18"/>
              </w:rPr>
            </w:pPr>
            <w:r>
              <w:rPr>
                <w:rFonts w:ascii="Times New Roman" w:hAnsi="Times New Roman"/>
                <w:sz w:val="18"/>
                <w:szCs w:val="18"/>
              </w:rPr>
              <w:t> </w:t>
            </w:r>
          </w:p>
        </w:tc>
        <w:tc>
          <w:tcPr>
            <w:tcW w:w="714" w:type="pct"/>
            <w:vAlign w:val="center"/>
          </w:tcPr>
          <w:p>
            <w:pPr>
              <w:jc w:val="right"/>
              <w:rPr>
                <w:rFonts w:ascii="Times New Roman" w:hAnsi="Times New Roman"/>
                <w:sz w:val="18"/>
                <w:szCs w:val="18"/>
              </w:rPr>
            </w:pPr>
            <w:r>
              <w:rPr>
                <w:rFonts w:ascii="Times New Roman" w:hAnsi="Times New Roman"/>
                <w:sz w:val="18"/>
                <w:szCs w:val="18"/>
              </w:rPr>
              <w:t> </w:t>
            </w:r>
          </w:p>
        </w:tc>
        <w:tc>
          <w:tcPr>
            <w:tcW w:w="692" w:type="pct"/>
            <w:vAlign w:val="center"/>
          </w:tcPr>
          <w:p>
            <w:pPr>
              <w:jc w:val="right"/>
              <w:rPr>
                <w:rFonts w:ascii="Times New Roman" w:hAnsi="Times New Roman"/>
                <w:sz w:val="18"/>
                <w:szCs w:val="18"/>
              </w:rPr>
            </w:pPr>
            <w:r>
              <w:rPr>
                <w:rFonts w:ascii="Times New Roman" w:hAnsi="Times New Roman"/>
                <w:sz w:val="18"/>
                <w:szCs w:val="18"/>
              </w:rPr>
              <w:t>24,000,000.00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7" w:type="pct"/>
          </w:tcPr>
          <w:p>
            <w:pPr>
              <w:autoSpaceDE w:val="0"/>
              <w:autoSpaceDN w:val="0"/>
              <w:adjustRightInd w:val="0"/>
              <w:snapToGrid w:val="0"/>
              <w:rPr>
                <w:rFonts w:ascii="Times New Roman" w:hAnsi="Times New Roman"/>
                <w:sz w:val="18"/>
                <w:szCs w:val="18"/>
              </w:rPr>
            </w:pPr>
            <w:r>
              <w:rPr>
                <w:rFonts w:ascii="Times New Roman" w:hAnsi="Times New Roman"/>
                <w:sz w:val="18"/>
                <w:szCs w:val="18"/>
              </w:rPr>
              <w:t>租赁负债(含一年内到期的非流动负债)</w:t>
            </w:r>
          </w:p>
        </w:tc>
        <w:tc>
          <w:tcPr>
            <w:tcW w:w="728" w:type="pct"/>
            <w:vAlign w:val="center"/>
          </w:tcPr>
          <w:p>
            <w:pPr>
              <w:jc w:val="right"/>
              <w:rPr>
                <w:rFonts w:ascii="Times New Roman" w:hAnsi="Times New Roman"/>
                <w:sz w:val="18"/>
                <w:szCs w:val="18"/>
              </w:rPr>
            </w:pPr>
            <w:r>
              <w:rPr>
                <w:rFonts w:ascii="Times New Roman" w:hAnsi="Times New Roman"/>
                <w:sz w:val="18"/>
                <w:szCs w:val="18"/>
              </w:rPr>
              <w:t> 1,309,770.48</w:t>
            </w:r>
          </w:p>
        </w:tc>
        <w:tc>
          <w:tcPr>
            <w:tcW w:w="757" w:type="pct"/>
            <w:vAlign w:val="center"/>
          </w:tcPr>
          <w:p>
            <w:pPr>
              <w:jc w:val="right"/>
              <w:rPr>
                <w:rFonts w:ascii="Times New Roman" w:hAnsi="Times New Roman"/>
                <w:sz w:val="18"/>
                <w:szCs w:val="18"/>
              </w:rPr>
            </w:pPr>
            <w:r>
              <w:rPr>
                <w:rFonts w:ascii="Times New Roman" w:hAnsi="Times New Roman"/>
                <w:sz w:val="18"/>
                <w:szCs w:val="18"/>
              </w:rPr>
              <w:t> </w:t>
            </w:r>
          </w:p>
        </w:tc>
        <w:tc>
          <w:tcPr>
            <w:tcW w:w="707" w:type="pct"/>
            <w:vAlign w:val="center"/>
          </w:tcPr>
          <w:p>
            <w:pPr>
              <w:jc w:val="right"/>
              <w:rPr>
                <w:rFonts w:ascii="Times New Roman" w:hAnsi="Times New Roman"/>
                <w:sz w:val="18"/>
                <w:szCs w:val="18"/>
              </w:rPr>
            </w:pPr>
            <w:r>
              <w:rPr>
                <w:rFonts w:ascii="Times New Roman" w:hAnsi="Times New Roman"/>
                <w:sz w:val="18"/>
                <w:szCs w:val="18"/>
              </w:rPr>
              <w:t> 4,425,416.00</w:t>
            </w:r>
          </w:p>
        </w:tc>
        <w:tc>
          <w:tcPr>
            <w:tcW w:w="772" w:type="pct"/>
            <w:vAlign w:val="center"/>
          </w:tcPr>
          <w:p>
            <w:pPr>
              <w:jc w:val="right"/>
              <w:rPr>
                <w:rFonts w:ascii="Times New Roman" w:hAnsi="Times New Roman"/>
                <w:sz w:val="18"/>
                <w:szCs w:val="18"/>
              </w:rPr>
            </w:pPr>
            <w:r>
              <w:rPr>
                <w:rFonts w:ascii="Times New Roman" w:hAnsi="Times New Roman"/>
                <w:sz w:val="18"/>
                <w:szCs w:val="18"/>
              </w:rPr>
              <w:t> 2,264,865.51</w:t>
            </w:r>
          </w:p>
        </w:tc>
        <w:tc>
          <w:tcPr>
            <w:tcW w:w="714" w:type="pct"/>
            <w:vAlign w:val="center"/>
          </w:tcPr>
          <w:p>
            <w:pPr>
              <w:jc w:val="right"/>
              <w:rPr>
                <w:rFonts w:ascii="Times New Roman" w:hAnsi="Times New Roman"/>
                <w:sz w:val="18"/>
                <w:szCs w:val="18"/>
              </w:rPr>
            </w:pPr>
            <w:r>
              <w:rPr>
                <w:rFonts w:ascii="Times New Roman" w:hAnsi="Times New Roman"/>
                <w:sz w:val="18"/>
                <w:szCs w:val="18"/>
              </w:rPr>
              <w:t> 607,211.35</w:t>
            </w:r>
          </w:p>
        </w:tc>
        <w:tc>
          <w:tcPr>
            <w:tcW w:w="692" w:type="pct"/>
            <w:vAlign w:val="center"/>
          </w:tcPr>
          <w:p>
            <w:pPr>
              <w:jc w:val="right"/>
              <w:rPr>
                <w:rFonts w:ascii="Times New Roman" w:hAnsi="Times New Roman"/>
                <w:sz w:val="18"/>
                <w:szCs w:val="18"/>
              </w:rPr>
            </w:pPr>
            <w:r>
              <w:rPr>
                <w:rFonts w:ascii="Times New Roman" w:hAnsi="Times New Roman"/>
                <w:sz w:val="18"/>
                <w:szCs w:val="18"/>
              </w:rPr>
              <w:t> 2,863,109.62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27" w:type="pct"/>
          </w:tcPr>
          <w:p>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合计</w:t>
            </w:r>
          </w:p>
        </w:tc>
        <w:tc>
          <w:tcPr>
            <w:tcW w:w="728" w:type="pct"/>
            <w:vAlign w:val="center"/>
          </w:tcPr>
          <w:p>
            <w:pPr>
              <w:jc w:val="right"/>
              <w:rPr>
                <w:rFonts w:ascii="Times New Roman" w:hAnsi="Times New Roman"/>
                <w:sz w:val="18"/>
                <w:szCs w:val="18"/>
              </w:rPr>
            </w:pPr>
            <w:r>
              <w:rPr>
                <w:rFonts w:ascii="Times New Roman" w:hAnsi="Times New Roman"/>
                <w:sz w:val="18"/>
                <w:szCs w:val="18"/>
              </w:rPr>
              <w:t>44,309,770.48</w:t>
            </w:r>
          </w:p>
        </w:tc>
        <w:tc>
          <w:tcPr>
            <w:tcW w:w="757" w:type="pct"/>
            <w:vAlign w:val="center"/>
          </w:tcPr>
          <w:p>
            <w:pPr>
              <w:jc w:val="right"/>
              <w:rPr>
                <w:rFonts w:ascii="Times New Roman" w:hAnsi="Times New Roman"/>
                <w:sz w:val="18"/>
                <w:szCs w:val="18"/>
              </w:rPr>
            </w:pPr>
            <w:r>
              <w:rPr>
                <w:rFonts w:ascii="Times New Roman" w:hAnsi="Times New Roman"/>
                <w:sz w:val="18"/>
                <w:szCs w:val="18"/>
              </w:rPr>
              <w:t>83,000,000.00</w:t>
            </w:r>
          </w:p>
        </w:tc>
        <w:tc>
          <w:tcPr>
            <w:tcW w:w="707" w:type="pct"/>
            <w:vAlign w:val="center"/>
          </w:tcPr>
          <w:p>
            <w:pPr>
              <w:jc w:val="right"/>
              <w:rPr>
                <w:rFonts w:ascii="Times New Roman" w:hAnsi="Times New Roman"/>
                <w:sz w:val="18"/>
                <w:szCs w:val="18"/>
              </w:rPr>
            </w:pPr>
            <w:r>
              <w:rPr>
                <w:rFonts w:ascii="Times New Roman" w:hAnsi="Times New Roman"/>
                <w:sz w:val="18"/>
                <w:szCs w:val="18"/>
              </w:rPr>
              <w:t>28,425,416.00</w:t>
            </w:r>
          </w:p>
        </w:tc>
        <w:tc>
          <w:tcPr>
            <w:tcW w:w="772" w:type="pct"/>
            <w:vAlign w:val="center"/>
          </w:tcPr>
          <w:p>
            <w:pPr>
              <w:jc w:val="right"/>
              <w:rPr>
                <w:rFonts w:ascii="Times New Roman" w:hAnsi="Times New Roman"/>
                <w:sz w:val="18"/>
                <w:szCs w:val="18"/>
              </w:rPr>
            </w:pPr>
            <w:r>
              <w:rPr>
                <w:rFonts w:ascii="Times New Roman" w:hAnsi="Times New Roman"/>
                <w:sz w:val="18"/>
                <w:szCs w:val="18"/>
              </w:rPr>
              <w:t> 46,264,865.51</w:t>
            </w:r>
          </w:p>
        </w:tc>
        <w:tc>
          <w:tcPr>
            <w:tcW w:w="714" w:type="pct"/>
            <w:vAlign w:val="center"/>
          </w:tcPr>
          <w:p>
            <w:pPr>
              <w:jc w:val="right"/>
              <w:rPr>
                <w:rFonts w:ascii="Times New Roman" w:hAnsi="Times New Roman"/>
                <w:sz w:val="18"/>
                <w:szCs w:val="18"/>
              </w:rPr>
            </w:pPr>
            <w:r>
              <w:rPr>
                <w:rFonts w:ascii="Times New Roman" w:hAnsi="Times New Roman"/>
                <w:sz w:val="18"/>
                <w:szCs w:val="18"/>
              </w:rPr>
              <w:t> 24,607,211.35</w:t>
            </w:r>
          </w:p>
        </w:tc>
        <w:tc>
          <w:tcPr>
            <w:tcW w:w="692" w:type="pct"/>
            <w:vAlign w:val="center"/>
          </w:tcPr>
          <w:p>
            <w:pPr>
              <w:jc w:val="right"/>
              <w:rPr>
                <w:rFonts w:ascii="Times New Roman" w:hAnsi="Times New Roman"/>
                <w:sz w:val="18"/>
                <w:szCs w:val="18"/>
              </w:rPr>
            </w:pPr>
            <w:r>
              <w:rPr>
                <w:rFonts w:ascii="Times New Roman" w:hAnsi="Times New Roman"/>
                <w:sz w:val="18"/>
                <w:szCs w:val="18"/>
              </w:rPr>
              <w:t>84,863,109.62</w:t>
            </w:r>
          </w:p>
        </w:tc>
      </w:tr>
    </w:tbl>
    <w:p>
      <w:pPr>
        <w:outlineLvl w:val="9"/>
      </w:pPr>
    </w:p>
    <w:p>
      <w:pPr>
        <w:outlineLvl w:val="9"/>
      </w:pPr>
    </w:p>
    <w:p>
      <w:pPr>
        <w:pStyle w:val="196"/>
        <w:numPr>
          <w:ilvl w:val="0"/>
          <w:numId w:val="107"/>
        </w:numPr>
        <w:ind w:left="426" w:hanging="426"/>
      </w:pPr>
      <w:r>
        <w:rPr>
          <w:rFonts w:hint="eastAsia"/>
        </w:rPr>
        <w:t>以净额列报现金流量的说明</w:t>
      </w:r>
    </w:p>
    <w:sdt>
      <w:sdtPr>
        <w:alias w:val="是否适用：以净额列报现金流量的说明[双击切换]"/>
        <w:tag w:val="_GBC_3444590230dd455c82f347bceb8bbf05"/>
        <w:id w:val="27648"/>
        <w:placeholder>
          <w:docPart w:val="GBC22222222222222222222222222222"/>
        </w:placeholder>
      </w:sdtPr>
      <w:sdtContent>
        <w:p>
          <w:pPr>
            <w:ind w:right="5"/>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5"/>
        <w:outlineLvl w:val="9"/>
      </w:pPr>
    </w:p>
    <w:p>
      <w:pPr>
        <w:pStyle w:val="196"/>
        <w:numPr>
          <w:ilvl w:val="0"/>
          <w:numId w:val="107"/>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27649"/>
        <w:placeholder>
          <w:docPart w:val="GBC22222222222222222222222222222"/>
        </w:placeholder>
      </w:sdtPr>
      <w:sdtContent>
        <w:p>
          <w:pPr>
            <w:ind w:right="5"/>
            <w:outlineLvl w:val="9"/>
            <w:rPr>
              <w:color w:val="0000FF"/>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ind w:right="5"/>
        <w:rPr>
          <w:rFonts w:ascii="Calibri" w:hAnsi="Calibri" w:cs="Times New Roman"/>
          <w:kern w:val="2"/>
          <w:szCs w:val="22"/>
        </w:rPr>
      </w:pPr>
    </w:p>
    <w:p>
      <w:pPr>
        <w:pStyle w:val="229"/>
        <w:numPr>
          <w:ilvl w:val="0"/>
          <w:numId w:val="71"/>
        </w:numPr>
        <w:tabs>
          <w:tab w:val="left" w:pos="504"/>
        </w:tabs>
      </w:pPr>
      <w:r>
        <w:rPr>
          <w:rFonts w:hint="eastAsia"/>
        </w:rPr>
        <w:t>现金流量表</w:t>
      </w:r>
      <w:r>
        <w:rPr>
          <w:rFonts w:hint="eastAsia" w:ascii="宋体" w:hAnsi="宋体"/>
          <w:szCs w:val="21"/>
        </w:rPr>
        <w:t>补充</w:t>
      </w:r>
      <w:r>
        <w:rPr>
          <w:rFonts w:hint="eastAsia"/>
        </w:rPr>
        <w:t>资料</w:t>
      </w:r>
    </w:p>
    <w:p>
      <w:pPr>
        <w:pStyle w:val="196"/>
        <w:numPr>
          <w:ilvl w:val="0"/>
          <w:numId w:val="108"/>
        </w:numPr>
        <w:ind w:left="426" w:hanging="426"/>
      </w:pPr>
      <w:r>
        <w:rPr>
          <w:rFonts w:hint="eastAsia"/>
        </w:rPr>
        <w:t>现金流量表补充资料</w:t>
      </w:r>
    </w:p>
    <w:sdt>
      <w:sdtPr>
        <w:rPr>
          <w:rFonts w:hint="eastAsia"/>
        </w:rPr>
        <w:alias w:val="是否适用：现金流量表补充资料[双击切换]"/>
        <w:tag w:val="_GBC_f77ea662869c431fa9c3cd98fccb529c"/>
        <w:id w:val="27650"/>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816fc4f2c97b4b12911114202247ee82"/>
          <w:id w:val="276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276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482"/>
        <w:gridCol w:w="2800"/>
        <w:gridCol w:w="2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bfd38318b44efe9fa609ad19a8685a"/>
            <w:id w:val="20221"/>
          </w:sdtPr>
          <w:sdtContent>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rPr>
                </w:pPr>
                <w:r>
                  <w:rPr>
                    <w:rFonts w:hint="eastAsia"/>
                    <w:bCs/>
                  </w:rPr>
                  <w:t>补充资料</w:t>
                </w:r>
              </w:p>
            </w:tc>
          </w:sdtContent>
        </w:sdt>
        <w:sdt>
          <w:sdtPr>
            <w:tag w:val="_PLD_8ef3863737f6403496cc160c411b0b03"/>
            <w:id w:val="20222"/>
          </w:sdtPr>
          <w:sdtContent>
            <w:tc>
              <w:tcPr>
                <w:tcW w:w="15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本期金额</w:t>
                </w:r>
              </w:p>
            </w:tc>
          </w:sdtContent>
        </w:sdt>
        <w:sdt>
          <w:sdtPr>
            <w:tag w:val="_PLD_73eb01f791e44a84b1edbc96aa42b3f3"/>
            <w:id w:val="20223"/>
          </w:sdtPr>
          <w:sdtContent>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db035658bd4a67bcf46ade47da315d"/>
            <w:id w:val="20224"/>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jc w:val="both"/>
                  <w:rPr>
                    <w:b/>
                  </w:rPr>
                </w:pPr>
                <w:r>
                  <w:rPr>
                    <w:b/>
                    <w:bCs/>
                  </w:rPr>
                  <w:t>1</w:t>
                </w:r>
                <w:r>
                  <w:rPr>
                    <w:rFonts w:hint="eastAsia"/>
                    <w:b/>
                    <w:bCs/>
                  </w:rPr>
                  <w:t>．将净利润调节为经营活动现金流量：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净利润</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24,636,815.08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eastAsia" w:ascii="Times New Roman" w:hAnsi="Times New Roman" w:eastAsia="宋体" w:cs="Times New Roman"/>
                <w:lang w:val="en-US" w:eastAsia="zh-CN"/>
              </w:rPr>
            </w:pPr>
            <w:r>
              <w:rPr>
                <w:rFonts w:hint="eastAsia" w:ascii="Times New Roman" w:hAnsi="Times New Roman" w:cs="Times New Roman"/>
                <w:lang w:eastAsia="zh-CN"/>
              </w:rPr>
              <w:t>-38,646,271.77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加：资产减值准备</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3,140,942.13</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2,540,845.52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信用减值损失</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-185,734.00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3,999,074.95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固定资产折旧、油气资产折耗、生产性生物资产折旧</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22,950,803.17</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28,004,480.73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使用权资产摊销</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1,095,932.72</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806,531.02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无形资产摊销</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xml:space="preserve">2,799,110.41 </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2,700,727.67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长期待摊费用摊销</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1,429,501.55</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1,384,136.94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处置固定资产、无形资产和其他长期资产的损失（收益以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固定资产报废损失（收益以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527,245.57</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82,101.39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公允价值变动损失（收益以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-4,632,585.20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49,163,642.77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财务费用（收益以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1,740,963.59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1,409,582.62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投资损失（收益以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-21,099,025.82</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-19,557,373.14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递延所得税资产减少（增加以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-571,594.23</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-1,441,862.25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递延所得税负债增加（减少以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1,840,436.75</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-11,959,655.45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存货的减少（增加以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 -63,498,532.98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rPr>
              <w:t>-4,480,966.06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经营性应收项目的减少（增加以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xml:space="preserve">-10,448,863.67 </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
              </w:rPr>
            </w:pPr>
            <w:r>
              <w:rPr>
                <w:rFonts w:hint="default" w:ascii="Times New Roman" w:hAnsi="Times New Roman" w:cs="Times New Roman"/>
                <w:color w:val="auto"/>
              </w:rPr>
              <w:t>-13,512,312.35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经营性应付项目的增加（减少以</w:t>
            </w:r>
            <w:r>
              <w:t>“</w:t>
            </w:r>
            <w:r>
              <w:rPr>
                <w:rFonts w:hint="eastAsia"/>
              </w:rPr>
              <w:t>－</w:t>
            </w:r>
            <w:r>
              <w:t>”</w:t>
            </w:r>
            <w:r>
              <w:rPr>
                <w:rFonts w:hint="eastAsia"/>
              </w:rPr>
              <w:t>号填列）</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78,642,905.10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eastAsia="宋体" w:cs="Times New Roman"/>
                <w:b/>
                <w:lang w:val="en-US" w:eastAsia="zh-CN"/>
              </w:rPr>
            </w:pPr>
            <w:r>
              <w:rPr>
                <w:rFonts w:hint="eastAsia" w:ascii="Times New Roman" w:hAnsi="Times New Roman" w:cs="Times New Roman"/>
                <w:color w:val="auto"/>
                <w:lang w:val="en-US" w:eastAsia="zh-CN"/>
              </w:rPr>
              <w:t>27,087,465.57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其他</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经营活动产生的现金流量净额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xml:space="preserve">38,368,320.17 </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27,580,148.16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bf22c7a64477db916821f6ee032d7"/>
            <w:id w:val="20225"/>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r>
                  <w:rPr>
                    <w:b/>
                    <w:bCs/>
                  </w:rPr>
                  <w:t>2</w:t>
                </w:r>
                <w:r>
                  <w:rPr>
                    <w:rFonts w:hint="eastAsia"/>
                    <w:b/>
                    <w:bCs/>
                  </w:rPr>
                  <w:t>．不涉及现金收支的重大投资和筹资活动：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债务转为资本</w:t>
            </w:r>
          </w:p>
        </w:tc>
        <w:tc>
          <w:tcPr>
            <w:tcW w:w="1547" w:type="pct"/>
            <w:tcBorders>
              <w:top w:val="outset" w:color="auto" w:sz="4" w:space="0"/>
              <w:left w:val="single" w:color="auto" w:sz="4" w:space="0"/>
              <w:bottom w:val="outset" w:color="auto" w:sz="4" w:space="0"/>
              <w:right w:val="outset" w:color="auto" w:sz="4" w:space="0"/>
            </w:tcBorders>
            <w:shd w:val="clear" w:color="auto" w:fill="auto"/>
          </w:tcPr>
          <w:p>
            <w:pPr>
              <w:jc w:val="right"/>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一年内到期的可转换公司债券</w:t>
            </w:r>
          </w:p>
        </w:tc>
        <w:tc>
          <w:tcPr>
            <w:tcW w:w="1547" w:type="pct"/>
            <w:tcBorders>
              <w:top w:val="outset" w:color="auto" w:sz="4" w:space="0"/>
              <w:left w:val="single" w:color="auto" w:sz="4" w:space="0"/>
              <w:bottom w:val="outset" w:color="auto" w:sz="4" w:space="0"/>
              <w:right w:val="outset" w:color="auto" w:sz="4" w:space="0"/>
            </w:tcBorders>
            <w:shd w:val="clear" w:color="auto" w:fill="auto"/>
          </w:tcPr>
          <w:p>
            <w:pPr>
              <w:jc w:val="right"/>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融资租入固定资产</w:t>
            </w:r>
          </w:p>
        </w:tc>
        <w:tc>
          <w:tcPr>
            <w:tcW w:w="1547" w:type="pct"/>
            <w:tcBorders>
              <w:top w:val="outset" w:color="auto" w:sz="4" w:space="0"/>
              <w:left w:val="single" w:color="auto" w:sz="4" w:space="0"/>
              <w:bottom w:val="outset" w:color="auto" w:sz="4" w:space="0"/>
              <w:right w:val="outset" w:color="auto" w:sz="4" w:space="0"/>
            </w:tcBorders>
            <w:shd w:val="clear" w:color="auto" w:fill="auto"/>
          </w:tcPr>
          <w:p>
            <w:pPr>
              <w:jc w:val="right"/>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2f2ba3b4a94101978cc22144b58749"/>
            <w:id w:val="20226"/>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r>
                  <w:rPr>
                    <w:b/>
                    <w:bCs/>
                  </w:rPr>
                  <w:t>3</w:t>
                </w:r>
                <w:r>
                  <w:rPr>
                    <w:rFonts w:hint="eastAsia"/>
                    <w:b/>
                    <w:bCs/>
                  </w:rPr>
                  <w:t>．现金及现金等价物净变动情况：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现金的期末余额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1,277,820,841.14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1,209,719,975.47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减：现金的期初余额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r>
              <w:rPr>
                <w:rFonts w:hint="default" w:ascii="Times New Roman" w:hAnsi="Times New Roman" w:cs="Times New Roman"/>
              </w:rPr>
              <w:t> 1,209,719,975.47</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r>
              <w:rPr>
                <w:rFonts w:hint="default" w:ascii="Times New Roman" w:hAnsi="Times New Roman" w:cs="Times New Roman"/>
              </w:rPr>
              <w:t>1,225,515,670.06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加：现金等价物的期末余额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减：现金等价物的期初余额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现金及现金等价物净增加额</w:t>
            </w:r>
          </w:p>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rPr>
            </w:pPr>
            <w:r>
              <w:rPr>
                <w:rFonts w:hint="default" w:ascii="Times New Roman" w:hAnsi="Times New Roman" w:cs="Times New Roman"/>
                <w:color w:val="auto"/>
              </w:rPr>
              <w:t> 68,100,865.67</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hint="default" w:ascii="Times New Roman" w:hAnsi="Times New Roman" w:cs="Times New Roman"/>
                <w:bCs/>
              </w:rPr>
            </w:pPr>
            <w:r>
              <w:rPr>
                <w:rFonts w:hint="default" w:ascii="Times New Roman" w:hAnsi="Times New Roman" w:cs="Times New Roman"/>
                <w:color w:val="auto"/>
              </w:rPr>
              <w:t>-15,795,694.59</w:t>
            </w:r>
          </w:p>
        </w:tc>
      </w:tr>
    </w:tbl>
    <w:p/>
    <w:p/>
    <w:p>
      <w:pPr>
        <w:pStyle w:val="196"/>
        <w:numPr>
          <w:ilvl w:val="0"/>
          <w:numId w:val="108"/>
        </w:numPr>
        <w:ind w:left="426" w:hanging="426"/>
      </w:pPr>
      <w:r>
        <w:rPr>
          <w:rFonts w:hint="eastAsia"/>
        </w:rPr>
        <w:t>本期</w:t>
      </w:r>
      <w:r>
        <w:rPr>
          <w:rFonts w:hint="eastAsia" w:ascii="宋体" w:hAnsi="宋体" w:cs="宋体"/>
          <w:kern w:val="0"/>
        </w:rPr>
        <w:t>支付的</w:t>
      </w:r>
      <w:r>
        <w:rPr>
          <w:rFonts w:hint="eastAsia"/>
        </w:rPr>
        <w:t>取得子公司的现金净额</w:t>
      </w:r>
    </w:p>
    <w:p>
      <w:pPr>
        <w:outlineLvl w:val="9"/>
      </w:pPr>
      <w:sdt>
        <w:sdtPr>
          <w:alias w:val="是否适用：本期支付的取得子公司的现金净额[双击切换]"/>
          <w:tag w:val="_GBC_e15d87c710624e119515f4697cba951d"/>
          <w:id w:val="27659"/>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
      <w:pPr>
        <w:pStyle w:val="196"/>
        <w:numPr>
          <w:ilvl w:val="0"/>
          <w:numId w:val="108"/>
        </w:numPr>
        <w:ind w:left="426" w:hanging="426"/>
      </w:pPr>
      <w:r>
        <w:rPr>
          <w:rFonts w:hint="eastAsia" w:ascii="宋体" w:hAnsi="宋体" w:cs="宋体"/>
          <w:kern w:val="0"/>
          <w:szCs w:val="24"/>
        </w:rPr>
        <w:t>本期收到的</w:t>
      </w:r>
      <w:r>
        <w:rPr>
          <w:rFonts w:hint="eastAsia"/>
        </w:rPr>
        <w:t>处置子公司的现金净额</w:t>
      </w:r>
    </w:p>
    <w:p>
      <w:pPr>
        <w:outlineLvl w:val="9"/>
      </w:pPr>
      <w:sdt>
        <w:sdtPr>
          <w:alias w:val="是否适用：本期收到的处置子公司的现金净额[双击切换]"/>
          <w:tag w:val="_GBC_34f955c7fd1f404b9df6ccd09e080d38"/>
          <w:id w:val="27660"/>
          <w:placeholder>
            <w:docPart w:val="GBC22222222222222222222222222222"/>
          </w:placeholder>
        </w:sdtPr>
        <w:sdtContent>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sdtContent>
      </w:sdt>
    </w:p>
    <w:p/>
    <w:p>
      <w:pPr>
        <w:pStyle w:val="196"/>
        <w:numPr>
          <w:ilvl w:val="0"/>
          <w:numId w:val="108"/>
        </w:numPr>
        <w:ind w:left="426" w:hanging="426"/>
        <w:rPr>
          <w:szCs w:val="21"/>
        </w:rPr>
      </w:pPr>
      <w:bookmarkStart w:id="309" w:name="_Hlk152667287"/>
      <w:r>
        <w:rPr>
          <w:rFonts w:hint="eastAsia" w:ascii="宋体" w:hAnsi="宋体"/>
          <w:szCs w:val="21"/>
        </w:rPr>
        <w:t>现金</w:t>
      </w:r>
      <w:r>
        <w:rPr>
          <w:rFonts w:hint="eastAsia"/>
          <w:szCs w:val="21"/>
        </w:rPr>
        <w:t>和现金</w:t>
      </w:r>
      <w:r>
        <w:rPr>
          <w:rFonts w:hint="eastAsia"/>
        </w:rPr>
        <w:t>等价物</w:t>
      </w:r>
      <w:r>
        <w:rPr>
          <w:rFonts w:hint="eastAsia"/>
          <w:szCs w:val="21"/>
        </w:rPr>
        <w:t>的</w:t>
      </w:r>
      <w:r>
        <w:rPr>
          <w:rFonts w:hint="eastAsia" w:ascii="宋体" w:hAnsi="宋体" w:eastAsia="宋体" w:cs="宋体"/>
          <w:kern w:val="0"/>
          <w:szCs w:val="24"/>
        </w:rPr>
        <w:t>构成</w:t>
      </w:r>
    </w:p>
    <w:sdt>
      <w:sdtPr>
        <w:alias w:val="是否适用：现金和现金等价物的构成[双击切换]"/>
        <w:tag w:val="_GBC_e0555d7e87b94189b1eb8131088a70ab"/>
        <w:id w:val="2766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rPr>
        <w:t>单位：</w:t>
      </w:r>
      <w:sdt>
        <w:sdtPr>
          <w:rPr>
            <w:rFonts w:hint="eastAsia"/>
          </w:rPr>
          <w:alias w:val="单位：财务附注：现金和现金等价物的构成"/>
          <w:tag w:val="_GBC_1e304caf56fc443fa3c4a1d772d34293"/>
          <w:id w:val="276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276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2920"/>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ae145dd51fc48d4a76bb239061b0a6e"/>
            <w:id w:val="20236"/>
          </w:sdtPr>
          <w:sdtContent>
            <w:tc>
              <w:tcPr>
                <w:tcW w:w="1874" w:type="pct"/>
                <w:tcBorders>
                  <w:bottom w:val="single" w:color="auto" w:sz="4" w:space="0"/>
                </w:tcBorders>
                <w:shd w:val="clear" w:color="auto" w:fill="auto"/>
                <w:vAlign w:val="center"/>
              </w:tcPr>
              <w:p>
                <w:pPr>
                  <w:ind w:left="-107" w:leftChars="-51"/>
                  <w:jc w:val="center"/>
                  <w:rPr>
                    <w:szCs w:val="21"/>
                  </w:rPr>
                </w:pPr>
                <w:r>
                  <w:rPr>
                    <w:rFonts w:hint="eastAsia"/>
                    <w:szCs w:val="21"/>
                  </w:rPr>
                  <w:t>项目</w:t>
                </w:r>
              </w:p>
            </w:tc>
          </w:sdtContent>
        </w:sdt>
        <w:sdt>
          <w:sdtPr>
            <w:tag w:val="_PLD_426ac24378064f8ab324e59db3ac5d98"/>
            <w:id w:val="20237"/>
          </w:sdtPr>
          <w:sdtContent>
            <w:tc>
              <w:tcPr>
                <w:tcW w:w="1613" w:type="pct"/>
                <w:shd w:val="clear" w:color="auto" w:fill="auto"/>
                <w:vAlign w:val="center"/>
              </w:tcPr>
              <w:p>
                <w:pPr>
                  <w:jc w:val="center"/>
                  <w:rPr>
                    <w:szCs w:val="21"/>
                  </w:rPr>
                </w:pPr>
                <w:r>
                  <w:rPr>
                    <w:rFonts w:hint="eastAsia"/>
                    <w:szCs w:val="21"/>
                  </w:rPr>
                  <w:t>期末余额</w:t>
                </w:r>
              </w:p>
            </w:tc>
          </w:sdtContent>
        </w:sdt>
        <w:sdt>
          <w:sdtPr>
            <w:tag w:val="_PLD_d8d41db246514c0dbfacfe0f48eeceac"/>
            <w:id w:val="20238"/>
          </w:sdtPr>
          <w:sdtContent>
            <w:tc>
              <w:tcPr>
                <w:tcW w:w="1511"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一、现金</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1,277,820,841.14</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1,209,719,975.47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其中：库存现金</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4,686.45</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5,414.92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　　可随时用于支付的银行存款</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1,277,590,943.82</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1,209,625,001.47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　　可随时用于支付的其他货币资金</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 225,210.87</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89,559.08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　　可用于支付的存放中央银行款项</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　　存放同业款项</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　　拆放同业款项</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二、现金等价物</w:t>
            </w:r>
          </w:p>
        </w:tc>
        <w:tc>
          <w:tcPr>
            <w:tcW w:w="1613" w:type="pct"/>
            <w:shd w:val="clear" w:color="auto" w:fill="auto"/>
            <w:vAlign w:val="center"/>
          </w:tcPr>
          <w:p>
            <w:pPr>
              <w:jc w:val="right"/>
              <w:rPr>
                <w:rFonts w:hint="default" w:ascii="Times New Roman" w:hAnsi="Times New Roman" w:cs="Times New Roman"/>
                <w:szCs w:val="21"/>
              </w:rPr>
            </w:pPr>
          </w:p>
        </w:tc>
        <w:tc>
          <w:tcPr>
            <w:tcW w:w="1511" w:type="pct"/>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tcBorders>
              <w:bottom w:val="single" w:color="auto" w:sz="4" w:space="0"/>
            </w:tcBorders>
            <w:shd w:val="clear" w:color="auto" w:fill="auto"/>
            <w:vAlign w:val="center"/>
          </w:tcPr>
          <w:p>
            <w:pPr>
              <w:rPr>
                <w:szCs w:val="21"/>
              </w:rPr>
            </w:pPr>
            <w:r>
              <w:rPr>
                <w:rFonts w:hint="eastAsia"/>
                <w:szCs w:val="21"/>
              </w:rPr>
              <w:t>其中：三个月内到期的债券投资</w:t>
            </w:r>
          </w:p>
        </w:tc>
        <w:tc>
          <w:tcPr>
            <w:tcW w:w="1613" w:type="pct"/>
            <w:tcBorders>
              <w:bottom w:val="single" w:color="auto" w:sz="4" w:space="0"/>
            </w:tcBorders>
            <w:shd w:val="clear" w:color="auto" w:fill="auto"/>
            <w:vAlign w:val="center"/>
          </w:tcPr>
          <w:p>
            <w:pPr>
              <w:jc w:val="right"/>
              <w:rPr>
                <w:rFonts w:hint="default" w:ascii="Times New Roman" w:hAnsi="Times New Roman" w:cs="Times New Roman"/>
                <w:szCs w:val="21"/>
              </w:rPr>
            </w:pPr>
          </w:p>
        </w:tc>
        <w:tc>
          <w:tcPr>
            <w:tcW w:w="1511" w:type="pct"/>
            <w:tcBorders>
              <w:bottom w:val="single" w:color="auto" w:sz="4" w:space="0"/>
            </w:tcBorders>
            <w:shd w:val="clear" w:color="auto" w:fill="auto"/>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三、期末现金及现金等价物余额</w:t>
            </w:r>
          </w:p>
        </w:tc>
        <w:tc>
          <w:tcPr>
            <w:tcW w:w="1613"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1,277,820,841.14</w:t>
            </w:r>
          </w:p>
        </w:tc>
        <w:tc>
          <w:tcPr>
            <w:tcW w:w="1511" w:type="pct"/>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1,209,719,975.47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4" w:type="pct"/>
            <w:shd w:val="clear" w:color="auto" w:fill="auto"/>
            <w:vAlign w:val="center"/>
          </w:tcPr>
          <w:p>
            <w:pPr>
              <w:rPr>
                <w:szCs w:val="21"/>
              </w:rPr>
            </w:pPr>
            <w:r>
              <w:rPr>
                <w:rFonts w:hint="eastAsia"/>
                <w:szCs w:val="21"/>
              </w:rPr>
              <w:t>其中：母公司或集团内子公司使用受限制的现金和现金等价物</w:t>
            </w:r>
          </w:p>
        </w:tc>
        <w:tc>
          <w:tcPr>
            <w:tcW w:w="1613" w:type="pct"/>
            <w:shd w:val="clear" w:color="auto" w:fill="auto"/>
          </w:tcPr>
          <w:p>
            <w:pPr>
              <w:jc w:val="right"/>
              <w:rPr>
                <w:szCs w:val="21"/>
              </w:rPr>
            </w:pPr>
          </w:p>
        </w:tc>
        <w:tc>
          <w:tcPr>
            <w:tcW w:w="1511" w:type="pct"/>
            <w:shd w:val="clear" w:color="auto" w:fill="auto"/>
          </w:tcPr>
          <w:p>
            <w:pPr>
              <w:jc w:val="right"/>
              <w:rPr>
                <w:szCs w:val="21"/>
              </w:rPr>
            </w:pPr>
          </w:p>
        </w:tc>
      </w:tr>
    </w:tbl>
    <w:p/>
    <w:p>
      <w:pPr>
        <w:spacing w:before="60" w:after="60"/>
        <w:rPr>
          <w:szCs w:val="21"/>
        </w:rPr>
      </w:pPr>
    </w:p>
    <w:p>
      <w:pPr>
        <w:pStyle w:val="196"/>
        <w:numPr>
          <w:ilvl w:val="0"/>
          <w:numId w:val="108"/>
        </w:numPr>
        <w:ind w:left="426" w:hanging="426"/>
        <w:rPr>
          <w:highlight w:val="none"/>
        </w:rPr>
      </w:pPr>
      <w:r>
        <w:rPr>
          <w:rFonts w:hint="eastAsia"/>
          <w:highlight w:val="none"/>
        </w:rPr>
        <w:t>使用范围受限但仍作为现金和现金等价物列示的情况</w:t>
      </w:r>
    </w:p>
    <w:sdt>
      <w:sdtPr>
        <w:alias w:val="是否适用：使用范围受限但仍作为现金和现金等价物列示的情况[双击切换]"/>
        <w:tag w:val="_GBC_3f4f3ab69b8d40ad90e4e461178c0e10"/>
        <w:id w:val="27667"/>
        <w:placeholder>
          <w:docPart w:val="GBC22222222222222222222222222222"/>
        </w:placeholder>
      </w:sdtPr>
      <w:sdtContent>
        <w:p>
          <w:pPr>
            <w:spacing w:before="60" w:after="60"/>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before="60" w:after="60"/>
        <w:outlineLvl w:val="9"/>
      </w:pPr>
    </w:p>
    <w:p>
      <w:pPr>
        <w:pStyle w:val="196"/>
        <w:numPr>
          <w:ilvl w:val="0"/>
          <w:numId w:val="108"/>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27668"/>
        <w:placeholder>
          <w:docPart w:val="GBC22222222222222222222222222222"/>
        </w:placeholder>
      </w:sdtPr>
      <w:sdtContent>
        <w:p>
          <w:pPr>
            <w:spacing w:before="60" w:after="6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pacing w:before="60" w:after="60"/>
        <w:outlineLvl w:val="9"/>
      </w:pPr>
    </w:p>
    <w:p>
      <w:pPr>
        <w:spacing w:before="60" w:after="60"/>
        <w:rPr>
          <w:rFonts w:hint="eastAsia" w:eastAsia="宋体"/>
          <w:szCs w:val="21"/>
          <w:lang w:val="en-US" w:eastAsia="zh-CN"/>
        </w:rPr>
      </w:pPr>
      <w:r>
        <w:rPr>
          <w:rFonts w:hint="eastAsia"/>
          <w:szCs w:val="21"/>
        </w:rPr>
        <w:t>其他说明：</w:t>
      </w:r>
      <w:r>
        <w:rPr>
          <w:rFonts w:hint="eastAsia"/>
          <w:szCs w:val="21"/>
          <w:lang w:val="en-US" w:eastAsia="zh-CN"/>
        </w:rPr>
        <w:t>无</w:t>
      </w:r>
    </w:p>
    <w:sdt>
      <w:sdtPr>
        <w:rPr>
          <w:szCs w:val="21"/>
        </w:rPr>
        <w:alias w:val="是否适用：现金流量表补充资料的说明[双击切换]"/>
        <w:tag w:val="_GBC_73894bf4981b4beaae2551b205a2e7cc"/>
        <w:id w:val="27669"/>
        <w:placeholder>
          <w:docPart w:val="GBC22222222222222222222222222222"/>
        </w:placeholder>
      </w:sdtPr>
      <w:sdtEndPr>
        <w:rPr>
          <w:szCs w:val="21"/>
        </w:rPr>
      </w:sdtEndPr>
      <w:sdtContent>
        <w:p>
          <w:pPr>
            <w:outlineLvl w:val="9"/>
            <w:rPr>
              <w:szCs w:val="22"/>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309"/>
    <w:p>
      <w:pPr>
        <w:pStyle w:val="229"/>
        <w:numPr>
          <w:ilvl w:val="0"/>
          <w:numId w:val="71"/>
        </w:numPr>
        <w:tabs>
          <w:tab w:val="left" w:pos="504"/>
        </w:tabs>
        <w:rPr>
          <w:rFonts w:ascii="宋体" w:hAnsi="宋体"/>
          <w:szCs w:val="21"/>
        </w:rPr>
      </w:pPr>
      <w:r>
        <w:rPr>
          <w:rFonts w:hint="eastAsia" w:ascii="宋体" w:hAnsi="宋体"/>
          <w:szCs w:val="21"/>
        </w:rPr>
        <w:t>所有者权益变动表项目注释</w:t>
      </w:r>
    </w:p>
    <w:p>
      <w:r>
        <w:rPr>
          <w:rFonts w:hint="eastAsia"/>
        </w:rPr>
        <w:t>说明对上年期末余额进行调整的“其他”项目名称及调整金额等事项：</w:t>
      </w:r>
    </w:p>
    <w:sdt>
      <w:sdtPr>
        <w:alias w:val="是否适用：所有者权益变动表项目注释[双击切换]"/>
        <w:tag w:val="_GBC_fca039532a374a3e9daa81c75d491b1f"/>
        <w:id w:val="27670"/>
        <w:placeholder>
          <w:docPart w:val="GBC22222222222222222222222222222"/>
        </w:placeholder>
      </w:sdtPr>
      <w:sdtContent>
        <w:p>
          <w:pPr>
            <w:tabs>
              <w:tab w:val="left" w:pos="10440"/>
            </w:tabs>
            <w:snapToGrid w:val="0"/>
            <w:spacing w:line="240" w:lineRule="atLeast"/>
            <w:outlineLvl w:val="9"/>
            <w:rPr>
              <w:color w:val="FF00FF"/>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71"/>
        </w:numPr>
        <w:tabs>
          <w:tab w:val="left" w:pos="504"/>
        </w:tabs>
        <w:rPr>
          <w:rFonts w:ascii="宋体" w:hAnsi="宋体"/>
          <w:szCs w:val="21"/>
        </w:rPr>
      </w:pPr>
      <w:r>
        <w:rPr>
          <w:rFonts w:hint="eastAsia" w:ascii="宋体" w:hAnsi="宋体"/>
          <w:szCs w:val="21"/>
        </w:rPr>
        <w:t>外币货币性项目</w:t>
      </w:r>
    </w:p>
    <w:p>
      <w:pPr>
        <w:pStyle w:val="196"/>
        <w:numPr>
          <w:ilvl w:val="0"/>
          <w:numId w:val="109"/>
        </w:numPr>
        <w:ind w:left="426" w:hanging="426"/>
        <w:rPr>
          <w:rFonts w:ascii="宋体" w:hAnsi="宋体"/>
          <w:b w:val="0"/>
          <w:szCs w:val="21"/>
        </w:rPr>
      </w:pPr>
      <w:r>
        <w:rPr>
          <w:rStyle w:val="254"/>
          <w:rFonts w:hint="eastAsia" w:ascii="宋体" w:hAnsi="宋体"/>
          <w:b/>
          <w:bCs w:val="0"/>
          <w:szCs w:val="21"/>
        </w:rPr>
        <w:t>外币货币性项目</w:t>
      </w:r>
    </w:p>
    <w:sdt>
      <w:sdtPr>
        <w:alias w:val="是否适用：外币货币性项目[双击切换]"/>
        <w:tag w:val="_GBC_6b0f646811a94c228ba6be3453047191"/>
        <w:id w:val="2767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26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276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6"/>
        <w:gridCol w:w="2050"/>
        <w:gridCol w:w="2059"/>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3516dfa974dea983fcf6d3a5e4272"/>
            <w:id w:val="20315"/>
          </w:sdtPr>
          <w:sdtContent>
            <w:tc>
              <w:tcPr>
                <w:tcW w:w="160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c677b8fd217342e7b28e98a1c8e497e9"/>
            <w:id w:val="20316"/>
          </w:sdt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期末外币余额</w:t>
                </w:r>
              </w:p>
            </w:tc>
          </w:sdtContent>
        </w:sdt>
        <w:sdt>
          <w:sdtPr>
            <w:tag w:val="_PLD_e0e88022a2754ae991eb4bb1a9caae4f"/>
            <w:id w:val="20317"/>
          </w:sdt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折算汇率</w:t>
                </w:r>
              </w:p>
            </w:tc>
          </w:sdtContent>
        </w:sdt>
        <w:sdt>
          <w:sdtPr>
            <w:tag w:val="_PLD_a1542d7b69a444ef9e91ceaf4a96f49d"/>
            <w:id w:val="20318"/>
          </w:sdtPr>
          <w:sdtContent>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期末折算人民币</w:t>
                </w:r>
              </w:p>
              <w:p>
                <w:pPr>
                  <w:jc w:val="center"/>
                  <w:rPr>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szCs w:val="21"/>
              </w:rPr>
              <w:t>货币资金</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12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eastAsia"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其中：</w:t>
            </w:r>
            <w:sdt>
              <w:sdtPr>
                <w:rPr>
                  <w:szCs w:val="21"/>
                </w:rPr>
                <w:alias w:val="以外币核算的币种明细-币种名称"/>
                <w:tag w:val="_GBC_b9ad493c07994625bf872e807197c998"/>
                <w:id w:val="2031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2,344,686.41</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7.1929</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16,865,207.38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32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699.73</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7.8592</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5,499.31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32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3,111,368.01</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0.9062</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2,819,521.75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szCs w:val="21"/>
              </w:rPr>
              <w:t>应收账款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其中：</w:t>
            </w:r>
            <w:sdt>
              <w:sdtPr>
                <w:rPr>
                  <w:szCs w:val="21"/>
                </w:rPr>
                <w:alias w:val="以外币核算的币种明细-币种名称"/>
                <w:tag w:val="_GBC_b9ad493c07994625bf872e807197c998"/>
                <w:id w:val="2032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1,579,718.65</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7.1929</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11,362,758.30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32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32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1,101,290.93</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0.9062</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color w:val="auto"/>
              </w:rPr>
              <w:t>997,989.84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szCs w:val="21"/>
              </w:rPr>
              <w:t>长期借款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其中：</w:t>
            </w:r>
            <w:sdt>
              <w:sdtPr>
                <w:rPr>
                  <w:szCs w:val="21"/>
                </w:rPr>
                <w:alias w:val="以外币核算的币种明细-币种名称"/>
                <w:tag w:val="_GBC_b9ad493c07994625bf872e807197c998"/>
                <w:id w:val="2032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32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32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Times New Roman" w:hAnsi="Times New Roman" w:eastAsia="宋体" w:cs="Times New Roman"/>
                <w:szCs w:val="21"/>
                <w:lang w:val="en-US" w:eastAsia="zh-CN"/>
              </w:rPr>
            </w:pPr>
          </w:p>
        </w:tc>
      </w:tr>
    </w:tbl>
    <w:p/>
    <w:p>
      <w:pPr>
        <w:spacing w:before="60" w:after="60"/>
        <w:rPr>
          <w:szCs w:val="21"/>
        </w:rPr>
      </w:pPr>
      <w:r>
        <w:rPr>
          <w:rFonts w:hint="eastAsia"/>
          <w:szCs w:val="21"/>
        </w:rPr>
        <w:t>其他说明：</w:t>
      </w:r>
    </w:p>
    <w:sdt>
      <w:sdtPr>
        <w:rPr>
          <w:szCs w:val="21"/>
        </w:rPr>
        <w:alias w:val="外币货币性项目的其他说明"/>
        <w:tag w:val="_GBC_293dd519b8b44c699246ad508c51bbfd"/>
        <w:id w:val="27686"/>
        <w:placeholder>
          <w:docPart w:val="GBC22222222222222222222222222222"/>
        </w:placeholder>
      </w:sdtPr>
      <w:sdtEndPr>
        <w:rPr>
          <w:szCs w:val="21"/>
        </w:rPr>
      </w:sdtEndPr>
      <w:sdtContent>
        <w:p>
          <w:pPr>
            <w:rPr>
              <w:szCs w:val="21"/>
            </w:rPr>
          </w:pPr>
          <w:r>
            <w:rPr>
              <w:rFonts w:hint="eastAsia"/>
              <w:szCs w:val="21"/>
              <w:lang w:eastAsia="zh-CN"/>
            </w:rPr>
            <w:t>无</w:t>
          </w:r>
        </w:p>
      </w:sdtContent>
    </w:sdt>
    <w:p>
      <w:pPr>
        <w:rPr>
          <w:szCs w:val="21"/>
        </w:rPr>
      </w:pPr>
    </w:p>
    <w:p>
      <w:pPr>
        <w:pStyle w:val="196"/>
        <w:numPr>
          <w:ilvl w:val="0"/>
          <w:numId w:val="109"/>
        </w:numPr>
        <w:ind w:left="426" w:hanging="426"/>
        <w:rPr>
          <w:szCs w:val="21"/>
        </w:rPr>
      </w:pPr>
      <w:r>
        <w:rPr>
          <w:rStyle w:val="254"/>
          <w:rFonts w:hint="eastAsia" w:ascii="宋体" w:hAnsi="宋体"/>
          <w:b/>
          <w:bCs w:val="0"/>
          <w:szCs w:val="21"/>
        </w:rPr>
        <w:t>境外</w:t>
      </w:r>
      <w:r>
        <w:rPr>
          <w:rFonts w:hint="eastAsia"/>
          <w:szCs w:val="21"/>
        </w:rPr>
        <w:t>经营实体说明，包括对于重要的境外经营实体，应披露其境外主要经营地、记账本位币及选择依据，记账本位币发生变化的还应披露原因</w:t>
      </w:r>
    </w:p>
    <w:p>
      <w:pPr>
        <w:outlineLvl w:val="9"/>
        <w:rPr>
          <w:szCs w:val="21"/>
        </w:rPr>
      </w:pPr>
      <w:sdt>
        <w:sdtPr>
          <w:rPr>
            <w:szCs w:val="21"/>
          </w:rPr>
          <w:alias w:val="是否适用：境外经营实体主要报表项目的折算汇率[双击切换]"/>
          <w:tag w:val="_GBC_c433d39e245c4fb79cd5170717bb5b9c"/>
          <w:id w:val="27687"/>
          <w:placeholder>
            <w:docPart w:val="GBC22222222222222222222222222222"/>
          </w:placeholder>
        </w:sdtPr>
        <w:sdtEndPr>
          <w:rPr>
            <w:szCs w:val="21"/>
          </w:rPr>
        </w:sdtEndPr>
        <w:sdtContent>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sdtContent>
      </w:sdt>
    </w:p>
    <w:p/>
    <w:p>
      <w:pPr>
        <w:pStyle w:val="229"/>
        <w:numPr>
          <w:ilvl w:val="0"/>
          <w:numId w:val="71"/>
        </w:numPr>
        <w:tabs>
          <w:tab w:val="left" w:pos="504"/>
        </w:tabs>
        <w:ind w:left="450" w:hanging="450"/>
        <w:rPr>
          <w:rFonts w:ascii="宋体" w:hAnsi="宋体"/>
          <w:szCs w:val="21"/>
          <w:highlight w:val="none"/>
        </w:rPr>
      </w:pPr>
      <w:r>
        <w:rPr>
          <w:rFonts w:hint="eastAsia" w:ascii="宋体" w:hAnsi="宋体"/>
          <w:szCs w:val="21"/>
          <w:highlight w:val="none"/>
        </w:rPr>
        <w:t>租赁</w:t>
      </w:r>
    </w:p>
    <w:p>
      <w:pPr>
        <w:pStyle w:val="196"/>
        <w:numPr>
          <w:ilvl w:val="0"/>
          <w:numId w:val="110"/>
        </w:numPr>
        <w:ind w:left="0" w:firstLine="0"/>
      </w:pPr>
      <w:r>
        <w:t>作为承租人</w:t>
      </w:r>
    </w:p>
    <w:sdt>
      <w:sdtPr>
        <w:alias w:val="是否适用：作为承租人[双击切换]"/>
        <w:tag w:val="_GBC_fe311ebf6010457c8817199183148161"/>
        <w:id w:val="27688"/>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r>
        <w:rPr>
          <w:rFonts w:hint="eastAsia"/>
        </w:rPr>
        <w:t>未纳入租赁负债计量的可变租赁付款额</w:t>
      </w:r>
    </w:p>
    <w:sdt>
      <w:sdtPr>
        <w:alias w:val="是否适用：未纳入租赁负债计量的可变租赁付款额[双击切换]"/>
        <w:tag w:val="_GBC_80d6a089e2ee407391cb1582a957568e"/>
        <w:id w:val="27689"/>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简化处理的短期租赁或低价值资产的租赁费用</w:t>
      </w:r>
    </w:p>
    <w:sdt>
      <w:sdtPr>
        <w:alias w:val="是否适用：简化处理的短期租赁或低价值资产的租赁费用[双击切换]"/>
        <w:tag w:val="_GBC_9750a0f7bb7b4d4eb353b64f9aef7ed1"/>
        <w:id w:val="27690"/>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售后租回交易及判断依据</w:t>
      </w:r>
    </w:p>
    <w:sdt>
      <w:sdtPr>
        <w:alias w:val="是否适用：售后租回交易及判断依据[双击切换]"/>
        <w:tag w:val="_GBC_a5dfb8e554434d8eb3f4c59e01e27ea4"/>
        <w:id w:val="27691"/>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
      <w:r>
        <w:rPr>
          <w:rFonts w:hint="eastAsia"/>
        </w:rPr>
        <w:t>与租赁相关的现金流出总额</w:t>
      </w:r>
      <w:sdt>
        <w:sdtPr>
          <w:rPr>
            <w:rFonts w:hint="eastAsia"/>
          </w:rPr>
          <w:alias w:val="与租赁相关的现金流出总额"/>
          <w:tag w:val="_GBC_c17023cf7ca74e9a8636a8f592034a57"/>
          <w:id w:val="27692"/>
          <w:placeholder>
            <w:docPart w:val="GBC22222222222222222222222222222"/>
          </w:placeholder>
        </w:sdtPr>
        <w:sdtEndPr>
          <w:rPr>
            <w:rFonts w:hint="default" w:ascii="Times New Roman" w:hAnsi="Times New Roman" w:cs="Times New Roman"/>
          </w:rPr>
        </w:sdtEndPr>
        <w:sdtContent>
          <w:r>
            <w:rPr>
              <w:rFonts w:hint="default" w:ascii="Times New Roman" w:hAnsi="Times New Roman" w:cs="Times New Roman"/>
              <w:lang w:eastAsia="zh-CN"/>
            </w:rPr>
            <w:t>1,754,301.36</w:t>
          </w:r>
        </w:sdtContent>
      </w:sdt>
      <w:r>
        <w:rPr>
          <w:rFonts w:hint="eastAsia"/>
        </w:rPr>
        <w:t>(单位：</w:t>
      </w:r>
      <w:sdt>
        <w:sdtPr>
          <w:rPr>
            <w:rFonts w:hint="eastAsia"/>
          </w:rPr>
          <w:alias w:val="单位：与租赁相关的现金流出总额"/>
          <w:tag w:val="_GBC_958c18bfb6e24086971643691eba660d"/>
          <w:id w:val="2769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276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w:t>
      </w:r>
    </w:p>
    <w:tbl>
      <w:tblPr>
        <w:tblStyle w:val="37"/>
        <w:tblW w:w="5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09"/>
        <w:gridCol w:w="2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3015" w:type="dxa"/>
            <w:tcBorders>
              <w:top w:val="single" w:color="000000" w:sz="12" w:space="0"/>
              <w:left w:val="nil"/>
              <w:bottom w:val="dotted" w:color="000000" w:sz="4" w:space="0"/>
              <w:right w:val="dotted"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21"/>
                <w:szCs w:val="21"/>
                <w:u w:val="none"/>
              </w:rPr>
            </w:pPr>
            <w:r>
              <w:rPr>
                <w:rStyle w:val="408"/>
                <w:rFonts w:ascii="Times New Roman" w:hAnsi="Times New Roman"/>
                <w:sz w:val="21"/>
                <w:szCs w:val="21"/>
                <w:lang w:val="en-US" w:eastAsia="zh-CN" w:bidi="ar"/>
              </w:rPr>
              <w:t>项</w:t>
            </w:r>
            <w:r>
              <w:rPr>
                <w:rStyle w:val="409"/>
                <w:rFonts w:ascii="Times New Roman" w:hAnsi="Times New Roman"/>
                <w:sz w:val="21"/>
                <w:szCs w:val="21"/>
                <w:lang w:val="en-US" w:eastAsia="zh-CN" w:bidi="ar"/>
              </w:rPr>
              <w:t xml:space="preserve">  </w:t>
            </w:r>
            <w:r>
              <w:rPr>
                <w:rStyle w:val="408"/>
                <w:rFonts w:ascii="Times New Roman" w:hAnsi="Times New Roman"/>
                <w:sz w:val="21"/>
                <w:szCs w:val="21"/>
                <w:lang w:val="en-US" w:eastAsia="zh-CN" w:bidi="ar"/>
              </w:rPr>
              <w:t>目</w:t>
            </w:r>
          </w:p>
        </w:tc>
        <w:tc>
          <w:tcPr>
            <w:tcW w:w="2920" w:type="dxa"/>
            <w:tcBorders>
              <w:top w:val="single" w:color="000000" w:sz="12" w:space="0"/>
              <w:left w:val="nil"/>
              <w:bottom w:val="dotted" w:color="000000" w:sz="4" w:space="0"/>
              <w:right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 xml:space="preserve"> 本期发生额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3015" w:type="dxa"/>
            <w:tcBorders>
              <w:top w:val="nil"/>
              <w:left w:val="nil"/>
              <w:bottom w:val="dotted" w:color="000000" w:sz="4" w:space="0"/>
              <w:right w:val="dotted" w:color="000000" w:sz="4" w:space="0"/>
            </w:tcBorders>
            <w:shd w:val="clear" w:color="auto" w:fill="auto"/>
            <w:vAlign w:val="center"/>
          </w:tcPr>
          <w:p>
            <w:pPr>
              <w:keepNext w:val="0"/>
              <w:keepLines w:val="0"/>
              <w:widowControl/>
              <w:suppressLineNumbers w:val="0"/>
              <w:jc w:val="both"/>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短期租赁费用</w:t>
            </w:r>
          </w:p>
        </w:tc>
        <w:tc>
          <w:tcPr>
            <w:tcW w:w="2920" w:type="dxa"/>
            <w:tcBorders>
              <w:top w:val="nil"/>
              <w:left w:val="nil"/>
              <w:bottom w:val="dotted" w:color="000000" w:sz="4" w:space="0"/>
              <w:right w:val="nil"/>
            </w:tcBorders>
            <w:shd w:val="clear" w:color="auto" w:fill="auto"/>
            <w:vAlign w:val="center"/>
          </w:tcPr>
          <w:p>
            <w:pPr>
              <w:keepNext w:val="0"/>
              <w:keepLines w:val="0"/>
              <w:widowControl/>
              <w:suppressLineNumbers w:val="0"/>
              <w:jc w:val="right"/>
              <w:textAlignment w:val="center"/>
              <w:rPr>
                <w:rFonts w:hint="default" w:ascii="Times New Roman" w:hAnsi="Times New Roman" w:eastAsia="Arial Narrow" w:cs="Arial Narrow"/>
                <w:i w:val="0"/>
                <w:iCs w:val="0"/>
                <w:color w:val="000000"/>
                <w:sz w:val="21"/>
                <w:szCs w:val="21"/>
                <w:u w:val="none"/>
              </w:rPr>
            </w:pPr>
            <w:r>
              <w:rPr>
                <w:rFonts w:hint="default" w:ascii="Times New Roman" w:hAnsi="Times New Roman" w:eastAsia="Arial Narrow" w:cs="Arial Narrow"/>
                <w:i w:val="0"/>
                <w:iCs w:val="0"/>
                <w:color w:val="000000"/>
                <w:kern w:val="0"/>
                <w:sz w:val="21"/>
                <w:szCs w:val="21"/>
                <w:u w:val="none"/>
                <w:lang w:val="en-US" w:eastAsia="zh-CN" w:bidi="ar"/>
              </w:rPr>
              <w:t xml:space="preserve"> 1,754,301.36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3015" w:type="dxa"/>
            <w:tcBorders>
              <w:top w:val="nil"/>
              <w:left w:val="nil"/>
              <w:bottom w:val="single" w:color="000000" w:sz="12" w:space="0"/>
              <w:right w:val="dotted"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21"/>
                <w:szCs w:val="21"/>
                <w:u w:val="none"/>
              </w:rPr>
            </w:pPr>
            <w:r>
              <w:rPr>
                <w:rStyle w:val="408"/>
                <w:rFonts w:ascii="Times New Roman" w:hAnsi="Times New Roman"/>
                <w:sz w:val="21"/>
                <w:szCs w:val="21"/>
                <w:lang w:val="en-US" w:eastAsia="zh-CN" w:bidi="ar"/>
              </w:rPr>
              <w:t>合</w:t>
            </w:r>
            <w:r>
              <w:rPr>
                <w:rStyle w:val="409"/>
                <w:rFonts w:ascii="Times New Roman" w:hAnsi="Times New Roman"/>
                <w:sz w:val="21"/>
                <w:szCs w:val="21"/>
                <w:lang w:val="en-US" w:eastAsia="zh-CN" w:bidi="ar"/>
              </w:rPr>
              <w:t xml:space="preserve">  </w:t>
            </w:r>
            <w:r>
              <w:rPr>
                <w:rStyle w:val="408"/>
                <w:rFonts w:ascii="Times New Roman" w:hAnsi="Times New Roman"/>
                <w:sz w:val="21"/>
                <w:szCs w:val="21"/>
                <w:lang w:val="en-US" w:eastAsia="zh-CN" w:bidi="ar"/>
              </w:rPr>
              <w:t>计</w:t>
            </w:r>
          </w:p>
        </w:tc>
        <w:tc>
          <w:tcPr>
            <w:tcW w:w="2920" w:type="dxa"/>
            <w:tcBorders>
              <w:top w:val="nil"/>
              <w:left w:val="nil"/>
              <w:bottom w:val="single" w:color="000000" w:sz="12" w:space="0"/>
              <w:right w:val="nil"/>
            </w:tcBorders>
            <w:shd w:val="clear" w:color="auto" w:fill="auto"/>
            <w:vAlign w:val="center"/>
          </w:tcPr>
          <w:p>
            <w:pPr>
              <w:keepNext w:val="0"/>
              <w:keepLines w:val="0"/>
              <w:widowControl/>
              <w:suppressLineNumbers w:val="0"/>
              <w:jc w:val="right"/>
              <w:textAlignment w:val="center"/>
              <w:rPr>
                <w:rFonts w:hint="default" w:ascii="Times New Roman" w:hAnsi="Times New Roman" w:eastAsia="Arial Narrow" w:cs="Arial Narrow"/>
                <w:i w:val="0"/>
                <w:iCs w:val="0"/>
                <w:color w:val="000000"/>
                <w:sz w:val="21"/>
                <w:szCs w:val="21"/>
                <w:u w:val="none"/>
              </w:rPr>
            </w:pPr>
            <w:r>
              <w:rPr>
                <w:rFonts w:hint="default" w:ascii="Times New Roman" w:hAnsi="Times New Roman" w:eastAsia="Arial Narrow" w:cs="Arial Narrow"/>
                <w:i w:val="0"/>
                <w:iCs w:val="0"/>
                <w:color w:val="000000"/>
                <w:kern w:val="0"/>
                <w:sz w:val="21"/>
                <w:szCs w:val="21"/>
                <w:u w:val="none"/>
                <w:lang w:val="en-US" w:eastAsia="zh-CN" w:bidi="ar"/>
              </w:rPr>
              <w:t xml:space="preserve"> 1,754,301.36 </w:t>
            </w:r>
          </w:p>
        </w:tc>
      </w:tr>
    </w:tbl>
    <w:p/>
    <w:p>
      <w:pPr>
        <w:pStyle w:val="196"/>
        <w:numPr>
          <w:ilvl w:val="0"/>
          <w:numId w:val="110"/>
        </w:numPr>
        <w:ind w:left="0" w:firstLine="0"/>
      </w:pPr>
      <w:r>
        <w:t>作为出租人</w:t>
      </w:r>
    </w:p>
    <w:p>
      <w:r>
        <w:t>作为出租人的经营</w:t>
      </w:r>
      <w:r>
        <w:rPr>
          <w:rFonts w:hint="eastAsia"/>
        </w:rPr>
        <w:t>租赁</w:t>
      </w:r>
    </w:p>
    <w:sdt>
      <w:sdtPr>
        <w:rPr>
          <w:rFonts w:hint="eastAsia"/>
        </w:rPr>
        <w:alias w:val="是否适用：作为出租人的经营租赁[双击切换]"/>
        <w:tag w:val="_GBC_d5cd3a4b291f4a089f0080385207b552"/>
        <w:id w:val="27695"/>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作为出租人的经营租赁"/>
          <w:tag w:val="_GBC_33154e0a2b6b4de1ba1d9ac25d94b964"/>
          <w:id w:val="2769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276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0"/>
        <w:gridCol w:w="3012"/>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rPr>
            <w:tag w:val="_PLD_00ecb26a541b4476ae397f9dc938c006"/>
            <w:id w:val="27698"/>
          </w:sdtPr>
          <w:sdtEndPr>
            <w:rPr>
              <w:rFonts w:hint="eastAsia" w:ascii="Times New Roman" w:hAnsi="Times New Roman"/>
            </w:rPr>
          </w:sdtEndPr>
          <w:sdtContent>
            <w:tc>
              <w:tcPr>
                <w:tcW w:w="1665" w:type="pct"/>
                <w:shd w:val="clear" w:color="auto" w:fill="auto"/>
                <w:vAlign w:val="center"/>
              </w:tcPr>
              <w:p>
                <w:pPr>
                  <w:jc w:val="center"/>
                  <w:rPr>
                    <w:rFonts w:ascii="Times New Roman" w:hAnsi="Times New Roman"/>
                  </w:rPr>
                </w:pPr>
                <w:r>
                  <w:rPr>
                    <w:rFonts w:hint="eastAsia" w:ascii="Times New Roman" w:hAnsi="Times New Roman"/>
                  </w:rPr>
                  <w:t>项目</w:t>
                </w:r>
              </w:p>
            </w:tc>
          </w:sdtContent>
        </w:sdt>
        <w:sdt>
          <w:sdtPr>
            <w:rPr>
              <w:rFonts w:ascii="Times New Roman" w:hAnsi="Times New Roman"/>
            </w:rPr>
            <w:tag w:val="_PLD_96216f0f4e664412a0e5e854a957fa35"/>
            <w:id w:val="27699"/>
          </w:sdtPr>
          <w:sdtEndPr>
            <w:rPr>
              <w:rFonts w:ascii="Times New Roman" w:hAnsi="Times New Roman"/>
            </w:rPr>
          </w:sdtEndPr>
          <w:sdtContent>
            <w:tc>
              <w:tcPr>
                <w:tcW w:w="1666" w:type="pct"/>
                <w:shd w:val="clear" w:color="auto" w:fill="auto"/>
                <w:vAlign w:val="center"/>
              </w:tcPr>
              <w:p>
                <w:pPr>
                  <w:jc w:val="center"/>
                  <w:rPr>
                    <w:rFonts w:ascii="Times New Roman" w:hAnsi="Times New Roman"/>
                  </w:rPr>
                </w:pPr>
                <w:r>
                  <w:rPr>
                    <w:rFonts w:ascii="Times New Roman" w:hAnsi="Times New Roman"/>
                  </w:rPr>
                  <w:t>租赁收入</w:t>
                </w:r>
              </w:p>
            </w:tc>
          </w:sdtContent>
        </w:sdt>
        <w:sdt>
          <w:sdtPr>
            <w:rPr>
              <w:rFonts w:ascii="Times New Roman" w:hAnsi="Times New Roman"/>
            </w:rPr>
            <w:tag w:val="_PLD_ad377951fc0c44299ea39a709c6a8089"/>
            <w:id w:val="27700"/>
          </w:sdtPr>
          <w:sdtEndPr>
            <w:rPr>
              <w:rFonts w:ascii="Times New Roman" w:hAnsi="Times New Roman"/>
            </w:rPr>
          </w:sdtEndPr>
          <w:sdtContent>
            <w:tc>
              <w:tcPr>
                <w:tcW w:w="1667" w:type="pct"/>
                <w:shd w:val="clear" w:color="auto" w:fill="auto"/>
                <w:vAlign w:val="center"/>
              </w:tcPr>
              <w:p>
                <w:pPr>
                  <w:jc w:val="center"/>
                  <w:rPr>
                    <w:rFonts w:ascii="Times New Roman" w:hAnsi="Times New Roman"/>
                  </w:rPr>
                </w:pPr>
                <w:r>
                  <w:rPr>
                    <w:rFonts w:ascii="Times New Roman" w:hAnsi="Times New Roman"/>
                  </w:rPr>
                  <w:t>其中</w:t>
                </w:r>
                <w:r>
                  <w:rPr>
                    <w:rFonts w:hint="eastAsia" w:ascii="Times New Roman" w:hAnsi="Times New Roman"/>
                  </w:rPr>
                  <w:t>:</w:t>
                </w:r>
                <w:r>
                  <w:rPr>
                    <w:rFonts w:ascii="Times New Roman" w:hAnsi="Times New Roman"/>
                  </w:rPr>
                  <w:t>未计入租赁收款额的可变租赁付款额相关的收入</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shd w:val="clear" w:color="auto" w:fill="auto"/>
            <w:vAlign w:val="center"/>
          </w:tcPr>
          <w:p>
            <w:pPr>
              <w:rPr>
                <w:rFonts w:ascii="Times New Roman" w:hAnsi="Times New Roman"/>
              </w:rPr>
            </w:pPr>
            <w:r>
              <w:rPr>
                <w:rFonts w:hint="eastAsia" w:ascii="Times New Roman" w:hAnsi="Times New Roman"/>
              </w:rPr>
              <w:t>租赁收入</w:t>
            </w:r>
          </w:p>
        </w:tc>
        <w:tc>
          <w:tcPr>
            <w:tcW w:w="1666" w:type="pct"/>
            <w:shd w:val="clear" w:color="auto" w:fill="auto"/>
            <w:vAlign w:val="center"/>
          </w:tcPr>
          <w:p>
            <w:pPr>
              <w:jc w:val="right"/>
              <w:rPr>
                <w:rFonts w:hint="eastAsia" w:ascii="Times New Roman" w:hAnsi="Times New Roman" w:eastAsia="宋体"/>
                <w:lang w:eastAsia="zh-CN"/>
              </w:rPr>
            </w:pPr>
            <w:r>
              <w:rPr>
                <w:rFonts w:hint="eastAsia" w:ascii="Times New Roman" w:hAnsi="Times New Roman"/>
                <w:lang w:eastAsia="zh-CN"/>
              </w:rPr>
              <w:t>199,190.49</w:t>
            </w:r>
          </w:p>
        </w:tc>
        <w:tc>
          <w:tcPr>
            <w:tcW w:w="1667" w:type="pct"/>
            <w:shd w:val="clear" w:color="auto" w:fill="auto"/>
            <w:vAlign w:val="center"/>
          </w:tcPr>
          <w:p>
            <w:pPr>
              <w:jc w:val="righ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shd w:val="clear" w:color="auto" w:fill="auto"/>
            <w:vAlign w:val="center"/>
          </w:tcPr>
          <w:p>
            <w:pPr>
              <w:jc w:val="center"/>
              <w:rPr>
                <w:rFonts w:ascii="Times New Roman" w:hAnsi="Times New Roman"/>
              </w:rPr>
            </w:pPr>
            <w:r>
              <w:rPr>
                <w:rFonts w:ascii="Times New Roman" w:hAnsi="Times New Roman"/>
              </w:rPr>
              <w:t>合计</w:t>
            </w:r>
          </w:p>
        </w:tc>
        <w:tc>
          <w:tcPr>
            <w:tcW w:w="1666" w:type="pct"/>
            <w:shd w:val="clear" w:color="auto" w:fill="auto"/>
            <w:vAlign w:val="center"/>
          </w:tcPr>
          <w:p>
            <w:pPr>
              <w:jc w:val="right"/>
              <w:rPr>
                <w:rFonts w:hint="eastAsia" w:ascii="Times New Roman" w:hAnsi="Times New Roman" w:eastAsia="宋体"/>
                <w:lang w:eastAsia="zh-CN"/>
              </w:rPr>
            </w:pPr>
            <w:r>
              <w:rPr>
                <w:rFonts w:hint="eastAsia" w:ascii="Times New Roman" w:hAnsi="Times New Roman"/>
                <w:lang w:eastAsia="zh-CN"/>
              </w:rPr>
              <w:t>199,190.49</w:t>
            </w:r>
          </w:p>
        </w:tc>
        <w:tc>
          <w:tcPr>
            <w:tcW w:w="1667" w:type="pct"/>
            <w:shd w:val="clear" w:color="auto" w:fill="auto"/>
            <w:vAlign w:val="center"/>
          </w:tcPr>
          <w:p>
            <w:pPr>
              <w:jc w:val="right"/>
              <w:rPr>
                <w:rFonts w:ascii="Times New Roman" w:hAnsi="Times New Roman"/>
              </w:rPr>
            </w:pPr>
          </w:p>
        </w:tc>
      </w:tr>
    </w:tbl>
    <w:p>
      <w:pPr>
        <w:rPr>
          <w:b/>
          <w:szCs w:val="21"/>
        </w:rPr>
      </w:pPr>
    </w:p>
    <w:p>
      <w:r>
        <w:t>作为出租人的融资租赁</w:t>
      </w:r>
    </w:p>
    <w:sdt>
      <w:sdtPr>
        <w:alias w:val="是否适用：作为出租人的融资租赁[双击切换]"/>
        <w:tag w:val="_GBC_a96fee2f2d7c4192a3a8f10ae08d73cc"/>
        <w:id w:val="2770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t>未折现租赁收款额与租赁投资净额的调节表</w:t>
      </w:r>
    </w:p>
    <w:sdt>
      <w:sdtPr>
        <w:alias w:val="是否适用：未折现租赁收款额与租赁投资净额的调节表?[双击切换]"/>
        <w:tag w:val="_GBC_4a108274280e49bd8dc1cba49cff5159"/>
        <w:id w:val="27708"/>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b/>
          <w:szCs w:val="21"/>
        </w:rPr>
      </w:pPr>
    </w:p>
    <w:p>
      <w:r>
        <w:t>未来五年</w:t>
      </w:r>
      <w:r>
        <w:rPr>
          <w:rFonts w:hint="eastAsia"/>
        </w:rPr>
        <w:t>未</w:t>
      </w:r>
      <w:r>
        <w:t>折现租赁收款额</w:t>
      </w:r>
    </w:p>
    <w:sdt>
      <w:sdtPr>
        <w:alias w:val="是否适用：未来五年未折现租赁收款额[双击切换]"/>
        <w:tag w:val="_GBC_60c95c043b424e188bd225c67d071e24"/>
        <w:id w:val="27710"/>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未来五年未折现租赁收款额"/>
          <w:tag w:val="_GBC_0f156e3ea1304df3873db3bede30ad62"/>
          <w:id w:val="277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未来五年未折现租赁收款额"/>
          <w:tag w:val="_GBC_c6bc418acd7c4195a868d98660aea070"/>
          <w:id w:val="277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p>
      <w:pPr>
        <w:rPr>
          <w:b/>
          <w:szCs w:val="21"/>
        </w:rPr>
      </w:pPr>
    </w:p>
    <w:tbl>
      <w:tblPr>
        <w:tblStyle w:val="1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560236a8bfa1465babf4b80a6f3a5952"/>
            <w:id w:val="23088"/>
          </w:sdtPr>
          <w:sdtEndPr>
            <w:rPr>
              <w:rFonts w:ascii="Times New Roman" w:hAnsi="Times New Roman"/>
            </w:rPr>
          </w:sdtEndPr>
          <w:sdtContent>
            <w:tc>
              <w:tcPr>
                <w:tcW w:w="3016" w:type="dxa"/>
                <w:vMerge w:val="restart"/>
                <w:vAlign w:val="center"/>
              </w:tcPr>
              <w:p>
                <w:pPr>
                  <w:widowControl w:val="0"/>
                  <w:jc w:val="center"/>
                  <w:rPr>
                    <w:rFonts w:ascii="Times New Roman" w:hAnsi="Times New Roman"/>
                    <w:szCs w:val="21"/>
                  </w:rPr>
                </w:pPr>
                <w:r>
                  <w:rPr>
                    <w:rFonts w:ascii="Times New Roman" w:hAnsi="Times New Roman"/>
                  </w:rPr>
                  <w:t>项目</w:t>
                </w:r>
              </w:p>
            </w:tc>
          </w:sdtContent>
        </w:sdt>
        <w:sdt>
          <w:sdtPr>
            <w:rPr>
              <w:rFonts w:ascii="Times New Roman" w:hAnsi="Times New Roman"/>
            </w:rPr>
            <w:tag w:val="_PLD_8033e1b2cc4248e388fc610609fd3072"/>
            <w:id w:val="23089"/>
          </w:sdtPr>
          <w:sdtEndPr>
            <w:rPr>
              <w:rFonts w:ascii="Times New Roman" w:hAnsi="Times New Roman"/>
            </w:rPr>
          </w:sdtEndPr>
          <w:sdtContent>
            <w:tc>
              <w:tcPr>
                <w:tcW w:w="6033" w:type="dxa"/>
                <w:gridSpan w:val="2"/>
                <w:vAlign w:val="center"/>
              </w:tcPr>
              <w:p>
                <w:pPr>
                  <w:widowControl w:val="0"/>
                  <w:jc w:val="center"/>
                  <w:rPr>
                    <w:rFonts w:ascii="Times New Roman" w:hAnsi="Times New Roman"/>
                    <w:szCs w:val="21"/>
                  </w:rPr>
                </w:pPr>
                <w:r>
                  <w:rPr>
                    <w:rFonts w:ascii="Times New Roman" w:hAnsi="Times New Roman"/>
                  </w:rPr>
                  <w:t>每年未折现租赁收款额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3016" w:type="dxa"/>
            <w:vMerge w:val="continue"/>
            <w:vAlign w:val="center"/>
          </w:tcPr>
          <w:p>
            <w:pPr>
              <w:widowControl w:val="0"/>
              <w:jc w:val="center"/>
              <w:rPr>
                <w:rFonts w:ascii="Times New Roman" w:hAnsi="Times New Roman"/>
                <w:szCs w:val="21"/>
              </w:rPr>
            </w:pPr>
          </w:p>
        </w:tc>
        <w:sdt>
          <w:sdtPr>
            <w:rPr>
              <w:rFonts w:ascii="Times New Roman" w:hAnsi="Times New Roman"/>
              <w:szCs w:val="21"/>
            </w:rPr>
            <w:tag w:val="_PLD_aa7174c8b0ee481a82f1c3b0d9dad318"/>
            <w:id w:val="23090"/>
          </w:sdtPr>
          <w:sdtEndPr>
            <w:rPr>
              <w:rFonts w:ascii="Times New Roman" w:hAnsi="Times New Roman"/>
              <w:szCs w:val="21"/>
            </w:rPr>
          </w:sdtEndPr>
          <w:sdtContent>
            <w:tc>
              <w:tcPr>
                <w:tcW w:w="3016" w:type="dxa"/>
                <w:vAlign w:val="center"/>
              </w:tcPr>
              <w:p>
                <w:pPr>
                  <w:widowControl w:val="0"/>
                  <w:jc w:val="center"/>
                  <w:rPr>
                    <w:rFonts w:ascii="Times New Roman" w:hAnsi="Times New Roman"/>
                    <w:szCs w:val="21"/>
                  </w:rPr>
                </w:pPr>
                <w:r>
                  <w:rPr>
                    <w:rFonts w:ascii="Times New Roman" w:hAnsi="Times New Roman"/>
                    <w:szCs w:val="21"/>
                  </w:rPr>
                  <w:t>期末金额</w:t>
                </w:r>
              </w:p>
            </w:tc>
          </w:sdtContent>
        </w:sdt>
        <w:sdt>
          <w:sdtPr>
            <w:rPr>
              <w:rFonts w:ascii="Times New Roman" w:hAnsi="Times New Roman"/>
              <w:szCs w:val="21"/>
            </w:rPr>
            <w:tag w:val="_PLD_49845ad07dee412bae11c7401d0be7c8"/>
            <w:id w:val="23091"/>
          </w:sdtPr>
          <w:sdtEndPr>
            <w:rPr>
              <w:rFonts w:ascii="Times New Roman" w:hAnsi="Times New Roman"/>
              <w:szCs w:val="21"/>
            </w:rPr>
          </w:sdtEndPr>
          <w:sdtContent>
            <w:tc>
              <w:tcPr>
                <w:tcW w:w="3017" w:type="dxa"/>
                <w:vAlign w:val="center"/>
              </w:tcPr>
              <w:p>
                <w:pPr>
                  <w:widowControl w:val="0"/>
                  <w:jc w:val="center"/>
                  <w:rPr>
                    <w:rFonts w:ascii="Times New Roman" w:hAnsi="Times New Roman"/>
                    <w:szCs w:val="21"/>
                  </w:rPr>
                </w:pPr>
                <w:r>
                  <w:rPr>
                    <w:rFonts w:ascii="Times New Roman" w:hAnsi="Times New Roman"/>
                    <w:szCs w:val="21"/>
                  </w:rPr>
                  <w:t>期初金额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rFonts w:ascii="Times New Roman" w:hAnsi="Times New Roman"/>
                <w:szCs w:val="21"/>
              </w:rPr>
            </w:pPr>
            <w:r>
              <w:rPr>
                <w:rFonts w:ascii="Times New Roman" w:hAnsi="Times New Roman"/>
              </w:rPr>
              <w:t>第一年</w:t>
            </w:r>
          </w:p>
        </w:tc>
        <w:tc>
          <w:tcPr>
            <w:tcW w:w="3016" w:type="dxa"/>
          </w:tcPr>
          <w:p>
            <w:pPr>
              <w:widowControl w:val="0"/>
              <w:jc w:val="right"/>
              <w:rPr>
                <w:rFonts w:ascii="Times New Roman" w:hAnsi="Times New Roman"/>
                <w:szCs w:val="21"/>
              </w:rPr>
            </w:pPr>
            <w:r>
              <w:rPr>
                <w:rFonts w:ascii="Times New Roman" w:hAnsi="Times New Roman"/>
                <w:color w:val="auto"/>
              </w:rPr>
              <w:t> 690,941.88</w:t>
            </w:r>
          </w:p>
        </w:tc>
        <w:tc>
          <w:tcPr>
            <w:tcW w:w="3017" w:type="dxa"/>
          </w:tcPr>
          <w:p>
            <w:pPr>
              <w:widowControl w:val="0"/>
              <w:jc w:val="right"/>
              <w:rPr>
                <w:rFonts w:ascii="Times New Roman" w:hAnsi="Times New Roman"/>
                <w:szCs w:val="21"/>
              </w:rPr>
            </w:pPr>
            <w:r>
              <w:rPr>
                <w:rFonts w:ascii="Times New Roman" w:hAnsi="Times New Roman"/>
                <w:color w:val="auto"/>
              </w:rPr>
              <w:t> 194,309.52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rFonts w:ascii="Times New Roman" w:hAnsi="Times New Roman"/>
                <w:szCs w:val="21"/>
              </w:rPr>
            </w:pPr>
            <w:r>
              <w:rPr>
                <w:rFonts w:ascii="Times New Roman" w:hAnsi="Times New Roman"/>
              </w:rPr>
              <w:t>第二年</w:t>
            </w:r>
          </w:p>
        </w:tc>
        <w:tc>
          <w:tcPr>
            <w:tcW w:w="3016" w:type="dxa"/>
          </w:tcPr>
          <w:p>
            <w:pPr>
              <w:widowControl w:val="0"/>
              <w:jc w:val="right"/>
              <w:rPr>
                <w:rFonts w:ascii="Times New Roman" w:hAnsi="Times New Roman"/>
                <w:szCs w:val="21"/>
              </w:rPr>
            </w:pPr>
            <w:r>
              <w:rPr>
                <w:rFonts w:ascii="Times New Roman" w:hAnsi="Times New Roman"/>
                <w:color w:val="auto"/>
              </w:rPr>
              <w:t> 473,300.95</w:t>
            </w:r>
          </w:p>
        </w:tc>
        <w:tc>
          <w:tcPr>
            <w:tcW w:w="3017" w:type="dxa"/>
          </w:tcPr>
          <w:p>
            <w:pPr>
              <w:widowControl w:val="0"/>
              <w:jc w:val="right"/>
              <w:rPr>
                <w:rFonts w:hint="eastAsia" w:ascii="Times New Roman" w:hAnsi="Times New Roman" w:eastAsia="宋体"/>
                <w:szCs w:val="21"/>
                <w:lang w:eastAsia="zh-CN"/>
              </w:rPr>
            </w:pPr>
            <w:r>
              <w:rPr>
                <w:rFonts w:ascii="Times New Roman" w:hAnsi="Times New Roman"/>
                <w:color w:val="auto"/>
              </w:rPr>
              <w:t> 123,809.5</w:t>
            </w:r>
            <w:r>
              <w:rPr>
                <w:rFonts w:hint="eastAsia" w:ascii="Times New Roman" w:hAnsi="Times New Roman"/>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rFonts w:ascii="Times New Roman" w:hAnsi="Times New Roman"/>
                <w:szCs w:val="21"/>
              </w:rPr>
            </w:pPr>
            <w:r>
              <w:rPr>
                <w:rFonts w:ascii="Times New Roman" w:hAnsi="Times New Roman"/>
              </w:rPr>
              <w:t>第三年</w:t>
            </w:r>
          </w:p>
        </w:tc>
        <w:tc>
          <w:tcPr>
            <w:tcW w:w="3016" w:type="dxa"/>
          </w:tcPr>
          <w:p>
            <w:pPr>
              <w:widowControl w:val="0"/>
              <w:jc w:val="right"/>
              <w:rPr>
                <w:rFonts w:ascii="Times New Roman" w:hAnsi="Times New Roman"/>
                <w:szCs w:val="21"/>
              </w:rPr>
            </w:pPr>
            <w:r>
              <w:rPr>
                <w:rFonts w:ascii="Times New Roman" w:hAnsi="Times New Roman"/>
                <w:color w:val="auto"/>
              </w:rPr>
              <w:t> 421,713.65</w:t>
            </w:r>
          </w:p>
        </w:tc>
        <w:tc>
          <w:tcPr>
            <w:tcW w:w="3017" w:type="dxa"/>
          </w:tcPr>
          <w:p>
            <w:pPr>
              <w:widowControl w:val="0"/>
              <w:jc w:val="right"/>
              <w:rPr>
                <w:rFonts w:ascii="Times New Roman" w:hAnsi="Times New Roman"/>
                <w:szCs w:val="21"/>
              </w:rPr>
            </w:pPr>
            <w:r>
              <w:rPr>
                <w:rFonts w:ascii="Times New Roman" w:hAnsi="Times New Roman"/>
                <w:color w:val="auto"/>
              </w:rPr>
              <w:t> 72,222.22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rFonts w:ascii="Times New Roman" w:hAnsi="Times New Roman"/>
                <w:szCs w:val="21"/>
              </w:rPr>
            </w:pPr>
            <w:r>
              <w:rPr>
                <w:rFonts w:ascii="Times New Roman" w:hAnsi="Times New Roman"/>
              </w:rPr>
              <w:t>第四年</w:t>
            </w:r>
          </w:p>
        </w:tc>
        <w:tc>
          <w:tcPr>
            <w:tcW w:w="3016" w:type="dxa"/>
          </w:tcPr>
          <w:p>
            <w:pPr>
              <w:widowControl w:val="0"/>
              <w:jc w:val="right"/>
              <w:rPr>
                <w:rFonts w:ascii="Times New Roman" w:hAnsi="Times New Roman"/>
                <w:szCs w:val="21"/>
              </w:rPr>
            </w:pPr>
            <w:r>
              <w:rPr>
                <w:rFonts w:ascii="Times New Roman" w:hAnsi="Times New Roman"/>
                <w:color w:val="auto"/>
              </w:rPr>
              <w:t> 349,491.43</w:t>
            </w:r>
          </w:p>
        </w:tc>
        <w:tc>
          <w:tcPr>
            <w:tcW w:w="3017" w:type="dxa"/>
          </w:tcPr>
          <w:p>
            <w:pPr>
              <w:widowControl w:val="0"/>
              <w:jc w:val="right"/>
              <w:rPr>
                <w:rFonts w:ascii="Times New Roman" w:hAnsi="Times New Roman"/>
                <w:szCs w:val="21"/>
              </w:rPr>
            </w:pPr>
            <w:r>
              <w:rPr>
                <w:rFonts w:ascii="Times New Roman" w:hAnsi="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rFonts w:ascii="Times New Roman" w:hAnsi="Times New Roman"/>
                <w:szCs w:val="21"/>
              </w:rPr>
            </w:pPr>
            <w:r>
              <w:rPr>
                <w:rFonts w:ascii="Times New Roman" w:hAnsi="Times New Roman"/>
              </w:rPr>
              <w:t>第五年</w:t>
            </w:r>
          </w:p>
        </w:tc>
        <w:tc>
          <w:tcPr>
            <w:tcW w:w="3016" w:type="dxa"/>
          </w:tcPr>
          <w:p>
            <w:pPr>
              <w:widowControl w:val="0"/>
              <w:jc w:val="right"/>
              <w:rPr>
                <w:rFonts w:ascii="Times New Roman" w:hAnsi="Times New Roman"/>
                <w:szCs w:val="21"/>
              </w:rPr>
            </w:pPr>
            <w:r>
              <w:rPr>
                <w:rFonts w:ascii="Times New Roman" w:hAnsi="Times New Roman"/>
                <w:color w:val="auto"/>
              </w:rPr>
              <w:t> 349,491.43</w:t>
            </w:r>
          </w:p>
        </w:tc>
        <w:tc>
          <w:tcPr>
            <w:tcW w:w="3017" w:type="dxa"/>
          </w:tcPr>
          <w:p>
            <w:pPr>
              <w:widowControl w:val="0"/>
              <w:jc w:val="right"/>
              <w:rPr>
                <w:rFonts w:ascii="Times New Roman" w:hAnsi="Times New Roman"/>
                <w:szCs w:val="21"/>
              </w:rPr>
            </w:pPr>
            <w:r>
              <w:rPr>
                <w:rFonts w:ascii="Times New Roman" w:hAnsi="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rFonts w:ascii="Times New Roman" w:hAnsi="Times New Roman"/>
                <w:szCs w:val="21"/>
              </w:rPr>
            </w:pPr>
            <w:r>
              <w:rPr>
                <w:rFonts w:ascii="Times New Roman" w:hAnsi="Times New Roman"/>
              </w:rPr>
              <w:t>五年后未折现租赁收款额总额</w:t>
            </w:r>
          </w:p>
        </w:tc>
        <w:tc>
          <w:tcPr>
            <w:tcW w:w="3016" w:type="dxa"/>
          </w:tcPr>
          <w:p>
            <w:pPr>
              <w:widowControl w:val="0"/>
              <w:jc w:val="right"/>
              <w:rPr>
                <w:rFonts w:ascii="Times New Roman" w:hAnsi="Times New Roman"/>
                <w:szCs w:val="21"/>
              </w:rPr>
            </w:pPr>
            <w:r>
              <w:rPr>
                <w:rFonts w:ascii="Times New Roman" w:hAnsi="Times New Roman"/>
                <w:color w:val="auto"/>
              </w:rPr>
              <w:t> 203,870.00</w:t>
            </w:r>
          </w:p>
        </w:tc>
        <w:tc>
          <w:tcPr>
            <w:tcW w:w="3017" w:type="dxa"/>
          </w:tcPr>
          <w:p>
            <w:pPr>
              <w:widowControl w:val="0"/>
              <w:jc w:val="right"/>
              <w:rPr>
                <w:rFonts w:ascii="Times New Roman" w:hAnsi="Times New Roman"/>
                <w:szCs w:val="21"/>
              </w:rPr>
            </w:pPr>
            <w:r>
              <w:rPr>
                <w:rFonts w:ascii="Times New Roman" w:hAnsi="Times New Roman"/>
                <w:color w:val="auto"/>
              </w:rPr>
              <w:t> </w:t>
            </w:r>
          </w:p>
        </w:tc>
      </w:tr>
    </w:tbl>
    <w:p/>
    <w:p/>
    <w:p>
      <w:pPr>
        <w:rPr>
          <w:b/>
          <w:szCs w:val="21"/>
        </w:rPr>
      </w:pPr>
    </w:p>
    <w:p>
      <w:pPr>
        <w:pStyle w:val="196"/>
        <w:numPr>
          <w:ilvl w:val="0"/>
          <w:numId w:val="110"/>
        </w:numPr>
        <w:ind w:left="0" w:firstLine="0"/>
      </w:pPr>
      <w:r>
        <w:t>作为生产商或经销商确认融资租赁销售损益</w:t>
      </w:r>
    </w:p>
    <w:sdt>
      <w:sdtPr>
        <w:alias w:val="是否适用：作为生产商或经销商确认融资租赁销售损益[双击切换]"/>
        <w:tag w:val="_GBC_595c7ca108a34d50bffdd3e765cca466"/>
        <w:id w:val="2771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r>
        <w:rPr>
          <w:rFonts w:hint="eastAsia"/>
        </w:rPr>
        <w:t>其他说明</w:t>
      </w:r>
    </w:p>
    <w:sdt>
      <w:sdtPr>
        <w:alias w:val="租赁其他说明"/>
        <w:tag w:val="_GBC_c4951ce943a04c5e965df092a40963b7"/>
        <w:id w:val="27724"/>
        <w:placeholder>
          <w:docPart w:val="GBC22222222222222222222222222222"/>
        </w:placeholder>
      </w:sdtPr>
      <w:sdtContent>
        <w:p>
          <w:r>
            <w:rPr>
              <w:rFonts w:hint="eastAsia"/>
              <w:lang w:eastAsia="zh-CN"/>
            </w:rPr>
            <w:t>无</w:t>
          </w:r>
        </w:p>
      </w:sdtContent>
    </w:sdt>
    <w:p/>
    <w:p>
      <w:pPr>
        <w:pStyle w:val="229"/>
        <w:numPr>
          <w:ilvl w:val="0"/>
          <w:numId w:val="71"/>
        </w:numPr>
        <w:tabs>
          <w:tab w:val="left" w:pos="504"/>
        </w:tabs>
      </w:pPr>
      <w:r>
        <w:rPr>
          <w:rFonts w:hint="eastAsia"/>
        </w:rPr>
        <w:t>其他</w:t>
      </w:r>
    </w:p>
    <w:sdt>
      <w:sdtPr>
        <w:alias w:val="是否适用：合并财务报表项目注释其他需要说明的事项[双击切换]"/>
        <w:tag w:val="_GBC_67815da71293483fad0e823098235edb"/>
        <w:id w:val="27725"/>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3"/>
        <w:numPr>
          <w:ilvl w:val="0"/>
          <w:numId w:val="60"/>
        </w:numPr>
      </w:pPr>
      <w:bookmarkStart w:id="310" w:name="_Hlk40108415"/>
      <w:r>
        <w:rPr>
          <w:rFonts w:hint="eastAsia"/>
        </w:rPr>
        <w:t>研发支出</w:t>
      </w:r>
    </w:p>
    <w:p>
      <w:pPr>
        <w:pStyle w:val="229"/>
        <w:numPr>
          <w:ilvl w:val="0"/>
          <w:numId w:val="111"/>
        </w:numPr>
      </w:pPr>
      <w:r>
        <w:rPr>
          <w:rFonts w:hint="eastAsia"/>
        </w:rPr>
        <w:t>按费用性质列示</w:t>
      </w:r>
    </w:p>
    <w:sdt>
      <w:sdtPr>
        <w:rPr>
          <w:szCs w:val="21"/>
        </w:rPr>
        <w:alias w:val="是否适用：研发费用[双击切换]"/>
        <w:tag w:val="_GBC_04b52b9f74d642ed996cff71b3380562"/>
        <w:id w:val="27726"/>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264"/>
        <w:ind w:left="420" w:firstLine="0" w:firstLineChars="0"/>
        <w:jc w:val="right"/>
        <w:rPr>
          <w:szCs w:val="21"/>
        </w:rPr>
      </w:pPr>
      <w:r>
        <w:rPr>
          <w:rFonts w:hint="eastAsia"/>
          <w:szCs w:val="21"/>
        </w:rPr>
        <w:t>单位：</w:t>
      </w:r>
      <w:sdt>
        <w:sdtPr>
          <w:rPr>
            <w:rFonts w:hint="eastAsia"/>
            <w:szCs w:val="21"/>
          </w:rPr>
          <w:alias w:val="单位：研发费用"/>
          <w:tag w:val="_GBC_cf8eb084313b4a1daa3dbb7d47c6cc60"/>
          <w:id w:val="277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572bef247e4247e09454933a69c36e65"/>
          <w:id w:val="27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373a371c2fc74073850def05593a1e6b"/>
            <w:id w:val="23107"/>
          </w:sdtPr>
          <w:sdtEndPr>
            <w:rPr>
              <w:rFonts w:ascii="Times New Roman" w:hAnsi="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6822cfd6a9f74188bf87ee408083b254"/>
            <w:id w:val="23108"/>
          </w:sdtPr>
          <w:sdtEndPr>
            <w:rPr>
              <w:rFonts w:ascii="Times New Roman" w:hAnsi="Times New Roman"/>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szCs w:val="21"/>
                  </w:rPr>
                </w:pPr>
                <w:r>
                  <w:rPr>
                    <w:rFonts w:hint="eastAsia" w:ascii="Times New Roman" w:hAnsi="Times New Roman"/>
                    <w:szCs w:val="21"/>
                  </w:rPr>
                  <w:t>本期发生额</w:t>
                </w:r>
              </w:p>
            </w:tc>
          </w:sdtContent>
        </w:sdt>
        <w:sdt>
          <w:sdtPr>
            <w:rPr>
              <w:rFonts w:ascii="Times New Roman" w:hAnsi="Times New Roman"/>
            </w:rPr>
            <w:tag w:val="_PLD_9179c21572a24986aa54bad16a61a225"/>
            <w:id w:val="23109"/>
          </w:sdtPr>
          <w:sdtEndPr>
            <w:rPr>
              <w:rFonts w:ascii="Times New Roman" w:hAnsi="Times New Roman"/>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szCs w:val="21"/>
                  </w:rPr>
                </w:pPr>
                <w:r>
                  <w:rPr>
                    <w:rFonts w:hint="eastAsia" w:ascii="Times New Roman" w:hAnsi="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7,920,892.90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6,923,322.18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服务费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2,952,494.79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2,098,665.58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物料消耗</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1,565,637.11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1,062,855.66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1,364,941.28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1,101,764.24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折旧及摊销</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1,007,839.05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884,078.08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水电汽费用</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564,074.05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245,084.60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szCs w:val="21"/>
              </w:rPr>
            </w:pPr>
            <w:r>
              <w:rPr>
                <w:rFonts w:ascii="Times New Roman" w:hAnsi="Times New Roman"/>
                <w:color w:val="auto"/>
              </w:rPr>
              <w:t>差旅费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329,704.43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color w:val="auto"/>
              </w:rPr>
              <w:t> 126,715.14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合计</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eastAsia" w:ascii="Times New Roman" w:hAnsi="Times New Roman" w:eastAsia="宋体"/>
                <w:szCs w:val="21"/>
                <w:lang w:eastAsia="zh-CN"/>
              </w:rPr>
            </w:pPr>
            <w:r>
              <w:rPr>
                <w:rFonts w:hint="eastAsia" w:ascii="Times New Roman" w:hAnsi="Times New Roman"/>
                <w:color w:val="auto"/>
                <w:szCs w:val="21"/>
                <w:lang w:eastAsia="zh-CN"/>
              </w:rPr>
              <w:t> 15,705,583.61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eastAsia" w:ascii="Times New Roman" w:hAnsi="Times New Roman" w:eastAsia="宋体"/>
                <w:szCs w:val="21"/>
                <w:lang w:eastAsia="zh-CN"/>
              </w:rPr>
            </w:pPr>
            <w:r>
              <w:rPr>
                <w:rFonts w:hint="eastAsia" w:ascii="Times New Roman" w:hAnsi="Times New Roman"/>
                <w:color w:val="auto"/>
                <w:szCs w:val="21"/>
                <w:lang w:eastAsia="zh-CN"/>
              </w:rPr>
              <w:t> 12,442,485.48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rPr>
            </w:pPr>
            <w:r>
              <w:rPr>
                <w:rFonts w:hint="eastAsia" w:ascii="Times New Roman" w:hAnsi="Times New Roman"/>
              </w:rPr>
              <w:t>其中：费用化研发支出</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rPr>
              <w:t>15,705,583.61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r>
              <w:rPr>
                <w:rFonts w:ascii="Times New Roman" w:hAnsi="Times New Roman"/>
              </w:rPr>
              <w:t>12,442,485.48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630" w:firstLineChars="300"/>
              <w:rPr>
                <w:rFonts w:ascii="Times New Roman" w:hAnsi="Times New Roman"/>
              </w:rPr>
            </w:pPr>
            <w:r>
              <w:rPr>
                <w:rFonts w:hint="eastAsia" w:ascii="Times New Roman" w:hAnsi="Times New Roman"/>
              </w:rPr>
              <w:t>资本化研发支出</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bl>
    <w:p/>
    <w:p/>
    <w:p>
      <w:pPr>
        <w:rPr>
          <w:szCs w:val="21"/>
        </w:rPr>
      </w:pPr>
      <w:r>
        <w:rPr>
          <w:rFonts w:hint="eastAsia"/>
          <w:szCs w:val="21"/>
        </w:rPr>
        <w:t>其他说明：</w:t>
      </w:r>
    </w:p>
    <w:sdt>
      <w:sdtPr>
        <w:alias w:val="研发支出按费用性质列示的其他说明"/>
        <w:tag w:val="_GBC_832f0bcbd22345ddb2d8bda2e55f93da"/>
        <w:id w:val="27732"/>
        <w:placeholder>
          <w:docPart w:val="GBC22222222222222222222222222222"/>
        </w:placeholder>
      </w:sdtPr>
      <w:sdtContent>
        <w:p>
          <w:r>
            <w:rPr>
              <w:rFonts w:hint="eastAsia"/>
              <w:lang w:eastAsia="zh-CN"/>
            </w:rPr>
            <w:t>无</w:t>
          </w:r>
        </w:p>
      </w:sdtContent>
    </w:sdt>
    <w:p/>
    <w:bookmarkEnd w:id="310"/>
    <w:p>
      <w:pPr>
        <w:pStyle w:val="229"/>
        <w:numPr>
          <w:ilvl w:val="0"/>
          <w:numId w:val="111"/>
        </w:numPr>
      </w:pPr>
      <w:bookmarkStart w:id="311" w:name="_Hlk153266294"/>
      <w:r>
        <w:t>符合资本化条件的研发项目</w:t>
      </w:r>
      <w:r>
        <w:rPr>
          <w:rFonts w:hint="eastAsia"/>
        </w:rPr>
        <w:t>开发支出</w:t>
      </w:r>
    </w:p>
    <w:sdt>
      <w:sdtPr>
        <w:alias w:val="是否适用：开发支出[双击切换]"/>
        <w:tag w:val="_GBC_173f2bb3b2db483e82638801b8b2955b"/>
        <w:id w:val="27733"/>
        <w:placeholder>
          <w:docPart w:val="GBC22222222222222222222222222222"/>
        </w:placeholder>
      </w:sdtPr>
      <w:sdtContent>
        <w:p>
          <w:pPr>
            <w:snapToGrid w:val="0"/>
            <w:spacing w:line="240" w:lineRule="atLeast"/>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snapToGrid w:val="0"/>
        <w:spacing w:line="240" w:lineRule="atLeast"/>
        <w:outlineLvl w:val="9"/>
      </w:pPr>
    </w:p>
    <w:bookmarkEnd w:id="311"/>
    <w:p>
      <w:pPr>
        <w:rPr>
          <w:szCs w:val="21"/>
        </w:rPr>
      </w:pPr>
      <w:r>
        <w:rPr>
          <w:szCs w:val="21"/>
        </w:rPr>
        <w:t>重要的资本化研发项目</w:t>
      </w:r>
    </w:p>
    <w:sdt>
      <w:sdtPr>
        <w:rPr>
          <w:szCs w:val="21"/>
        </w:rPr>
        <w:alias w:val="是否适用：重要的资本化研发项目[双击切换]"/>
        <w:tag w:val="_GBC_d1b90c9364924f2791f75c6b9a12139f"/>
        <w:id w:val="27741"/>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rPr>
          <w:szCs w:val="21"/>
        </w:rPr>
      </w:pPr>
      <w:r>
        <w:rPr>
          <w:szCs w:val="21"/>
        </w:rPr>
        <w:t>开发支出减值准备</w:t>
      </w:r>
    </w:p>
    <w:sdt>
      <w:sdtPr>
        <w:rPr>
          <w:szCs w:val="21"/>
        </w:rPr>
        <w:alias w:val="是否适用：开发支出减值准备[双击切换]"/>
        <w:tag w:val="_GBC_54eb6a513e574cfa85e9b90a1588b10f"/>
        <w:id w:val="27748"/>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p>
      <w:pPr>
        <w:rPr>
          <w:szCs w:val="21"/>
        </w:rPr>
      </w:pPr>
      <w:r>
        <w:rPr>
          <w:rFonts w:hint="eastAsia"/>
          <w:szCs w:val="21"/>
        </w:rPr>
        <w:t>其他说明</w:t>
      </w:r>
    </w:p>
    <w:sdt>
      <w:sdtPr>
        <w:alias w:val="符合资本化条件的研发项目开发支出的其他说明"/>
        <w:tag w:val="_GBC_3c7da8ec7a3a443ba6a37565a5e99433"/>
        <w:id w:val="27757"/>
        <w:placeholder>
          <w:docPart w:val="GBC22222222222222222222222222222"/>
        </w:placeholder>
      </w:sdtPr>
      <w:sdtContent>
        <w:p>
          <w:r>
            <w:rPr>
              <w:rFonts w:hint="eastAsia"/>
              <w:lang w:eastAsia="zh-CN"/>
            </w:rPr>
            <w:t>无</w:t>
          </w:r>
        </w:p>
      </w:sdtContent>
    </w:sdt>
    <w:p>
      <w:pPr>
        <w:rPr>
          <w:szCs w:val="21"/>
        </w:rPr>
      </w:pPr>
    </w:p>
    <w:p>
      <w:pPr>
        <w:pStyle w:val="229"/>
        <w:numPr>
          <w:ilvl w:val="0"/>
          <w:numId w:val="111"/>
        </w:numPr>
      </w:pPr>
      <w:r>
        <w:t>重要的外购在研项目</w:t>
      </w:r>
    </w:p>
    <w:sdt>
      <w:sdtPr>
        <w:rPr>
          <w:szCs w:val="21"/>
        </w:rPr>
        <w:alias w:val="是否适用：重要的外购在研项目[双击切换]"/>
        <w:tag w:val="_GBC_8385c2c52dfe44b6b2522468b8800584"/>
        <w:id w:val="27758"/>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60"/>
        </w:numPr>
      </w:pPr>
      <w:r>
        <w:rPr>
          <w:rFonts w:hint="eastAsia"/>
        </w:rPr>
        <w:t>合并范围的变更</w:t>
      </w:r>
    </w:p>
    <w:p>
      <w:pPr>
        <w:pStyle w:val="229"/>
        <w:numPr>
          <w:ilvl w:val="0"/>
          <w:numId w:val="112"/>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27764"/>
        <w:placeholder>
          <w:docPart w:val="GBC22222222222222222222222222222"/>
        </w:placeholder>
      </w:sdtPr>
      <w:sdtContent>
        <w:p>
          <w:pPr>
            <w:outlineLvl w:val="9"/>
            <w:rPr>
              <w:rFonts w:cstheme="minorBidi"/>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0"/>
          <w:numId w:val="112"/>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27765"/>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229"/>
        <w:numPr>
          <w:ilvl w:val="0"/>
          <w:numId w:val="112"/>
        </w:numPr>
        <w:rPr>
          <w:rFonts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27766"/>
        <w:placeholder>
          <w:docPart w:val="GBC22222222222222222222222222222"/>
        </w:placeholder>
      </w:sdtPr>
      <w:sdtContent>
        <w:p>
          <w:pPr>
            <w:outlineLvl w:val="9"/>
            <w:rPr>
              <w:rFonts w:cs="Arial"/>
              <w:szCs w:val="21"/>
              <w:lang w:val="en-GB"/>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szCs w:val="21"/>
        </w:rPr>
      </w:pPr>
    </w:p>
    <w:p>
      <w:pPr>
        <w:pStyle w:val="229"/>
        <w:numPr>
          <w:ilvl w:val="0"/>
          <w:numId w:val="112"/>
        </w:numPr>
        <w:rPr>
          <w:rFonts w:ascii="宋体" w:hAnsi="宋体" w:cs="Arial"/>
          <w:szCs w:val="21"/>
        </w:rPr>
      </w:pPr>
      <w:r>
        <w:rPr>
          <w:rFonts w:hint="eastAsia" w:ascii="宋体" w:hAnsi="宋体" w:cs="Arial"/>
          <w:szCs w:val="21"/>
        </w:rPr>
        <w:t>处置子公司</w:t>
      </w:r>
    </w:p>
    <w:p>
      <w:r>
        <w:rPr>
          <w:rFonts w:hint="eastAsia"/>
        </w:rPr>
        <w:t>本期是否存在</w:t>
      </w:r>
      <w:r>
        <w:t>丧失</w:t>
      </w:r>
      <w:r>
        <w:rPr>
          <w:rFonts w:hint="eastAsia"/>
        </w:rPr>
        <w:t>子公司</w:t>
      </w:r>
      <w:r>
        <w:t>控制权</w:t>
      </w:r>
      <w:r>
        <w:rPr>
          <w:rFonts w:hint="eastAsia"/>
        </w:rPr>
        <w:t>的交易或事项</w:t>
      </w:r>
    </w:p>
    <w:sdt>
      <w:sdtPr>
        <w:rPr>
          <w:rFonts w:hint="eastAsia" w:cs="Arial"/>
          <w:szCs w:val="21"/>
        </w:rPr>
        <w:alias w:val="是否存在单次交易处置对子公司投资即丧失控制权的情形[双击切换]"/>
        <w:tag w:val="_GBC_34b271ee01844be4a0580269d95adcf3"/>
        <w:id w:val="27767"/>
        <w:placeholder>
          <w:docPart w:val="GBC22222222222222222222222222222"/>
        </w:placeholder>
      </w:sdtPr>
      <w:sdtEndPr>
        <w:rPr>
          <w:rFonts w:hint="eastAsia" w:cs="Arial"/>
          <w:szCs w:val="21"/>
        </w:rPr>
      </w:sdtEndPr>
      <w:sdtContent>
        <w:p>
          <w:pPr>
            <w:rPr>
              <w:rFonts w:hint="eastAsia"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outlineLvl w:val="9"/>
        <w:rPr>
          <w:rFonts w:hint="eastAsia" w:cs="Arial"/>
          <w:szCs w:val="21"/>
        </w:rPr>
      </w:pPr>
    </w:p>
    <w:p>
      <w:pPr>
        <w:rPr>
          <w:rFonts w:cs="Arial"/>
          <w:color w:val="000000"/>
          <w:szCs w:val="21"/>
        </w:rPr>
      </w:pPr>
      <w:r>
        <w:rPr>
          <w:rFonts w:hint="eastAsia" w:cs="Arial"/>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7768"/>
        <w:placeholder>
          <w:docPart w:val="GBC22222222222222222222222222222"/>
        </w:placeholder>
      </w:sdtPr>
      <w:sdtEndPr>
        <w:rPr>
          <w:rFonts w:cs="Arial"/>
          <w:color w:val="000000"/>
          <w:szCs w:val="21"/>
        </w:rPr>
      </w:sdtEndPr>
      <w:sdtContent>
        <w:p>
          <w:pPr>
            <w:outlineLvl w:val="9"/>
            <w:rPr>
              <w:color w:val="000000"/>
              <w:szCs w:val="21"/>
            </w:rPr>
          </w:pPr>
          <w:r>
            <w:rPr>
              <w:rFonts w:cs="Arial"/>
              <w:color w:val="000000"/>
              <w:szCs w:val="21"/>
            </w:rPr>
            <w:fldChar w:fldCharType="begin"/>
          </w:r>
          <w:r>
            <w:rPr>
              <w:rFonts w:hint="eastAsia" w:cs="Arial"/>
              <w:color w:val="000000"/>
              <w:szCs w:val="21"/>
              <w:lang w:eastAsia="zh-CN"/>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hint="eastAsia" w:cs="Arial"/>
              <w:color w:val="000000"/>
              <w:szCs w:val="21"/>
              <w:lang w:eastAsia="zh-CN"/>
            </w:rPr>
            <w:instrText xml:space="preserve"> MACROBUTTON  SnrToggleCheckbox √不适用 </w:instrText>
          </w:r>
          <w:r>
            <w:rPr>
              <w:rFonts w:cs="Arial"/>
              <w:color w:val="000000"/>
              <w:szCs w:val="21"/>
            </w:rPr>
            <w:fldChar w:fldCharType="end"/>
          </w:r>
        </w:p>
      </w:sdtContent>
    </w:sdt>
    <w:p>
      <w:pPr>
        <w:pStyle w:val="60"/>
        <w:rPr>
          <w:color w:val="000000"/>
        </w:rPr>
      </w:pPr>
    </w:p>
    <w:p>
      <w:pPr>
        <w:rPr>
          <w:rFonts w:cs="Arial"/>
          <w:szCs w:val="21"/>
        </w:rPr>
      </w:pPr>
      <w:bookmarkStart w:id="312" w:name="_Hlk153549147"/>
      <w:r>
        <w:rPr>
          <w:rFonts w:hint="eastAsia" w:cs="Arial"/>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27769"/>
        <w:placeholder>
          <w:docPart w:val="GBC22222222222222222222222222222"/>
        </w:placeholder>
      </w:sdtPr>
      <w:sdtEndPr>
        <w:rPr>
          <w:rFonts w:hint="eastAsia"/>
        </w:rPr>
      </w:sdtEndPr>
      <w:sdtContent>
        <w:p>
          <w:pPr>
            <w:rPr>
              <w:rFonts w:hint="eastAsia"/>
            </w:rPr>
          </w:pPr>
          <w:r>
            <w:rPr>
              <w:color w:val="000000"/>
            </w:rPr>
            <w:fldChar w:fldCharType="begin"/>
          </w:r>
          <w:r>
            <w:rPr>
              <w:rFonts w:hint="eastAsia"/>
              <w:color w:val="000000"/>
              <w:lang w:eastAsia="zh-CN"/>
            </w:rPr>
            <w:instrText xml:space="preserve">MACROBUTTON  SnrToggleCheckbox □适用 </w:instrText>
          </w:r>
          <w:r>
            <w:rPr>
              <w:color w:val="000000"/>
            </w:rPr>
            <w:fldChar w:fldCharType="end"/>
          </w:r>
          <w:r>
            <w:rPr>
              <w:rFonts w:ascii="宋体" w:hAnsi="宋体"/>
              <w:color w:val="000000"/>
            </w:rPr>
            <w:fldChar w:fldCharType="begin"/>
          </w:r>
          <w:r>
            <w:rPr>
              <w:rFonts w:hint="eastAsia" w:ascii="宋体" w:hAnsi="宋体"/>
              <w:color w:val="000000"/>
              <w:lang w:eastAsia="zh-CN"/>
            </w:rPr>
            <w:instrText xml:space="preserve"> MACROBUTTON  SnrToggleCheckbox √不适用 </w:instrText>
          </w:r>
          <w:r>
            <w:rPr>
              <w:rFonts w:ascii="宋体" w:hAnsi="宋体"/>
              <w:color w:val="000000"/>
            </w:rPr>
            <w:fldChar w:fldCharType="end"/>
          </w:r>
        </w:p>
      </w:sdtContent>
    </w:sdt>
    <w:p>
      <w:pPr>
        <w:outlineLvl w:val="9"/>
        <w:rPr>
          <w:rFonts w:hint="eastAsia"/>
        </w:rPr>
      </w:pPr>
    </w:p>
    <w:bookmarkEnd w:id="312"/>
    <w:p>
      <w:pPr>
        <w:rPr>
          <w:rFonts w:cs="Arial"/>
          <w:color w:val="000000"/>
          <w:szCs w:val="21"/>
        </w:rPr>
      </w:pPr>
      <w:r>
        <w:rPr>
          <w:rFonts w:hint="eastAsia" w:cs="Arial"/>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27770"/>
        <w:placeholder>
          <w:docPart w:val="GBC22222222222222222222222222222"/>
        </w:placeholder>
      </w:sdtPr>
      <w:sdtEndPr>
        <w:rPr>
          <w:rFonts w:cs="Arial"/>
          <w:color w:val="000000"/>
          <w:szCs w:val="21"/>
        </w:rPr>
      </w:sdtEndPr>
      <w:sdtContent>
        <w:p>
          <w:pPr>
            <w:outlineLvl w:val="9"/>
            <w:rPr>
              <w:rFonts w:ascii="Calibri" w:hAnsi="Calibri" w:cs="Arial"/>
              <w:color w:val="000000"/>
            </w:rPr>
          </w:pPr>
          <w:r>
            <w:rPr>
              <w:rFonts w:cs="Arial"/>
              <w:color w:val="000000"/>
              <w:szCs w:val="21"/>
            </w:rPr>
            <w:fldChar w:fldCharType="begin"/>
          </w:r>
          <w:r>
            <w:rPr>
              <w:rFonts w:hint="eastAsia" w:cs="Arial"/>
              <w:color w:val="000000"/>
              <w:szCs w:val="21"/>
              <w:lang w:eastAsia="zh-CN"/>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hint="eastAsia" w:cs="Arial"/>
              <w:color w:val="000000"/>
              <w:szCs w:val="21"/>
              <w:lang w:eastAsia="zh-CN"/>
            </w:rPr>
            <w:instrText xml:space="preserve"> MACROBUTTON  SnrToggleCheckbox √不适用 </w:instrText>
          </w:r>
          <w:r>
            <w:rPr>
              <w:rFonts w:cs="Arial"/>
              <w:color w:val="000000"/>
              <w:szCs w:val="21"/>
            </w:rPr>
            <w:fldChar w:fldCharType="end"/>
          </w:r>
        </w:p>
      </w:sdtContent>
    </w:sdt>
    <w:p>
      <w:pPr>
        <w:rPr>
          <w:rFonts w:ascii="Calibri" w:hAnsi="Calibri" w:cs="Arial"/>
          <w:color w:val="000000"/>
        </w:rPr>
      </w:pPr>
    </w:p>
    <w:p>
      <w:pPr>
        <w:pStyle w:val="229"/>
        <w:numPr>
          <w:ilvl w:val="0"/>
          <w:numId w:val="112"/>
        </w:numPr>
        <w:rPr>
          <w:rFonts w:cs="Arial" w:asciiTheme="minorHAnsi" w:hAnsiTheme="minorHAnsi" w:eastAsiaTheme="minorEastAsia"/>
          <w:color w:val="000000"/>
        </w:rPr>
      </w:pPr>
      <w:r>
        <w:rPr>
          <w:rFonts w:hint="eastAsia" w:cs="Arial" w:asciiTheme="minorHAnsi" w:hAnsiTheme="minorHAnsi" w:eastAsiaTheme="minorEastAsia"/>
          <w:color w:val="000000"/>
        </w:rPr>
        <w:t>其他原因的合并范围变动</w:t>
      </w:r>
    </w:p>
    <w:p>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7771"/>
        <w:placeholder>
          <w:docPart w:val="GBC22222222222222222222222222222"/>
        </w:placeholder>
      </w:sdtPr>
      <w:sdtContent>
        <w:p>
          <w:pPr>
            <w:outlineLvl w:val="9"/>
            <w:rPr>
              <w:rFonts w:cs="Arial" w:asciiTheme="minorHAnsi" w:hAnsiTheme="minorHAnsi" w:eastAsiaTheme="minorEastAsia"/>
              <w:color w:val="000000"/>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asciiTheme="minorHAnsi" w:hAnsiTheme="minorHAnsi" w:eastAsiaTheme="minorEastAsia"/>
          <w:color w:val="000000"/>
        </w:rPr>
      </w:pPr>
    </w:p>
    <w:p>
      <w:pPr>
        <w:pStyle w:val="229"/>
        <w:numPr>
          <w:ilvl w:val="0"/>
          <w:numId w:val="112"/>
        </w:numPr>
        <w:rPr>
          <w:rFonts w:ascii="宋体" w:hAnsi="宋体" w:cs="Arial"/>
          <w:color w:val="000000"/>
        </w:rPr>
      </w:pPr>
      <w:r>
        <w:rPr>
          <w:rFonts w:hint="eastAsia" w:ascii="宋体" w:hAnsi="宋体" w:cs="Arial"/>
          <w:color w:val="000000"/>
        </w:rPr>
        <w:t>其他</w:t>
      </w:r>
    </w:p>
    <w:sdt>
      <w:sdtPr>
        <w:rPr>
          <w:rFonts w:hint="eastAsia" w:cs="Arial"/>
          <w:color w:val="000000"/>
        </w:rPr>
        <w:alias w:val="是否适用：合并范围的变更-其他说明[双击切换]"/>
        <w:tag w:val="_GBC_f93907dc64cd43f0a9e4c85b200aec0c"/>
        <w:id w:val="27772"/>
        <w:placeholder>
          <w:docPart w:val="GBC22222222222222222222222222222"/>
        </w:placeholder>
      </w:sdtPr>
      <w:sdtEndPr>
        <w:rPr>
          <w:rFonts w:hint="eastAsia" w:cs="Arial"/>
          <w:color w:val="000000"/>
        </w:rPr>
      </w:sdtEndPr>
      <w:sdtContent>
        <w:p>
          <w:pPr>
            <w:outlineLvl w:val="9"/>
            <w:rPr>
              <w:rFonts w:cs="Arial" w:asciiTheme="minorHAnsi" w:hAnsiTheme="minorHAnsi" w:eastAsiaTheme="minorEastAsia"/>
              <w:color w:val="000000"/>
            </w:rPr>
          </w:pPr>
          <w:r>
            <w:rPr>
              <w:rFonts w:cs="Arial"/>
              <w:color w:val="000000"/>
            </w:rPr>
            <w:fldChar w:fldCharType="begin"/>
          </w:r>
          <w:r>
            <w:rPr>
              <w:rFonts w:hint="eastAsia" w:cs="Arial"/>
              <w:color w:val="000000"/>
              <w:lang w:eastAsia="zh-CN"/>
            </w:rPr>
            <w:instrText xml:space="preserve"> MACROBUTTON  SnrToggleCheckbox □适用  </w:instrText>
          </w:r>
          <w:r>
            <w:rPr>
              <w:rFonts w:cs="Arial"/>
              <w:color w:val="000000"/>
            </w:rPr>
            <w:fldChar w:fldCharType="end"/>
          </w:r>
          <w:r>
            <w:rPr>
              <w:rFonts w:cs="Arial"/>
              <w:color w:val="000000"/>
            </w:rPr>
            <w:fldChar w:fldCharType="begin"/>
          </w:r>
          <w:r>
            <w:rPr>
              <w:rFonts w:hint="eastAsia" w:cs="Arial"/>
              <w:color w:val="000000"/>
              <w:lang w:eastAsia="zh-CN"/>
            </w:rPr>
            <w:instrText xml:space="preserve"> MACROBUTTON  SnrToggleCheckbox √不适用 </w:instrText>
          </w:r>
          <w:r>
            <w:rPr>
              <w:rFonts w:cs="Arial"/>
              <w:color w:val="000000"/>
            </w:rPr>
            <w:fldChar w:fldCharType="end"/>
          </w:r>
        </w:p>
      </w:sdtContent>
    </w:sdt>
    <w:p>
      <w:pPr>
        <w:rPr>
          <w:rFonts w:cs="Arial"/>
          <w:color w:val="000000"/>
        </w:rPr>
      </w:pPr>
    </w:p>
    <w:p>
      <w:pPr>
        <w:pStyle w:val="3"/>
        <w:numPr>
          <w:ilvl w:val="0"/>
          <w:numId w:val="60"/>
        </w:numPr>
        <w:rPr>
          <w:rFonts w:ascii="宋体" w:hAnsi="宋体"/>
        </w:rPr>
      </w:pPr>
      <w:r>
        <w:rPr>
          <w:rFonts w:hint="eastAsia" w:ascii="宋体" w:hAnsi="宋体"/>
        </w:rPr>
        <w:t>在</w:t>
      </w:r>
      <w:r>
        <w:rPr>
          <w:rFonts w:hint="eastAsia"/>
        </w:rPr>
        <w:t>其他</w:t>
      </w:r>
      <w:r>
        <w:rPr>
          <w:rFonts w:hint="eastAsia" w:ascii="宋体" w:hAnsi="宋体"/>
        </w:rPr>
        <w:t>主体中的权益</w:t>
      </w:r>
    </w:p>
    <w:p>
      <w:pPr>
        <w:pStyle w:val="229"/>
        <w:numPr>
          <w:ilvl w:val="2"/>
          <w:numId w:val="113"/>
        </w:numPr>
      </w:pPr>
      <w:r>
        <w:rPr>
          <w:rFonts w:hint="eastAsia"/>
        </w:rPr>
        <w:t>在子公司中的权益</w:t>
      </w:r>
    </w:p>
    <w:p>
      <w:pPr>
        <w:pStyle w:val="196"/>
        <w:numPr>
          <w:ilvl w:val="3"/>
          <w:numId w:val="114"/>
        </w:numPr>
        <w:ind w:left="424" w:hanging="426" w:hangingChars="202"/>
      </w:pPr>
      <w:r>
        <w:rPr>
          <w:rFonts w:hint="eastAsia"/>
        </w:rPr>
        <w:t>企业集团的构成</w:t>
      </w:r>
    </w:p>
    <w:sdt>
      <w:sdtPr>
        <w:alias w:val="是否适用：企业集团的构成[双击切换]"/>
        <w:tag w:val="_GBC_f4dcd24cd0a6465f817fe278addb6568"/>
        <w:id w:val="2777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
      <w:pPr>
        <w:jc w:val="right"/>
      </w:pPr>
      <w:r>
        <w:rPr>
          <w:rFonts w:hint="eastAsia"/>
        </w:rPr>
        <w:t>单位:</w:t>
      </w:r>
      <w:sdt>
        <w:sdtPr>
          <w:rPr>
            <w:rFonts w:hint="eastAsia"/>
          </w:rPr>
          <w:alias w:val="单位：企业集团的构成"/>
          <w:tag w:val="_GBC_69130484488a4b33b14f19ef0f1abce9"/>
          <w:id w:val="27774"/>
          <w:placeholder>
            <w:docPart w:val="{9e02f34c-4eb9-4945-a031-54c875352364}"/>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企业集团的构成"/>
          <w:tag w:val="_GBC_3be075e5c9a5407c89e1aab348039bf5"/>
          <w:id w:val="27775"/>
          <w:placeholder>
            <w:docPart w:val="{9e02f34c-4eb9-4945-a031-54c87535236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pPr w:leftFromText="180" w:rightFromText="180" w:vertAnchor="text" w:horzAnchor="page" w:tblpX="1820" w:tblpY="7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23"/>
        <w:gridCol w:w="1363"/>
        <w:gridCol w:w="1405"/>
        <w:gridCol w:w="873"/>
        <w:gridCol w:w="722"/>
        <w:gridCol w:w="819"/>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rPr>
              <w:rFonts w:hint="default" w:ascii="Times New Roman" w:hAnsi="Times New Roman" w:cs="Times New Roman"/>
              <w:sz w:val="21"/>
              <w:szCs w:val="21"/>
            </w:rPr>
            <w:tag w:val="_PLD_d102f36c2e2645ad9579603ca28588c8"/>
            <w:id w:val="27776"/>
          </w:sdtPr>
          <w:sdtEndPr>
            <w:rPr>
              <w:rFonts w:hint="default" w:ascii="Times New Roman" w:hAnsi="Times New Roman" w:cs="Times New Roman"/>
              <w:sz w:val="21"/>
              <w:szCs w:val="21"/>
            </w:rPr>
          </w:sdtEndPr>
          <w:sdtContent>
            <w:tc>
              <w:tcPr>
                <w:tcW w:w="943" w:type="pct"/>
                <w:vMerge w:val="restart"/>
                <w:shd w:val="clear" w:color="auto" w:fill="auto"/>
                <w:vAlign w:val="center"/>
              </w:tcPr>
              <w:p>
                <w:pPr>
                  <w:jc w:val="center"/>
                  <w:rPr>
                    <w:rFonts w:hint="default" w:ascii="Times New Roman" w:hAnsi="Times New Roman" w:cs="Times New Roman"/>
                    <w:sz w:val="21"/>
                    <w:szCs w:val="21"/>
                    <w:lang w:val="en-GB"/>
                  </w:rPr>
                </w:pPr>
                <w:r>
                  <w:rPr>
                    <w:rFonts w:hint="default" w:ascii="Times New Roman" w:hAnsi="Times New Roman" w:cs="Times New Roman"/>
                    <w:sz w:val="21"/>
                    <w:szCs w:val="21"/>
                    <w:lang w:val="en-GB"/>
                  </w:rPr>
                  <w:t>子公司</w:t>
                </w:r>
              </w:p>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名称</w:t>
                </w:r>
              </w:p>
            </w:tc>
          </w:sdtContent>
        </w:sdt>
        <w:sdt>
          <w:sdtPr>
            <w:rPr>
              <w:rFonts w:hint="default" w:ascii="Times New Roman" w:hAnsi="Times New Roman" w:cs="Times New Roman"/>
              <w:sz w:val="21"/>
              <w:szCs w:val="21"/>
            </w:rPr>
            <w:tag w:val="_PLD_f2f68356b5494ce8941038ba206c0e79"/>
            <w:id w:val="27777"/>
          </w:sdtPr>
          <w:sdtEndPr>
            <w:rPr>
              <w:rFonts w:hint="default" w:ascii="Times New Roman" w:hAnsi="Times New Roman" w:cs="Times New Roman"/>
              <w:sz w:val="21"/>
              <w:szCs w:val="21"/>
            </w:rPr>
          </w:sdtEndPr>
          <w:sdtContent>
            <w:tc>
              <w:tcPr>
                <w:tcW w:w="565" w:type="pct"/>
                <w:vMerge w:val="restar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主要经营地</w:t>
                </w:r>
              </w:p>
            </w:tc>
          </w:sdtContent>
        </w:sdt>
        <w:tc>
          <w:tcPr>
            <w:tcW w:w="753" w:type="pct"/>
            <w:vMerge w:val="restart"/>
            <w:vAlign w:val="center"/>
          </w:tcPr>
          <w:sdt>
            <w:sdtPr>
              <w:rPr>
                <w:rFonts w:hint="default" w:ascii="Times New Roman" w:hAnsi="Times New Roman" w:cs="Times New Roman"/>
                <w:sz w:val="21"/>
                <w:szCs w:val="21"/>
              </w:rPr>
              <w:tag w:val="_PLD_e8bcd6ecc6b44104942668e86b86bbbe"/>
              <w:id w:val="27778"/>
            </w:sdtPr>
            <w:sdtEndPr>
              <w:rPr>
                <w:rFonts w:hint="default" w:ascii="Times New Roman" w:hAnsi="Times New Roman" w:cs="Times New Roman"/>
                <w:sz w:val="21"/>
                <w:szCs w:val="21"/>
              </w:rPr>
            </w:sdtEndPr>
            <w:sdtContent>
              <w:p>
                <w:pPr>
                  <w:jc w:val="center"/>
                  <w:rPr>
                    <w:rFonts w:hint="default" w:ascii="Times New Roman" w:hAnsi="Times New Roman" w:cs="Times New Roman"/>
                    <w:sz w:val="21"/>
                    <w:szCs w:val="21"/>
                  </w:rPr>
                </w:pPr>
                <w:r>
                  <w:rPr>
                    <w:rFonts w:hint="default" w:ascii="Times New Roman" w:hAnsi="Times New Roman" w:cs="Times New Roman"/>
                    <w:sz w:val="21"/>
                    <w:szCs w:val="21"/>
                  </w:rPr>
                  <w:t>注册资本</w:t>
                </w:r>
              </w:p>
            </w:sdtContent>
          </w:sdt>
        </w:tc>
        <w:sdt>
          <w:sdtPr>
            <w:rPr>
              <w:rFonts w:hint="default" w:ascii="Times New Roman" w:hAnsi="Times New Roman" w:cs="Times New Roman"/>
              <w:sz w:val="21"/>
              <w:szCs w:val="21"/>
            </w:rPr>
            <w:tag w:val="_PLD_e9cbfd017bcc45b9be4599d5ee950f92"/>
            <w:id w:val="27779"/>
          </w:sdtPr>
          <w:sdtEndPr>
            <w:rPr>
              <w:rFonts w:hint="default" w:ascii="Times New Roman" w:hAnsi="Times New Roman" w:cs="Times New Roman"/>
              <w:sz w:val="21"/>
              <w:szCs w:val="21"/>
            </w:rPr>
          </w:sdtEndPr>
          <w:sdtContent>
            <w:tc>
              <w:tcPr>
                <w:tcW w:w="776" w:type="pct"/>
                <w:vMerge w:val="restar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注册地</w:t>
                </w:r>
              </w:p>
            </w:tc>
          </w:sdtContent>
        </w:sdt>
        <w:sdt>
          <w:sdtPr>
            <w:rPr>
              <w:rFonts w:hint="default" w:ascii="Times New Roman" w:hAnsi="Times New Roman" w:cs="Times New Roman"/>
              <w:sz w:val="21"/>
              <w:szCs w:val="21"/>
            </w:rPr>
            <w:tag w:val="_PLD_da5558f3e8f24c30b756f825b0ebca03"/>
            <w:id w:val="27780"/>
          </w:sdtPr>
          <w:sdtEndPr>
            <w:rPr>
              <w:rFonts w:hint="default" w:ascii="Times New Roman" w:hAnsi="Times New Roman" w:cs="Times New Roman"/>
              <w:sz w:val="21"/>
              <w:szCs w:val="21"/>
            </w:rPr>
          </w:sdtEndPr>
          <w:sdtContent>
            <w:tc>
              <w:tcPr>
                <w:tcW w:w="482" w:type="pct"/>
                <w:vMerge w:val="restar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业务性质</w:t>
                </w:r>
              </w:p>
            </w:tc>
          </w:sdtContent>
        </w:sdt>
        <w:sdt>
          <w:sdtPr>
            <w:rPr>
              <w:rFonts w:hint="default" w:ascii="Times New Roman" w:hAnsi="Times New Roman" w:cs="Times New Roman"/>
              <w:sz w:val="21"/>
              <w:szCs w:val="21"/>
            </w:rPr>
            <w:tag w:val="_PLD_817e427c8eff4fd1875d12860133e99e"/>
            <w:id w:val="27781"/>
          </w:sdtPr>
          <w:sdtEndPr>
            <w:rPr>
              <w:rFonts w:hint="default" w:ascii="Times New Roman" w:hAnsi="Times New Roman" w:cs="Times New Roman"/>
              <w:sz w:val="21"/>
              <w:szCs w:val="21"/>
            </w:rPr>
          </w:sdtEndPr>
          <w:sdtContent>
            <w:tc>
              <w:tcPr>
                <w:tcW w:w="851" w:type="pct"/>
                <w:gridSpan w:val="2"/>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持股比例</w:t>
                </w:r>
                <w:r>
                  <w:rPr>
                    <w:rFonts w:hint="default" w:ascii="Times New Roman" w:hAnsi="Times New Roman" w:cs="Times New Roman"/>
                    <w:sz w:val="21"/>
                    <w:szCs w:val="21"/>
                  </w:rPr>
                  <w:t>(%)</w:t>
                </w:r>
              </w:p>
            </w:tc>
          </w:sdtContent>
        </w:sdt>
        <w:sdt>
          <w:sdtPr>
            <w:rPr>
              <w:rFonts w:hint="default" w:ascii="Times New Roman" w:hAnsi="Times New Roman" w:cs="Times New Roman"/>
              <w:sz w:val="21"/>
              <w:szCs w:val="21"/>
            </w:rPr>
            <w:tag w:val="_PLD_0bb5e453efe4450ba0d853b98eb2c2b0"/>
            <w:id w:val="27782"/>
          </w:sdtPr>
          <w:sdtEndPr>
            <w:rPr>
              <w:rFonts w:hint="default" w:ascii="Times New Roman" w:hAnsi="Times New Roman" w:cs="Times New Roman"/>
              <w:sz w:val="21"/>
              <w:szCs w:val="21"/>
            </w:rPr>
          </w:sdtEndPr>
          <w:sdtContent>
            <w:tc>
              <w:tcPr>
                <w:tcW w:w="627" w:type="pct"/>
                <w:vMerge w:val="restart"/>
                <w:shd w:val="clear" w:color="auto" w:fill="auto"/>
                <w:vAlign w:val="center"/>
              </w:tcPr>
              <w:p>
                <w:pPr>
                  <w:jc w:val="center"/>
                  <w:rPr>
                    <w:rFonts w:hint="default" w:ascii="Times New Roman" w:hAnsi="Times New Roman" w:cs="Times New Roman"/>
                    <w:sz w:val="21"/>
                    <w:szCs w:val="21"/>
                    <w:lang w:val="en-GB"/>
                  </w:rPr>
                </w:pPr>
                <w:r>
                  <w:rPr>
                    <w:rFonts w:hint="default" w:ascii="Times New Roman" w:hAnsi="Times New Roman" w:cs="Times New Roman"/>
                    <w:sz w:val="21"/>
                    <w:szCs w:val="21"/>
                    <w:lang w:val="en-GB"/>
                  </w:rPr>
                  <w:t>取得</w:t>
                </w:r>
              </w:p>
              <w:p>
                <w:pPr>
                  <w:jc w:val="center"/>
                  <w:rPr>
                    <w:rFonts w:hint="default" w:ascii="Times New Roman" w:hAnsi="Times New Roman" w:cs="Times New Roman"/>
                    <w:sz w:val="21"/>
                    <w:szCs w:val="21"/>
                    <w:lang w:val="en-GB"/>
                  </w:rPr>
                </w:pPr>
                <w:r>
                  <w:rPr>
                    <w:rFonts w:hint="default" w:ascii="Times New Roman" w:hAnsi="Times New Roman" w:cs="Times New Roman"/>
                    <w:sz w:val="21"/>
                    <w:szCs w:val="21"/>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43" w:type="pct"/>
            <w:vMerge w:val="continue"/>
            <w:shd w:val="clear" w:color="auto" w:fill="auto"/>
            <w:vAlign w:val="center"/>
          </w:tcPr>
          <w:p>
            <w:pPr>
              <w:jc w:val="center"/>
              <w:rPr>
                <w:rFonts w:hint="default" w:ascii="Times New Roman" w:hAnsi="Times New Roman" w:cs="Times New Roman"/>
                <w:sz w:val="21"/>
                <w:szCs w:val="21"/>
              </w:rPr>
            </w:pPr>
          </w:p>
        </w:tc>
        <w:tc>
          <w:tcPr>
            <w:tcW w:w="565" w:type="pct"/>
            <w:vMerge w:val="continue"/>
            <w:shd w:val="clear" w:color="auto" w:fill="auto"/>
            <w:vAlign w:val="center"/>
          </w:tcPr>
          <w:p>
            <w:pPr>
              <w:jc w:val="center"/>
              <w:rPr>
                <w:rFonts w:hint="default" w:ascii="Times New Roman" w:hAnsi="Times New Roman" w:cs="Times New Roman"/>
                <w:sz w:val="21"/>
                <w:szCs w:val="21"/>
              </w:rPr>
            </w:pPr>
          </w:p>
        </w:tc>
        <w:tc>
          <w:tcPr>
            <w:tcW w:w="753" w:type="pct"/>
            <w:vMerge w:val="continue"/>
            <w:vAlign w:val="center"/>
          </w:tcPr>
          <w:p>
            <w:pPr>
              <w:jc w:val="center"/>
              <w:rPr>
                <w:rFonts w:hint="default" w:ascii="Times New Roman" w:hAnsi="Times New Roman" w:cs="Times New Roman"/>
                <w:sz w:val="21"/>
                <w:szCs w:val="21"/>
              </w:rPr>
            </w:pPr>
          </w:p>
        </w:tc>
        <w:tc>
          <w:tcPr>
            <w:tcW w:w="776" w:type="pct"/>
            <w:vMerge w:val="continue"/>
            <w:shd w:val="clear" w:color="auto" w:fill="auto"/>
            <w:vAlign w:val="center"/>
          </w:tcPr>
          <w:p>
            <w:pPr>
              <w:jc w:val="center"/>
              <w:rPr>
                <w:rFonts w:hint="default" w:ascii="Times New Roman" w:hAnsi="Times New Roman" w:cs="Times New Roman"/>
                <w:sz w:val="21"/>
                <w:szCs w:val="21"/>
              </w:rPr>
            </w:pPr>
          </w:p>
        </w:tc>
        <w:tc>
          <w:tcPr>
            <w:tcW w:w="482" w:type="pct"/>
            <w:vMerge w:val="continue"/>
            <w:shd w:val="clear" w:color="auto" w:fill="auto"/>
            <w:vAlign w:val="center"/>
          </w:tcPr>
          <w:p>
            <w:pPr>
              <w:jc w:val="center"/>
              <w:rPr>
                <w:rFonts w:hint="default" w:ascii="Times New Roman" w:hAnsi="Times New Roman" w:cs="Times New Roman"/>
                <w:sz w:val="21"/>
                <w:szCs w:val="21"/>
              </w:rPr>
            </w:pPr>
          </w:p>
        </w:tc>
        <w:sdt>
          <w:sdtPr>
            <w:rPr>
              <w:rFonts w:hint="default" w:ascii="Times New Roman" w:hAnsi="Times New Roman" w:cs="Times New Roman"/>
              <w:sz w:val="21"/>
              <w:szCs w:val="21"/>
            </w:rPr>
            <w:tag w:val="_PLD_3f641d83162f4ae3a8840b93258d7ced"/>
            <w:id w:val="27783"/>
          </w:sdtPr>
          <w:sdtEndPr>
            <w:rPr>
              <w:rFonts w:hint="default" w:ascii="Times New Roman" w:hAnsi="Times New Roman" w:cs="Times New Roman"/>
              <w:sz w:val="21"/>
              <w:szCs w:val="21"/>
            </w:rPr>
          </w:sdtEndPr>
          <w:sdtContent>
            <w:tc>
              <w:tcPr>
                <w:tcW w:w="398" w:type="pc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直接</w:t>
                </w:r>
              </w:p>
            </w:tc>
          </w:sdtContent>
        </w:sdt>
        <w:sdt>
          <w:sdtPr>
            <w:rPr>
              <w:rFonts w:hint="default" w:ascii="Times New Roman" w:hAnsi="Times New Roman" w:cs="Times New Roman"/>
              <w:sz w:val="21"/>
              <w:szCs w:val="21"/>
            </w:rPr>
            <w:tag w:val="_PLD_ebc96648c2794ae08bfb57e63f0a34c5"/>
            <w:id w:val="27784"/>
          </w:sdtPr>
          <w:sdtEndPr>
            <w:rPr>
              <w:rFonts w:hint="default" w:ascii="Times New Roman" w:hAnsi="Times New Roman" w:cs="Times New Roman"/>
              <w:sz w:val="21"/>
              <w:szCs w:val="21"/>
            </w:rPr>
          </w:sdtEndPr>
          <w:sdtContent>
            <w:tc>
              <w:tcPr>
                <w:tcW w:w="452" w:type="pct"/>
                <w:shd w:val="clear" w:color="auto" w:fill="auto"/>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GB"/>
                  </w:rPr>
                  <w:t>间接</w:t>
                </w:r>
              </w:p>
            </w:tc>
          </w:sdtContent>
        </w:sdt>
        <w:tc>
          <w:tcPr>
            <w:tcW w:w="627" w:type="pct"/>
            <w:vMerge w:val="continue"/>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柳州惠好卫生用品有限公司</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广西柳州市</w:t>
            </w:r>
          </w:p>
        </w:tc>
        <w:tc>
          <w:tcPr>
            <w:tcW w:w="75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210万美元</w:t>
            </w:r>
          </w:p>
        </w:tc>
        <w:tc>
          <w:tcPr>
            <w:tcW w:w="77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广西柳州市</w:t>
            </w:r>
          </w:p>
        </w:tc>
        <w:tc>
          <w:tcPr>
            <w:tcW w:w="4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制造业</w:t>
            </w:r>
          </w:p>
        </w:tc>
        <w:tc>
          <w:tcPr>
            <w:tcW w:w="39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c>
          <w:tcPr>
            <w:tcW w:w="452" w:type="pct"/>
            <w:vAlign w:val="center"/>
          </w:tcPr>
          <w:p>
            <w:pPr>
              <w:jc w:val="center"/>
              <w:rPr>
                <w:rFonts w:hint="default" w:ascii="Times New Roman" w:hAnsi="Times New Roman" w:cs="Times New Roman"/>
                <w:sz w:val="21"/>
                <w:szCs w:val="21"/>
              </w:rPr>
            </w:pPr>
          </w:p>
        </w:tc>
        <w:tc>
          <w:tcPr>
            <w:tcW w:w="62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柳州两面针进出口贸易有限公司</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广西柳州市</w:t>
            </w:r>
          </w:p>
        </w:tc>
        <w:tc>
          <w:tcPr>
            <w:tcW w:w="753"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5,000,000</w:t>
            </w:r>
          </w:p>
        </w:tc>
        <w:tc>
          <w:tcPr>
            <w:tcW w:w="77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广西柳州市</w:t>
            </w:r>
          </w:p>
        </w:tc>
        <w:tc>
          <w:tcPr>
            <w:tcW w:w="4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进出口贸易</w:t>
            </w:r>
          </w:p>
        </w:tc>
        <w:tc>
          <w:tcPr>
            <w:tcW w:w="39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452" w:type="pct"/>
            <w:vAlign w:val="center"/>
          </w:tcPr>
          <w:p>
            <w:pPr>
              <w:jc w:val="center"/>
              <w:rPr>
                <w:rFonts w:hint="default" w:ascii="Times New Roman" w:hAnsi="Times New Roman" w:cs="Times New Roman"/>
                <w:sz w:val="21"/>
                <w:szCs w:val="21"/>
              </w:rPr>
            </w:pPr>
          </w:p>
        </w:tc>
        <w:tc>
          <w:tcPr>
            <w:tcW w:w="62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广西两面针亿康药业股份有限公司</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广西柳州市</w:t>
            </w:r>
          </w:p>
        </w:tc>
        <w:tc>
          <w:tcPr>
            <w:tcW w:w="753"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9,100.0000</w:t>
            </w:r>
          </w:p>
        </w:tc>
        <w:tc>
          <w:tcPr>
            <w:tcW w:w="77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广西柳州市</w:t>
            </w:r>
          </w:p>
        </w:tc>
        <w:tc>
          <w:tcPr>
            <w:tcW w:w="4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制造业</w:t>
            </w:r>
          </w:p>
        </w:tc>
        <w:tc>
          <w:tcPr>
            <w:tcW w:w="39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90.10</w:t>
            </w:r>
          </w:p>
        </w:tc>
        <w:tc>
          <w:tcPr>
            <w:tcW w:w="452" w:type="pct"/>
            <w:vAlign w:val="center"/>
          </w:tcPr>
          <w:p>
            <w:pPr>
              <w:jc w:val="center"/>
              <w:rPr>
                <w:rFonts w:hint="default" w:ascii="Times New Roman" w:hAnsi="Times New Roman" w:cs="Times New Roman"/>
                <w:sz w:val="21"/>
                <w:szCs w:val="21"/>
              </w:rPr>
            </w:pPr>
          </w:p>
        </w:tc>
        <w:tc>
          <w:tcPr>
            <w:tcW w:w="62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收购合并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安徽两面针•芳草日化有限公司</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安徽合肥市</w:t>
            </w:r>
          </w:p>
        </w:tc>
        <w:tc>
          <w:tcPr>
            <w:tcW w:w="753"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35,000,000</w:t>
            </w:r>
          </w:p>
        </w:tc>
        <w:tc>
          <w:tcPr>
            <w:tcW w:w="77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安徽合肥市</w:t>
            </w:r>
          </w:p>
        </w:tc>
        <w:tc>
          <w:tcPr>
            <w:tcW w:w="4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制造业</w:t>
            </w:r>
          </w:p>
        </w:tc>
        <w:tc>
          <w:tcPr>
            <w:tcW w:w="39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452"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14.07</w:t>
            </w:r>
          </w:p>
        </w:tc>
        <w:tc>
          <w:tcPr>
            <w:tcW w:w="62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收购合并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两面针（江苏）实业有限公司</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江苏扬州市</w:t>
            </w:r>
          </w:p>
        </w:tc>
        <w:tc>
          <w:tcPr>
            <w:tcW w:w="753"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62,890,200</w:t>
            </w:r>
          </w:p>
        </w:tc>
        <w:tc>
          <w:tcPr>
            <w:tcW w:w="77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江苏扬州市</w:t>
            </w:r>
          </w:p>
        </w:tc>
        <w:tc>
          <w:tcPr>
            <w:tcW w:w="4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制造业</w:t>
            </w:r>
          </w:p>
        </w:tc>
        <w:tc>
          <w:tcPr>
            <w:tcW w:w="39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93.80</w:t>
            </w:r>
          </w:p>
        </w:tc>
        <w:tc>
          <w:tcPr>
            <w:tcW w:w="452" w:type="pct"/>
            <w:vAlign w:val="center"/>
          </w:tcPr>
          <w:p>
            <w:pPr>
              <w:jc w:val="center"/>
              <w:rPr>
                <w:rFonts w:hint="default" w:ascii="Times New Roman" w:hAnsi="Times New Roman" w:cs="Times New Roman"/>
                <w:sz w:val="21"/>
                <w:szCs w:val="21"/>
              </w:rPr>
            </w:pPr>
          </w:p>
        </w:tc>
        <w:tc>
          <w:tcPr>
            <w:tcW w:w="62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收购合并</w:t>
            </w:r>
          </w:p>
        </w:tc>
      </w:tr>
    </w:tbl>
    <w:p/>
    <w:p>
      <w:pPr>
        <w:rPr>
          <w:rFonts w:cs="Arial"/>
          <w:szCs w:val="21"/>
        </w:rPr>
      </w:pPr>
      <w:r>
        <w:rPr>
          <w:rFonts w:hint="eastAsia" w:cs="Arial"/>
          <w:szCs w:val="21"/>
        </w:rPr>
        <w:t>在子公司的持股比例不同于表决权比例的说明：</w:t>
      </w:r>
    </w:p>
    <w:p>
      <w:pPr>
        <w:rPr>
          <w:rFonts w:cs="Arial"/>
          <w:szCs w:val="21"/>
        </w:rPr>
      </w:pPr>
      <w:sdt>
        <w:sdtPr>
          <w:rPr>
            <w:rFonts w:cs="Arial"/>
            <w:szCs w:val="21"/>
          </w:rPr>
          <w:alias w:val="在子公司的持股比例不同于表决权比例的说明"/>
          <w:tag w:val="_GBC_b7be591163dc47e4b00f98006e6fbb0b"/>
          <w:id w:val="27785"/>
          <w:placeholder>
            <w:docPart w:val="GBC22222222222222222222222222222"/>
          </w:placeholder>
        </w:sdtPr>
        <w:sdtEndPr>
          <w:rPr>
            <w:rFonts w:cs="Arial"/>
            <w:szCs w:val="21"/>
          </w:rPr>
        </w:sdtEndPr>
        <w:sdtContent>
          <w:r>
            <w:rPr>
              <w:rFonts w:hint="eastAsia" w:cs="Arial"/>
              <w:szCs w:val="21"/>
              <w:lang w:eastAsia="zh-CN"/>
            </w:rPr>
            <w:t>无</w:t>
          </w:r>
        </w:sdtContent>
      </w:sdt>
    </w:p>
    <w:p>
      <w:pPr>
        <w:rPr>
          <w:rFonts w:cs="Arial"/>
          <w:szCs w:val="21"/>
        </w:rPr>
      </w:pPr>
    </w:p>
    <w:p>
      <w:pPr>
        <w:rPr>
          <w:rFonts w:cs="Arial"/>
          <w:szCs w:val="21"/>
        </w:rPr>
      </w:pPr>
      <w:r>
        <w:rPr>
          <w:rFonts w:hint="eastAsia" w:cs="Arial"/>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7786"/>
        <w:placeholder>
          <w:docPart w:val="GBC22222222222222222222222222222"/>
        </w:placeholder>
      </w:sdtPr>
      <w:sdtEndPr>
        <w:rPr>
          <w:rFonts w:cs="Arial"/>
          <w:szCs w:val="21"/>
        </w:rPr>
      </w:sdtEndPr>
      <w:sdtContent>
        <w:p>
          <w:pPr>
            <w:rPr>
              <w:rFonts w:cs="Arial"/>
              <w:szCs w:val="21"/>
            </w:rPr>
          </w:pPr>
          <w:r>
            <w:rPr>
              <w:rFonts w:hint="eastAsia" w:cs="Arial"/>
              <w:szCs w:val="21"/>
              <w:lang w:eastAsia="zh-CN"/>
            </w:rPr>
            <w:t>无</w:t>
          </w:r>
        </w:p>
      </w:sdtContent>
    </w:sdt>
    <w:p>
      <w:pPr>
        <w:rPr>
          <w:rFonts w:cs="Arial"/>
          <w:szCs w:val="21"/>
        </w:rPr>
      </w:pPr>
    </w:p>
    <w:p>
      <w:pPr>
        <w:rPr>
          <w:rFonts w:cs="Arial"/>
          <w:szCs w:val="21"/>
        </w:rPr>
      </w:pPr>
      <w:r>
        <w:rPr>
          <w:rFonts w:hint="eastAsia" w:cs="Arial"/>
          <w:szCs w:val="21"/>
        </w:rPr>
        <w:t>对于纳入合并范围的重要的结构化主体，控制的依据：</w:t>
      </w:r>
    </w:p>
    <w:sdt>
      <w:sdtPr>
        <w:rPr>
          <w:rFonts w:hint="eastAsia" w:cs="Arial"/>
          <w:szCs w:val="21"/>
        </w:rPr>
        <w:alias w:val="对于纳入合并范围的重要的结构化主体，控制的依据"/>
        <w:tag w:val="_GBC_254d83ec47cd4003902f2d0f6017d432"/>
        <w:id w:val="27787"/>
        <w:placeholder>
          <w:docPart w:val="GBC22222222222222222222222222222"/>
        </w:placeholder>
      </w:sdtPr>
      <w:sdtEndPr>
        <w:rPr>
          <w:rFonts w:hint="eastAsia" w:cs="Arial"/>
          <w:szCs w:val="21"/>
        </w:rPr>
      </w:sdtEndPr>
      <w:sdtContent>
        <w:p>
          <w:pPr>
            <w:rPr>
              <w:rFonts w:cs="Arial"/>
              <w:szCs w:val="21"/>
            </w:rPr>
          </w:pPr>
          <w:r>
            <w:rPr>
              <w:rFonts w:hint="eastAsia" w:cs="Arial"/>
              <w:szCs w:val="21"/>
              <w:lang w:eastAsia="zh-CN"/>
            </w:rPr>
            <w:t>无</w:t>
          </w:r>
        </w:p>
      </w:sdtContent>
    </w:sdt>
    <w:p>
      <w:pPr>
        <w:rPr>
          <w:rFonts w:cs="Arial"/>
          <w:szCs w:val="21"/>
        </w:rPr>
      </w:pPr>
    </w:p>
    <w:p>
      <w:pPr>
        <w:rPr>
          <w:rFonts w:cs="Arial"/>
          <w:szCs w:val="21"/>
        </w:rPr>
      </w:pPr>
      <w:r>
        <w:rPr>
          <w:rFonts w:hint="eastAsia" w:cs="Arial"/>
          <w:szCs w:val="21"/>
        </w:rPr>
        <w:t>确定公司是代理人还是委托人的依据：</w:t>
      </w:r>
    </w:p>
    <w:sdt>
      <w:sdtPr>
        <w:rPr>
          <w:rFonts w:hint="eastAsia" w:cs="Arial"/>
          <w:szCs w:val="21"/>
        </w:rPr>
        <w:alias w:val="确定公司是代理人还是委托人的依据"/>
        <w:tag w:val="_GBC_f515cb0c8a654271b5991b0accabe800"/>
        <w:id w:val="27788"/>
        <w:placeholder>
          <w:docPart w:val="GBC22222222222222222222222222222"/>
        </w:placeholder>
      </w:sdtPr>
      <w:sdtEndPr>
        <w:rPr>
          <w:rFonts w:hint="eastAsia" w:cs="Arial"/>
          <w:szCs w:val="21"/>
        </w:rPr>
      </w:sdtEndPr>
      <w:sdtContent>
        <w:p>
          <w:pPr>
            <w:rPr>
              <w:rFonts w:cs="Arial"/>
              <w:szCs w:val="21"/>
            </w:rPr>
          </w:pPr>
          <w:r>
            <w:rPr>
              <w:rFonts w:hint="eastAsia" w:cs="Arial"/>
              <w:szCs w:val="21"/>
              <w:lang w:eastAsia="zh-CN"/>
            </w:rPr>
            <w:t>无</w:t>
          </w:r>
        </w:p>
      </w:sdtContent>
    </w:sdt>
    <w:p>
      <w:pPr>
        <w:rPr>
          <w:rFonts w:cs="Arial"/>
          <w:szCs w:val="21"/>
        </w:rPr>
      </w:pPr>
    </w:p>
    <w:p>
      <w:pPr>
        <w:rPr>
          <w:rFonts w:cs="Arial"/>
          <w:szCs w:val="21"/>
        </w:rPr>
      </w:pPr>
      <w:r>
        <w:rPr>
          <w:rFonts w:hint="eastAsia" w:cs="Arial"/>
          <w:szCs w:val="21"/>
        </w:rPr>
        <w:t>其他说明：</w:t>
      </w:r>
    </w:p>
    <w:sdt>
      <w:sdtPr>
        <w:rPr>
          <w:rFonts w:cs="Arial"/>
          <w:szCs w:val="21"/>
        </w:rPr>
        <w:alias w:val="企业集团的构成的其他需要说明的事项"/>
        <w:tag w:val="_GBC_7dc3099f920f4546b2a983c0eb4c2ce0"/>
        <w:id w:val="27789"/>
        <w:placeholder>
          <w:docPart w:val="GBC22222222222222222222222222222"/>
        </w:placeholder>
      </w:sdtPr>
      <w:sdtEndPr>
        <w:rPr>
          <w:rFonts w:cs="Arial"/>
          <w:szCs w:val="21"/>
        </w:rPr>
      </w:sdtEndPr>
      <w:sdtContent>
        <w:p>
          <w:pPr>
            <w:rPr>
              <w:rFonts w:cstheme="minorBidi"/>
              <w:szCs w:val="21"/>
            </w:rPr>
          </w:pPr>
          <w:r>
            <w:rPr>
              <w:rFonts w:hint="eastAsia" w:ascii="Times New Roman" w:hAnsi="Times New Roman" w:cs="Arial"/>
              <w:sz w:val="21"/>
              <w:szCs w:val="21"/>
            </w:rPr>
            <w:t>本公司直接持有安徽两面针·芳草日化有限公司70%的股权，通过控股子公司两面针（江苏）实业有限公司间接持股15%。</w:t>
          </w:r>
        </w:p>
      </w:sdtContent>
    </w:sdt>
    <w:p>
      <w:pPr>
        <w:rPr>
          <w:rFonts w:cs="Arial"/>
          <w:szCs w:val="21"/>
        </w:rPr>
      </w:pPr>
    </w:p>
    <w:p>
      <w:pPr>
        <w:pStyle w:val="196"/>
        <w:numPr>
          <w:ilvl w:val="3"/>
          <w:numId w:val="114"/>
        </w:numPr>
        <w:ind w:left="424" w:hanging="426" w:hangingChars="202"/>
      </w:pPr>
      <w:r>
        <w:rPr>
          <w:rFonts w:hint="eastAsia"/>
        </w:rPr>
        <w:t>重要的非全资子公司</w:t>
      </w:r>
    </w:p>
    <w:sdt>
      <w:sdtPr>
        <w:alias w:val="是否适用：重要的非全资子公司[双击切换]"/>
        <w:tag w:val="_GBC_51a84bfe201248b8bd5edb53b6cd6283"/>
        <w:id w:val="2779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277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77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814"/>
        <w:gridCol w:w="1937"/>
        <w:gridCol w:w="1943"/>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5428bb469efb45b09d2152fb27b33f8a"/>
            <w:id w:val="23115"/>
          </w:sdtPr>
          <w:sdtContent>
            <w:tc>
              <w:tcPr>
                <w:tcW w:w="890" w:type="pct"/>
                <w:shd w:val="clear" w:color="auto" w:fill="auto"/>
                <w:vAlign w:val="center"/>
              </w:tcPr>
              <w:p>
                <w:pPr>
                  <w:jc w:val="center"/>
                  <w:rPr>
                    <w:rFonts w:cs="Arial"/>
                    <w:szCs w:val="21"/>
                  </w:rPr>
                </w:pPr>
                <w:r>
                  <w:rPr>
                    <w:rFonts w:hint="eastAsia" w:cs="Arial"/>
                    <w:szCs w:val="21"/>
                    <w:lang w:val="en-GB"/>
                  </w:rPr>
                  <w:t>子公司名称</w:t>
                </w:r>
              </w:p>
            </w:tc>
          </w:sdtContent>
        </w:sdt>
        <w:sdt>
          <w:sdtPr>
            <w:tag w:val="_PLD_6f42810edcef4f808238b34484325c1a"/>
            <w:id w:val="23116"/>
          </w:sdtPr>
          <w:sdtContent>
            <w:tc>
              <w:tcPr>
                <w:tcW w:w="1002" w:type="pct"/>
                <w:shd w:val="clear" w:color="auto" w:fill="auto"/>
                <w:vAlign w:val="center"/>
              </w:tcPr>
              <w:p>
                <w:pPr>
                  <w:jc w:val="center"/>
                  <w:rPr>
                    <w:rFonts w:cs="Arial"/>
                    <w:bCs/>
                    <w:szCs w:val="21"/>
                    <w:lang w:val="en-GB"/>
                  </w:rPr>
                </w:pPr>
                <w:r>
                  <w:rPr>
                    <w:rFonts w:hint="eastAsia" w:cs="Arial"/>
                    <w:bCs/>
                    <w:szCs w:val="21"/>
                    <w:lang w:val="en-GB"/>
                  </w:rPr>
                  <w:t>少数股东持股</w:t>
                </w:r>
              </w:p>
              <w:p>
                <w:pPr>
                  <w:jc w:val="center"/>
                  <w:rPr>
                    <w:rFonts w:cs="Arial"/>
                    <w:szCs w:val="21"/>
                  </w:rPr>
                </w:pPr>
                <w:r>
                  <w:rPr>
                    <w:rFonts w:hint="eastAsia" w:cs="Arial"/>
                    <w:bCs/>
                    <w:szCs w:val="21"/>
                    <w:lang w:val="en-GB"/>
                  </w:rPr>
                  <w:t>比例</w:t>
                </w:r>
              </w:p>
            </w:tc>
          </w:sdtContent>
        </w:sdt>
        <w:sdt>
          <w:sdtPr>
            <w:tag w:val="_PLD_5fe25832d2ec4782a2b0dd4183a7a18d"/>
            <w:id w:val="23117"/>
          </w:sdtPr>
          <w:sdtContent>
            <w:tc>
              <w:tcPr>
                <w:tcW w:w="1070" w:type="pct"/>
                <w:shd w:val="clear" w:color="auto" w:fill="auto"/>
                <w:vAlign w:val="center"/>
              </w:tcPr>
              <w:p>
                <w:pPr>
                  <w:jc w:val="center"/>
                  <w:rPr>
                    <w:rFonts w:cs="Arial"/>
                    <w:szCs w:val="21"/>
                  </w:rPr>
                </w:pPr>
                <w:r>
                  <w:rPr>
                    <w:rFonts w:hint="eastAsia" w:cs="Arial"/>
                    <w:bCs/>
                    <w:szCs w:val="21"/>
                    <w:lang w:val="en-GB"/>
                  </w:rPr>
                  <w:t>本期归属于少数股东的损益</w:t>
                </w:r>
              </w:p>
            </w:tc>
          </w:sdtContent>
        </w:sdt>
        <w:sdt>
          <w:sdtPr>
            <w:tag w:val="_PLD_2a49e43dba264aa2a5a6a65baca97c74"/>
            <w:id w:val="23118"/>
          </w:sdtPr>
          <w:sdtContent>
            <w:tc>
              <w:tcPr>
                <w:tcW w:w="1073" w:type="pct"/>
                <w:shd w:val="clear" w:color="auto" w:fill="auto"/>
                <w:vAlign w:val="center"/>
              </w:tcPr>
              <w:p>
                <w:pPr>
                  <w:jc w:val="center"/>
                  <w:rPr>
                    <w:rFonts w:cs="Arial"/>
                    <w:szCs w:val="21"/>
                  </w:rPr>
                </w:pPr>
                <w:r>
                  <w:rPr>
                    <w:rFonts w:hint="eastAsia" w:cs="Arial"/>
                    <w:bCs/>
                    <w:szCs w:val="21"/>
                    <w:lang w:val="en-GB"/>
                  </w:rPr>
                  <w:t>本期向少数股东宣告分派的股利</w:t>
                </w:r>
              </w:p>
            </w:tc>
          </w:sdtContent>
        </w:sdt>
        <w:sdt>
          <w:sdtPr>
            <w:tag w:val="_PLD_fb758b5ac95741fa930b476448e32371"/>
            <w:id w:val="23119"/>
          </w:sdtPr>
          <w:sdtContent>
            <w:tc>
              <w:tcPr>
                <w:tcW w:w="963" w:type="pct"/>
                <w:shd w:val="clear" w:color="auto" w:fill="auto"/>
                <w:vAlign w:val="center"/>
              </w:tcPr>
              <w:p>
                <w:pPr>
                  <w:ind w:right="-16"/>
                  <w:jc w:val="center"/>
                  <w:rPr>
                    <w:rFonts w:cs="Arial"/>
                    <w:bCs/>
                    <w:szCs w:val="21"/>
                  </w:rPr>
                </w:pPr>
                <w:r>
                  <w:rPr>
                    <w:rFonts w:hint="eastAsia" w:cs="Arial"/>
                    <w:bCs/>
                    <w:szCs w:val="21"/>
                    <w:lang w:val="en-GB"/>
                  </w:rPr>
                  <w:t>期末少数股东权益余额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pPr>
              <w:rPr>
                <w:szCs w:val="21"/>
              </w:rPr>
            </w:pPr>
            <w:r>
              <w:t>广西两面针亿康药业股份有限公司</w:t>
            </w:r>
          </w:p>
        </w:tc>
        <w:tc>
          <w:tcPr>
            <w:tcW w:w="1002" w:type="pct"/>
            <w:vAlign w:val="center"/>
          </w:tcPr>
          <w:p>
            <w:pPr>
              <w:jc w:val="right"/>
              <w:rPr>
                <w:rFonts w:hint="default" w:ascii="Times New Roman" w:hAnsi="Times New Roman" w:cs="Times New Roman"/>
                <w:szCs w:val="21"/>
              </w:rPr>
            </w:pPr>
            <w:r>
              <w:rPr>
                <w:rFonts w:hint="default" w:ascii="Times New Roman" w:hAnsi="Times New Roman" w:cs="Times New Roman"/>
              </w:rPr>
              <w:t>9.90</w:t>
            </w:r>
          </w:p>
        </w:tc>
        <w:tc>
          <w:tcPr>
            <w:tcW w:w="1070" w:type="pct"/>
            <w:vAlign w:val="center"/>
          </w:tcPr>
          <w:p>
            <w:pPr>
              <w:jc w:val="right"/>
              <w:rPr>
                <w:rFonts w:hint="default" w:ascii="Times New Roman" w:hAnsi="Times New Roman" w:cs="Times New Roman"/>
                <w:szCs w:val="21"/>
              </w:rPr>
            </w:pPr>
            <w:r>
              <w:rPr>
                <w:rFonts w:hint="default" w:ascii="Times New Roman" w:hAnsi="Times New Roman" w:cs="Times New Roman"/>
              </w:rPr>
              <w:t>483,477.53</w:t>
            </w:r>
          </w:p>
        </w:tc>
        <w:tc>
          <w:tcPr>
            <w:tcW w:w="1073" w:type="pct"/>
            <w:vAlign w:val="center"/>
          </w:tcPr>
          <w:p>
            <w:pPr>
              <w:jc w:val="right"/>
              <w:rPr>
                <w:rFonts w:hint="default" w:ascii="Times New Roman" w:hAnsi="Times New Roman" w:cs="Times New Roman"/>
                <w:szCs w:val="21"/>
              </w:rPr>
            </w:pPr>
            <w:r>
              <w:rPr>
                <w:rFonts w:hint="default" w:ascii="Times New Roman" w:hAnsi="Times New Roman" w:cs="Times New Roman"/>
              </w:rPr>
              <w:t> </w:t>
            </w:r>
          </w:p>
        </w:tc>
        <w:tc>
          <w:tcPr>
            <w:tcW w:w="963" w:type="pct"/>
            <w:vAlign w:val="center"/>
          </w:tcPr>
          <w:p>
            <w:pPr>
              <w:jc w:val="right"/>
              <w:rPr>
                <w:rFonts w:hint="default" w:ascii="Times New Roman" w:hAnsi="Times New Roman" w:cs="Times New Roman"/>
                <w:szCs w:val="21"/>
              </w:rPr>
            </w:pPr>
            <w:r>
              <w:rPr>
                <w:rFonts w:hint="default" w:ascii="Times New Roman" w:hAnsi="Times New Roman" w:cs="Times New Roman"/>
              </w:rPr>
              <w:t>9,080,361.09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pPr>
              <w:rPr>
                <w:szCs w:val="21"/>
              </w:rPr>
            </w:pPr>
            <w:r>
              <w:t>两面针（江苏）实业有限公司</w:t>
            </w:r>
          </w:p>
        </w:tc>
        <w:tc>
          <w:tcPr>
            <w:tcW w:w="1002"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6.20</w:t>
            </w:r>
          </w:p>
        </w:tc>
        <w:tc>
          <w:tcPr>
            <w:tcW w:w="1070"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1,102,856.84</w:t>
            </w:r>
          </w:p>
        </w:tc>
        <w:tc>
          <w:tcPr>
            <w:tcW w:w="1073"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 </w:t>
            </w:r>
          </w:p>
        </w:tc>
        <w:tc>
          <w:tcPr>
            <w:tcW w:w="963"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13,334,892.37</w:t>
            </w:r>
          </w:p>
        </w:tc>
      </w:tr>
    </w:tbl>
    <w:p/>
    <w:p>
      <w:pPr>
        <w:sectPr>
          <w:pgSz w:w="11906" w:h="16838"/>
          <w:pgMar w:top="1525" w:right="1276" w:bottom="1440" w:left="1797" w:header="856" w:footer="992" w:gutter="0"/>
          <w:cols w:space="425" w:num="1"/>
          <w:docGrid w:linePitch="312" w:charSpace="0"/>
        </w:sectPr>
      </w:pPr>
    </w:p>
    <w:p>
      <w:pPr>
        <w:rPr>
          <w:rFonts w:cs="Arial"/>
          <w:szCs w:val="21"/>
        </w:rPr>
      </w:pPr>
      <w:r>
        <w:rPr>
          <w:rFonts w:hint="eastAsia" w:cs="Arial"/>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27798"/>
        <w:placeholder>
          <w:docPart w:val="GBC22222222222222222222222222222"/>
        </w:placeholder>
      </w:sdtPr>
      <w:sdtEndPr>
        <w:rPr>
          <w:rFonts w:cs="Arial"/>
          <w:szCs w:val="21"/>
        </w:rPr>
      </w:sdtEndPr>
      <w:sdtContent>
        <w:p>
          <w:pPr>
            <w:outlineLvl w:val="9"/>
            <w:rPr>
              <w:rFonts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szCs w:val="21"/>
        </w:rPr>
      </w:pPr>
    </w:p>
    <w:p>
      <w:pPr>
        <w:rPr>
          <w:rFonts w:cs="Arial"/>
          <w:szCs w:val="21"/>
        </w:rPr>
      </w:pPr>
      <w:r>
        <w:rPr>
          <w:rFonts w:hint="eastAsia" w:cs="Arial"/>
          <w:szCs w:val="21"/>
        </w:rPr>
        <w:t>其他说明：</w:t>
      </w:r>
    </w:p>
    <w:sdt>
      <w:sdtPr>
        <w:rPr>
          <w:rFonts w:cs="Arial"/>
          <w:szCs w:val="21"/>
        </w:rPr>
        <w:alias w:val="是否适用：重要的非全资子公司其他说明[双击切换]"/>
        <w:tag w:val="_GBC_eb65403cb5164cc9a0cf4afea08b150d"/>
        <w:id w:val="27799"/>
        <w:placeholder>
          <w:docPart w:val="GBC22222222222222222222222222222"/>
        </w:placeholder>
      </w:sdtPr>
      <w:sdtEndPr>
        <w:rPr>
          <w:rFonts w:cs="Arial"/>
          <w:szCs w:val="21"/>
        </w:rPr>
      </w:sdtEndPr>
      <w:sdtContent>
        <w:p>
          <w:pPr>
            <w:outlineLvl w:val="9"/>
            <w:rPr>
              <w:rFonts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szCs w:val="21"/>
        </w:rPr>
      </w:pPr>
    </w:p>
    <w:p>
      <w:pPr>
        <w:pStyle w:val="196"/>
        <w:numPr>
          <w:ilvl w:val="3"/>
          <w:numId w:val="114"/>
        </w:numPr>
        <w:ind w:left="424" w:hanging="426" w:hangingChars="202"/>
      </w:pPr>
      <w:r>
        <w:rPr>
          <w:rFonts w:hint="eastAsia"/>
        </w:rPr>
        <w:t>重要非全资子公司的主要财务信息</w:t>
      </w:r>
    </w:p>
    <w:sdt>
      <w:sdtPr>
        <w:alias w:val="是否适用：重要非全资子公司的主要财务信息[双击切换]"/>
        <w:tag w:val="_GBC_04ab753eff3c46fda94161ee757bd1fa"/>
        <w:id w:val="27800"/>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278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278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391"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22"/>
        <w:gridCol w:w="1241"/>
        <w:gridCol w:w="1310"/>
        <w:gridCol w:w="1350"/>
        <w:gridCol w:w="1037"/>
        <w:gridCol w:w="1377"/>
        <w:gridCol w:w="1173"/>
        <w:gridCol w:w="1173"/>
        <w:gridCol w:w="1173"/>
        <w:gridCol w:w="1268"/>
        <w:gridCol w:w="955"/>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hint="default" w:ascii="Times New Roman" w:hAnsi="Times New Roman" w:cs="Times New Roman"/>
              <w:sz w:val="18"/>
              <w:szCs w:val="18"/>
            </w:rPr>
            <w:tag w:val="_PLD_d5dae06c1d0c4fdea02e2f6e645a1e09"/>
            <w:id w:val="27803"/>
          </w:sdtPr>
          <w:sdtEndPr>
            <w:rPr>
              <w:rFonts w:hint="default" w:ascii="Times New Roman" w:hAnsi="Times New Roman" w:cs="Times New Roman"/>
              <w:sz w:val="18"/>
              <w:szCs w:val="18"/>
            </w:rPr>
          </w:sdtEndPr>
          <w:sdtContent>
            <w:tc>
              <w:tcPr>
                <w:tcW w:w="193" w:type="pct"/>
                <w:vMerge w:val="restart"/>
                <w:shd w:val="clear" w:color="auto" w:fill="auto"/>
                <w:vAlign w:val="center"/>
              </w:tcPr>
              <w:p>
                <w:pPr>
                  <w:ind w:right="-16"/>
                  <w:jc w:val="center"/>
                  <w:rPr>
                    <w:rFonts w:hint="default" w:ascii="Times New Roman" w:hAnsi="Times New Roman" w:cs="Times New Roman"/>
                    <w:bCs/>
                    <w:sz w:val="18"/>
                    <w:szCs w:val="18"/>
                  </w:rPr>
                </w:pPr>
                <w:r>
                  <w:rPr>
                    <w:rFonts w:hint="default" w:ascii="Times New Roman" w:hAnsi="Times New Roman" w:cs="Times New Roman"/>
                    <w:bCs/>
                    <w:sz w:val="18"/>
                    <w:szCs w:val="18"/>
                    <w:lang w:val="en-GB"/>
                  </w:rPr>
                  <w:t>子公司名称</w:t>
                </w:r>
              </w:p>
            </w:tc>
          </w:sdtContent>
        </w:sdt>
        <w:sdt>
          <w:sdtPr>
            <w:rPr>
              <w:rFonts w:hint="default" w:ascii="Times New Roman" w:hAnsi="Times New Roman" w:cs="Times New Roman"/>
              <w:sz w:val="18"/>
              <w:szCs w:val="18"/>
            </w:rPr>
            <w:tag w:val="_PLD_6cc7af9079654f428ee1cf0edd2c70b1"/>
            <w:id w:val="27804"/>
          </w:sdtPr>
          <w:sdtEndPr>
            <w:rPr>
              <w:rFonts w:hint="default" w:ascii="Times New Roman" w:hAnsi="Times New Roman" w:cs="Times New Roman"/>
              <w:sz w:val="18"/>
              <w:szCs w:val="18"/>
            </w:rPr>
          </w:sdtEndPr>
          <w:sdtContent>
            <w:tc>
              <w:tcPr>
                <w:tcW w:w="2513" w:type="pct"/>
                <w:gridSpan w:val="6"/>
                <w:shd w:val="clear" w:color="auto" w:fill="auto"/>
                <w:vAlign w:val="center"/>
              </w:tcPr>
              <w:p>
                <w:pPr>
                  <w:ind w:right="-16"/>
                  <w:jc w:val="center"/>
                  <w:rPr>
                    <w:rFonts w:hint="default" w:ascii="Times New Roman" w:hAnsi="Times New Roman" w:cs="Times New Roman"/>
                    <w:bCs/>
                    <w:sz w:val="18"/>
                    <w:szCs w:val="18"/>
                  </w:rPr>
                </w:pPr>
                <w:r>
                  <w:rPr>
                    <w:rFonts w:hint="default" w:ascii="Times New Roman" w:hAnsi="Times New Roman" w:cs="Times New Roman"/>
                    <w:bCs/>
                    <w:sz w:val="18"/>
                    <w:szCs w:val="18"/>
                    <w:lang w:val="en-GB"/>
                  </w:rPr>
                  <w:t>期末余额</w:t>
                </w:r>
              </w:p>
            </w:tc>
          </w:sdtContent>
        </w:sdt>
        <w:sdt>
          <w:sdtPr>
            <w:rPr>
              <w:rFonts w:hint="default" w:ascii="Times New Roman" w:hAnsi="Times New Roman" w:cs="Times New Roman"/>
              <w:sz w:val="18"/>
              <w:szCs w:val="18"/>
            </w:rPr>
            <w:tag w:val="_PLD_64749f66f68948bd92fb0a885f835f78"/>
            <w:id w:val="27805"/>
          </w:sdtPr>
          <w:sdtEndPr>
            <w:rPr>
              <w:rFonts w:hint="default" w:ascii="Times New Roman" w:hAnsi="Times New Roman" w:cs="Times New Roman"/>
              <w:sz w:val="18"/>
              <w:szCs w:val="18"/>
            </w:rPr>
          </w:sdtEndPr>
          <w:sdtContent>
            <w:tc>
              <w:tcPr>
                <w:tcW w:w="2293" w:type="pct"/>
                <w:gridSpan w:val="6"/>
                <w:shd w:val="clear" w:color="auto" w:fill="auto"/>
                <w:vAlign w:val="center"/>
              </w:tcPr>
              <w:p>
                <w:pPr>
                  <w:ind w:right="-16"/>
                  <w:jc w:val="center"/>
                  <w:rPr>
                    <w:rFonts w:hint="default" w:ascii="Times New Roman" w:hAnsi="Times New Roman" w:cs="Times New Roman"/>
                    <w:bCs/>
                    <w:sz w:val="18"/>
                    <w:szCs w:val="18"/>
                  </w:rPr>
                </w:pPr>
                <w:r>
                  <w:rPr>
                    <w:rFonts w:hint="default" w:ascii="Times New Roman" w:hAnsi="Times New Roman" w:cs="Times New Roman"/>
                    <w:bCs/>
                    <w:sz w:val="18"/>
                    <w:szCs w:val="18"/>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93" w:type="pct"/>
            <w:vMerge w:val="continue"/>
            <w:shd w:val="clear" w:color="auto" w:fill="auto"/>
            <w:vAlign w:val="center"/>
          </w:tcPr>
          <w:p>
            <w:pPr>
              <w:rPr>
                <w:rFonts w:hint="default" w:ascii="Times New Roman" w:hAnsi="Times New Roman" w:cs="Times New Roman"/>
                <w:bCs/>
                <w:sz w:val="18"/>
                <w:szCs w:val="18"/>
              </w:rPr>
            </w:pPr>
          </w:p>
        </w:tc>
        <w:sdt>
          <w:sdtPr>
            <w:rPr>
              <w:rFonts w:hint="default" w:ascii="Times New Roman" w:hAnsi="Times New Roman" w:cs="Times New Roman"/>
              <w:sz w:val="18"/>
              <w:szCs w:val="18"/>
            </w:rPr>
            <w:tag w:val="_PLD_bfcbeed8b46d4b8da13c03613130a3c9"/>
            <w:id w:val="27806"/>
          </w:sdtPr>
          <w:sdtEndPr>
            <w:rPr>
              <w:rFonts w:hint="default" w:ascii="Times New Roman" w:hAnsi="Times New Roman" w:cs="Times New Roman"/>
              <w:sz w:val="18"/>
              <w:szCs w:val="18"/>
            </w:rPr>
          </w:sdtEndPr>
          <w:sdtContent>
            <w:tc>
              <w:tcPr>
                <w:tcW w:w="435"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流动资产</w:t>
                </w:r>
              </w:p>
            </w:tc>
          </w:sdtContent>
        </w:sdt>
        <w:sdt>
          <w:sdtPr>
            <w:rPr>
              <w:rFonts w:hint="default" w:ascii="Times New Roman" w:hAnsi="Times New Roman" w:cs="Times New Roman"/>
              <w:sz w:val="18"/>
              <w:szCs w:val="18"/>
            </w:rPr>
            <w:tag w:val="_PLD_22bcaa48c51f400d9b2d6a387002778f"/>
            <w:id w:val="27807"/>
          </w:sdtPr>
          <w:sdtEndPr>
            <w:rPr>
              <w:rFonts w:hint="default" w:ascii="Times New Roman" w:hAnsi="Times New Roman" w:cs="Times New Roman"/>
              <w:sz w:val="18"/>
              <w:szCs w:val="18"/>
            </w:rPr>
          </w:sdtEndPr>
          <w:sdtContent>
            <w:tc>
              <w:tcPr>
                <w:tcW w:w="408" w:type="pct"/>
                <w:shd w:val="clear" w:color="auto" w:fill="auto"/>
                <w:vAlign w:val="center"/>
              </w:tcPr>
              <w:p>
                <w:pPr>
                  <w:ind w:left="-40" w:right="-97"/>
                  <w:jc w:val="center"/>
                  <w:rPr>
                    <w:rFonts w:hint="default" w:ascii="Times New Roman" w:hAnsi="Times New Roman" w:cs="Times New Roman"/>
                    <w:sz w:val="18"/>
                    <w:szCs w:val="18"/>
                  </w:rPr>
                </w:pPr>
                <w:r>
                  <w:rPr>
                    <w:rFonts w:hint="default" w:ascii="Times New Roman" w:hAnsi="Times New Roman" w:cs="Times New Roman"/>
                    <w:sz w:val="18"/>
                    <w:szCs w:val="18"/>
                    <w:lang w:val="en-GB"/>
                  </w:rPr>
                  <w:t>非流动资产</w:t>
                </w:r>
              </w:p>
            </w:tc>
          </w:sdtContent>
        </w:sdt>
        <w:sdt>
          <w:sdtPr>
            <w:rPr>
              <w:rFonts w:hint="default" w:ascii="Times New Roman" w:hAnsi="Times New Roman" w:cs="Times New Roman"/>
              <w:sz w:val="18"/>
              <w:szCs w:val="18"/>
            </w:rPr>
            <w:tag w:val="_PLD_a7790df686914e0f8cc8668009824e9e"/>
            <w:id w:val="27808"/>
          </w:sdtPr>
          <w:sdtEndPr>
            <w:rPr>
              <w:rFonts w:hint="default" w:ascii="Times New Roman" w:hAnsi="Times New Roman" w:cs="Times New Roman"/>
              <w:sz w:val="18"/>
              <w:szCs w:val="18"/>
            </w:rPr>
          </w:sdtEndPr>
          <w:sdtContent>
            <w:tc>
              <w:tcPr>
                <w:tcW w:w="430"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资产合计</w:t>
                </w:r>
              </w:p>
            </w:tc>
          </w:sdtContent>
        </w:sdt>
        <w:sdt>
          <w:sdtPr>
            <w:rPr>
              <w:rFonts w:hint="default" w:ascii="Times New Roman" w:hAnsi="Times New Roman" w:cs="Times New Roman"/>
              <w:sz w:val="18"/>
              <w:szCs w:val="18"/>
            </w:rPr>
            <w:tag w:val="_PLD_a6a87cbf1eb046db9bbca57bcceaf08a"/>
            <w:id w:val="27809"/>
          </w:sdtPr>
          <w:sdtEndPr>
            <w:rPr>
              <w:rFonts w:hint="default" w:ascii="Times New Roman" w:hAnsi="Times New Roman" w:cs="Times New Roman"/>
              <w:sz w:val="18"/>
              <w:szCs w:val="18"/>
            </w:rPr>
          </w:sdtEndPr>
          <w:sdtContent>
            <w:tc>
              <w:tcPr>
                <w:tcW w:w="444"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流动负债</w:t>
                </w:r>
              </w:p>
            </w:tc>
          </w:sdtContent>
        </w:sdt>
        <w:sdt>
          <w:sdtPr>
            <w:rPr>
              <w:rFonts w:hint="default" w:ascii="Times New Roman" w:hAnsi="Times New Roman" w:cs="Times New Roman"/>
              <w:sz w:val="18"/>
              <w:szCs w:val="18"/>
            </w:rPr>
            <w:tag w:val="_PLD_bed2f2ec1880450a93ab1b045e836c87"/>
            <w:id w:val="27810"/>
          </w:sdtPr>
          <w:sdtEndPr>
            <w:rPr>
              <w:rFonts w:hint="default" w:ascii="Times New Roman" w:hAnsi="Times New Roman" w:cs="Times New Roman"/>
              <w:sz w:val="18"/>
              <w:szCs w:val="18"/>
            </w:rPr>
          </w:sdtEndPr>
          <w:sdtContent>
            <w:tc>
              <w:tcPr>
                <w:tcW w:w="341" w:type="pct"/>
                <w:shd w:val="clear" w:color="auto" w:fill="auto"/>
                <w:vAlign w:val="center"/>
              </w:tcPr>
              <w:p>
                <w:pPr>
                  <w:ind w:left="-40" w:right="-97"/>
                  <w:jc w:val="center"/>
                  <w:rPr>
                    <w:rFonts w:hint="default" w:ascii="Times New Roman" w:hAnsi="Times New Roman" w:cs="Times New Roman"/>
                    <w:sz w:val="18"/>
                    <w:szCs w:val="18"/>
                  </w:rPr>
                </w:pPr>
                <w:r>
                  <w:rPr>
                    <w:rFonts w:hint="default" w:ascii="Times New Roman" w:hAnsi="Times New Roman" w:cs="Times New Roman"/>
                    <w:sz w:val="18"/>
                    <w:szCs w:val="18"/>
                    <w:lang w:val="en-GB"/>
                  </w:rPr>
                  <w:t>非流动负债</w:t>
                </w:r>
              </w:p>
            </w:tc>
          </w:sdtContent>
        </w:sdt>
        <w:sdt>
          <w:sdtPr>
            <w:rPr>
              <w:rFonts w:hint="default" w:ascii="Times New Roman" w:hAnsi="Times New Roman" w:cs="Times New Roman"/>
              <w:sz w:val="18"/>
              <w:szCs w:val="18"/>
            </w:rPr>
            <w:tag w:val="_PLD_3609f15b31554b67a5a1ff617bd5582d"/>
            <w:id w:val="27811"/>
          </w:sdtPr>
          <w:sdtEndPr>
            <w:rPr>
              <w:rFonts w:hint="default" w:ascii="Times New Roman" w:hAnsi="Times New Roman" w:cs="Times New Roman"/>
              <w:sz w:val="18"/>
              <w:szCs w:val="18"/>
            </w:rPr>
          </w:sdtEndPr>
          <w:sdtContent>
            <w:tc>
              <w:tcPr>
                <w:tcW w:w="453"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负债合计</w:t>
                </w:r>
              </w:p>
            </w:tc>
          </w:sdtContent>
        </w:sdt>
        <w:sdt>
          <w:sdtPr>
            <w:rPr>
              <w:rFonts w:hint="default" w:ascii="Times New Roman" w:hAnsi="Times New Roman" w:cs="Times New Roman"/>
              <w:sz w:val="18"/>
              <w:szCs w:val="18"/>
            </w:rPr>
            <w:tag w:val="_PLD_35c03e5c5e124d339d35180c4515f97a"/>
            <w:id w:val="27812"/>
          </w:sdtPr>
          <w:sdtEndPr>
            <w:rPr>
              <w:rFonts w:hint="default" w:ascii="Times New Roman" w:hAnsi="Times New Roman" w:cs="Times New Roman"/>
              <w:sz w:val="18"/>
              <w:szCs w:val="18"/>
            </w:rPr>
          </w:sdtEndPr>
          <w:sdtContent>
            <w:tc>
              <w:tcPr>
                <w:tcW w:w="386"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流动资产</w:t>
                </w:r>
              </w:p>
            </w:tc>
          </w:sdtContent>
        </w:sdt>
        <w:sdt>
          <w:sdtPr>
            <w:rPr>
              <w:rFonts w:hint="default" w:ascii="Times New Roman" w:hAnsi="Times New Roman" w:cs="Times New Roman"/>
              <w:sz w:val="18"/>
              <w:szCs w:val="18"/>
            </w:rPr>
            <w:tag w:val="_PLD_c9852fe654ce474bb582d7b8dab46c0a"/>
            <w:id w:val="27813"/>
          </w:sdtPr>
          <w:sdtEndPr>
            <w:rPr>
              <w:rFonts w:hint="default" w:ascii="Times New Roman" w:hAnsi="Times New Roman" w:cs="Times New Roman"/>
              <w:sz w:val="18"/>
              <w:szCs w:val="18"/>
            </w:rPr>
          </w:sdtEndPr>
          <w:sdtContent>
            <w:tc>
              <w:tcPr>
                <w:tcW w:w="386" w:type="pct"/>
                <w:shd w:val="clear" w:color="auto" w:fill="auto"/>
                <w:vAlign w:val="center"/>
              </w:tcPr>
              <w:p>
                <w:pPr>
                  <w:ind w:left="-40" w:right="-97"/>
                  <w:jc w:val="center"/>
                  <w:rPr>
                    <w:rFonts w:hint="default" w:ascii="Times New Roman" w:hAnsi="Times New Roman" w:cs="Times New Roman"/>
                    <w:sz w:val="18"/>
                    <w:szCs w:val="18"/>
                  </w:rPr>
                </w:pPr>
                <w:r>
                  <w:rPr>
                    <w:rFonts w:hint="default" w:ascii="Times New Roman" w:hAnsi="Times New Roman" w:cs="Times New Roman"/>
                    <w:sz w:val="18"/>
                    <w:szCs w:val="18"/>
                    <w:lang w:val="en-GB"/>
                  </w:rPr>
                  <w:t>非流动资产</w:t>
                </w:r>
              </w:p>
            </w:tc>
          </w:sdtContent>
        </w:sdt>
        <w:sdt>
          <w:sdtPr>
            <w:rPr>
              <w:rFonts w:hint="default" w:ascii="Times New Roman" w:hAnsi="Times New Roman" w:cs="Times New Roman"/>
              <w:sz w:val="18"/>
              <w:szCs w:val="18"/>
            </w:rPr>
            <w:tag w:val="_PLD_e7455f798f7740fdafaf89940e8195c3"/>
            <w:id w:val="27814"/>
          </w:sdtPr>
          <w:sdtEndPr>
            <w:rPr>
              <w:rFonts w:hint="default" w:ascii="Times New Roman" w:hAnsi="Times New Roman" w:cs="Times New Roman"/>
              <w:sz w:val="18"/>
              <w:szCs w:val="18"/>
            </w:rPr>
          </w:sdtEndPr>
          <w:sdtContent>
            <w:tc>
              <w:tcPr>
                <w:tcW w:w="385"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资产合计</w:t>
                </w:r>
              </w:p>
            </w:tc>
          </w:sdtContent>
        </w:sdt>
        <w:sdt>
          <w:sdtPr>
            <w:rPr>
              <w:rFonts w:hint="default" w:ascii="Times New Roman" w:hAnsi="Times New Roman" w:cs="Times New Roman"/>
              <w:sz w:val="18"/>
              <w:szCs w:val="18"/>
            </w:rPr>
            <w:tag w:val="_PLD_b590bdfc5abd4f30a4b1c3cf13a2772b"/>
            <w:id w:val="27815"/>
          </w:sdtPr>
          <w:sdtEndPr>
            <w:rPr>
              <w:rFonts w:hint="default" w:ascii="Times New Roman" w:hAnsi="Times New Roman" w:cs="Times New Roman"/>
              <w:sz w:val="18"/>
              <w:szCs w:val="18"/>
            </w:rPr>
          </w:sdtEndPr>
          <w:sdtContent>
            <w:tc>
              <w:tcPr>
                <w:tcW w:w="417"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流动负债</w:t>
                </w:r>
              </w:p>
            </w:tc>
          </w:sdtContent>
        </w:sdt>
        <w:sdt>
          <w:sdtPr>
            <w:rPr>
              <w:rFonts w:hint="default" w:ascii="Times New Roman" w:hAnsi="Times New Roman" w:cs="Times New Roman"/>
              <w:sz w:val="18"/>
              <w:szCs w:val="18"/>
            </w:rPr>
            <w:tag w:val="_PLD_acc4c516f1954954b9ffdd4ee0900cfe"/>
            <w:id w:val="27816"/>
          </w:sdtPr>
          <w:sdtEndPr>
            <w:rPr>
              <w:rFonts w:hint="default" w:ascii="Times New Roman" w:hAnsi="Times New Roman" w:cs="Times New Roman"/>
              <w:sz w:val="18"/>
              <w:szCs w:val="18"/>
            </w:rPr>
          </w:sdtEndPr>
          <w:sdtContent>
            <w:tc>
              <w:tcPr>
                <w:tcW w:w="314" w:type="pct"/>
                <w:shd w:val="clear" w:color="auto" w:fill="auto"/>
                <w:vAlign w:val="center"/>
              </w:tcPr>
              <w:p>
                <w:pPr>
                  <w:ind w:left="-40" w:right="-97"/>
                  <w:jc w:val="center"/>
                  <w:rPr>
                    <w:rFonts w:hint="default" w:ascii="Times New Roman" w:hAnsi="Times New Roman" w:cs="Times New Roman"/>
                    <w:sz w:val="18"/>
                    <w:szCs w:val="18"/>
                  </w:rPr>
                </w:pPr>
                <w:r>
                  <w:rPr>
                    <w:rFonts w:hint="default" w:ascii="Times New Roman" w:hAnsi="Times New Roman" w:cs="Times New Roman"/>
                    <w:sz w:val="18"/>
                    <w:szCs w:val="18"/>
                    <w:lang w:val="en-GB"/>
                  </w:rPr>
                  <w:t>非流动负债</w:t>
                </w:r>
              </w:p>
            </w:tc>
          </w:sdtContent>
        </w:sdt>
        <w:sdt>
          <w:sdtPr>
            <w:rPr>
              <w:rFonts w:hint="default" w:ascii="Times New Roman" w:hAnsi="Times New Roman" w:cs="Times New Roman"/>
              <w:sz w:val="18"/>
              <w:szCs w:val="18"/>
            </w:rPr>
            <w:tag w:val="_PLD_397eebedf0c14a0e8060aa378e6e579d"/>
            <w:id w:val="27817"/>
          </w:sdtPr>
          <w:sdtEndPr>
            <w:rPr>
              <w:rFonts w:hint="default" w:ascii="Times New Roman" w:hAnsi="Times New Roman" w:cs="Times New Roman"/>
              <w:sz w:val="18"/>
              <w:szCs w:val="18"/>
            </w:rPr>
          </w:sdtEndPr>
          <w:sdtContent>
            <w:tc>
              <w:tcPr>
                <w:tcW w:w="403"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GB"/>
                  </w:rPr>
                  <w:t>负债合计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 w:type="pct"/>
          </w:tcPr>
          <w:p>
            <w:pPr>
              <w:rPr>
                <w:rFonts w:hint="default" w:ascii="Times New Roman" w:hAnsi="Times New Roman" w:cs="Times New Roman"/>
                <w:sz w:val="18"/>
                <w:szCs w:val="18"/>
              </w:rPr>
            </w:pPr>
            <w:r>
              <w:rPr>
                <w:rFonts w:hint="default" w:ascii="Times New Roman" w:hAnsi="Times New Roman" w:cs="Times New Roman"/>
                <w:snapToGrid w:val="0"/>
                <w:kern w:val="0"/>
                <w:sz w:val="18"/>
                <w:szCs w:val="18"/>
              </w:rPr>
              <w:t>广西两面针亿康药业股份有限公司</w:t>
            </w:r>
          </w:p>
        </w:tc>
        <w:tc>
          <w:tcPr>
            <w:tcW w:w="435"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108,149,537.67</w:t>
            </w:r>
          </w:p>
        </w:tc>
        <w:tc>
          <w:tcPr>
            <w:tcW w:w="408"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34,006,472.28</w:t>
            </w:r>
          </w:p>
        </w:tc>
        <w:tc>
          <w:tcPr>
            <w:tcW w:w="43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142,156,009.95</w:t>
            </w:r>
          </w:p>
        </w:tc>
        <w:tc>
          <w:tcPr>
            <w:tcW w:w="444"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49,728,875.44</w:t>
            </w:r>
          </w:p>
        </w:tc>
        <w:tc>
          <w:tcPr>
            <w:tcW w:w="341"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706,315.45</w:t>
            </w:r>
          </w:p>
        </w:tc>
        <w:tc>
          <w:tcPr>
            <w:tcW w:w="453"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50,435,190.89</w:t>
            </w:r>
          </w:p>
        </w:tc>
        <w:tc>
          <w:tcPr>
            <w:tcW w:w="386" w:type="pct"/>
            <w:vAlign w:val="center"/>
          </w:tcPr>
          <w:p>
            <w:pPr>
              <w:jc w:val="right"/>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eastAsia="zh-CN"/>
              </w:rPr>
              <w:t>100,570,816.56</w:t>
            </w:r>
          </w:p>
        </w:tc>
        <w:tc>
          <w:tcPr>
            <w:tcW w:w="386" w:type="pct"/>
            <w:vAlign w:val="center"/>
          </w:tcPr>
          <w:p>
            <w:pPr>
              <w:jc w:val="right"/>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eastAsia="zh-CN"/>
              </w:rPr>
              <w:t>34,189,046.54</w:t>
            </w:r>
          </w:p>
        </w:tc>
        <w:tc>
          <w:tcPr>
            <w:tcW w:w="385" w:type="pct"/>
            <w:vAlign w:val="center"/>
          </w:tcPr>
          <w:p>
            <w:pPr>
              <w:jc w:val="right"/>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eastAsia="zh-CN"/>
              </w:rPr>
              <w:t>134,759,863.10</w:t>
            </w:r>
          </w:p>
        </w:tc>
        <w:tc>
          <w:tcPr>
            <w:tcW w:w="417" w:type="pct"/>
            <w:vAlign w:val="center"/>
          </w:tcPr>
          <w:p>
            <w:pPr>
              <w:jc w:val="right"/>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eastAsia="zh-CN"/>
              </w:rPr>
              <w:t>47,111,150.94</w:t>
            </w:r>
          </w:p>
        </w:tc>
        <w:tc>
          <w:tcPr>
            <w:tcW w:w="314" w:type="pct"/>
            <w:vAlign w:val="center"/>
          </w:tcPr>
          <w:p>
            <w:pPr>
              <w:jc w:val="both"/>
              <w:rPr>
                <w:rFonts w:hint="default" w:ascii="Times New Roman" w:hAnsi="Times New Roman" w:cs="Times New Roman"/>
                <w:sz w:val="15"/>
                <w:szCs w:val="15"/>
              </w:rPr>
            </w:pPr>
            <w:r>
              <w:rPr>
                <w:rFonts w:hint="default" w:ascii="Times New Roman" w:hAnsi="Times New Roman" w:cs="Times New Roman"/>
                <w:sz w:val="15"/>
                <w:szCs w:val="15"/>
              </w:rPr>
              <w:t>811,504.55</w:t>
            </w:r>
          </w:p>
        </w:tc>
        <w:tc>
          <w:tcPr>
            <w:tcW w:w="403" w:type="pct"/>
            <w:vAlign w:val="center"/>
          </w:tcPr>
          <w:p>
            <w:pPr>
              <w:jc w:val="right"/>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eastAsia="zh-CN"/>
              </w:rPr>
              <w:t>47,922,655.49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 w:type="pct"/>
          </w:tcPr>
          <w:p>
            <w:pPr>
              <w:rPr>
                <w:rFonts w:hint="default" w:ascii="Times New Roman" w:hAnsi="Times New Roman" w:cs="Times New Roman"/>
                <w:sz w:val="18"/>
                <w:szCs w:val="18"/>
              </w:rPr>
            </w:pPr>
            <w:r>
              <w:rPr>
                <w:rFonts w:hint="default" w:ascii="Times New Roman" w:hAnsi="Times New Roman" w:cs="Times New Roman"/>
                <w:snapToGrid w:val="0"/>
                <w:kern w:val="0"/>
                <w:sz w:val="18"/>
                <w:szCs w:val="18"/>
              </w:rPr>
              <w:t>两面针（江苏）实业有限公司</w:t>
            </w:r>
          </w:p>
        </w:tc>
        <w:tc>
          <w:tcPr>
            <w:tcW w:w="435"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338,552,548.20 </w:t>
            </w:r>
          </w:p>
        </w:tc>
        <w:tc>
          <w:tcPr>
            <w:tcW w:w="408"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138,717,635.09</w:t>
            </w:r>
          </w:p>
        </w:tc>
        <w:tc>
          <w:tcPr>
            <w:tcW w:w="43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477,270,183.29</w:t>
            </w:r>
          </w:p>
        </w:tc>
        <w:tc>
          <w:tcPr>
            <w:tcW w:w="444"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259,982,375.62</w:t>
            </w:r>
          </w:p>
        </w:tc>
        <w:tc>
          <w:tcPr>
            <w:tcW w:w="341"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2,208,898.47 </w:t>
            </w:r>
          </w:p>
        </w:tc>
        <w:tc>
          <w:tcPr>
            <w:tcW w:w="453"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262,191,274.09</w:t>
            </w:r>
          </w:p>
        </w:tc>
        <w:tc>
          <w:tcPr>
            <w:tcW w:w="386" w:type="pct"/>
            <w:vAlign w:val="center"/>
          </w:tcPr>
          <w:p>
            <w:pPr>
              <w:jc w:val="right"/>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eastAsia="zh-CN"/>
              </w:rPr>
              <w:t>235,457,882.40</w:t>
            </w:r>
          </w:p>
        </w:tc>
        <w:tc>
          <w:tcPr>
            <w:tcW w:w="386" w:type="pct"/>
            <w:vAlign w:val="center"/>
          </w:tcPr>
          <w:p>
            <w:pPr>
              <w:jc w:val="right"/>
              <w:rPr>
                <w:rFonts w:hint="default" w:ascii="Times New Roman" w:hAnsi="Times New Roman" w:cs="Times New Roman"/>
                <w:sz w:val="15"/>
                <w:szCs w:val="15"/>
                <w:lang w:eastAsia="zh-CN"/>
              </w:rPr>
            </w:pPr>
            <w:r>
              <w:rPr>
                <w:rFonts w:hint="default" w:ascii="Times New Roman" w:hAnsi="Times New Roman" w:cs="Times New Roman"/>
                <w:sz w:val="15"/>
                <w:szCs w:val="15"/>
                <w:lang w:eastAsia="zh-CN"/>
              </w:rPr>
              <w:t xml:space="preserve">133,755,845.07 </w:t>
            </w:r>
          </w:p>
        </w:tc>
        <w:tc>
          <w:tcPr>
            <w:tcW w:w="385" w:type="pct"/>
            <w:vAlign w:val="center"/>
          </w:tcPr>
          <w:p>
            <w:pPr>
              <w:jc w:val="right"/>
              <w:rPr>
                <w:rFonts w:hint="default" w:ascii="Times New Roman" w:hAnsi="Times New Roman" w:cs="Times New Roman"/>
                <w:sz w:val="15"/>
                <w:szCs w:val="15"/>
                <w:lang w:eastAsia="zh-CN"/>
              </w:rPr>
            </w:pPr>
            <w:r>
              <w:rPr>
                <w:rFonts w:hint="default" w:ascii="Times New Roman" w:hAnsi="Times New Roman" w:cs="Times New Roman"/>
                <w:sz w:val="15"/>
                <w:szCs w:val="15"/>
                <w:lang w:eastAsia="zh-CN"/>
              </w:rPr>
              <w:t xml:space="preserve">369,213,727.47  </w:t>
            </w:r>
          </w:p>
        </w:tc>
        <w:tc>
          <w:tcPr>
            <w:tcW w:w="417" w:type="pct"/>
            <w:vAlign w:val="center"/>
          </w:tcPr>
          <w:p>
            <w:pPr>
              <w:jc w:val="right"/>
              <w:rPr>
                <w:rFonts w:hint="default" w:ascii="Times New Roman" w:hAnsi="Times New Roman" w:cs="Times New Roman"/>
                <w:sz w:val="15"/>
                <w:szCs w:val="15"/>
                <w:lang w:eastAsia="zh-CN"/>
              </w:rPr>
            </w:pPr>
            <w:r>
              <w:rPr>
                <w:rFonts w:hint="default" w:ascii="Times New Roman" w:hAnsi="Times New Roman" w:cs="Times New Roman"/>
                <w:sz w:val="15"/>
                <w:szCs w:val="15"/>
                <w:lang w:eastAsia="zh-CN"/>
              </w:rPr>
              <w:t>170,947,955.97</w:t>
            </w:r>
          </w:p>
        </w:tc>
        <w:tc>
          <w:tcPr>
            <w:tcW w:w="314" w:type="pct"/>
            <w:vAlign w:val="center"/>
          </w:tcPr>
          <w:p>
            <w:pPr>
              <w:jc w:val="right"/>
              <w:rPr>
                <w:rFonts w:hint="default" w:ascii="Times New Roman" w:hAnsi="Times New Roman" w:cs="Times New Roman"/>
                <w:sz w:val="15"/>
                <w:szCs w:val="15"/>
                <w:lang w:eastAsia="zh-CN"/>
              </w:rPr>
            </w:pPr>
            <w:r>
              <w:rPr>
                <w:rFonts w:hint="default" w:ascii="Times New Roman" w:hAnsi="Times New Roman" w:cs="Times New Roman"/>
                <w:sz w:val="15"/>
                <w:szCs w:val="15"/>
                <w:lang w:eastAsia="zh-CN"/>
              </w:rPr>
              <w:t>974,875.77</w:t>
            </w:r>
          </w:p>
        </w:tc>
        <w:tc>
          <w:tcPr>
            <w:tcW w:w="403" w:type="pct"/>
            <w:vAlign w:val="center"/>
          </w:tcPr>
          <w:p>
            <w:pPr>
              <w:jc w:val="right"/>
              <w:rPr>
                <w:rFonts w:hint="default" w:ascii="Times New Roman" w:hAnsi="Times New Roman" w:cs="Times New Roman"/>
                <w:sz w:val="15"/>
                <w:szCs w:val="15"/>
                <w:lang w:eastAsia="zh-CN"/>
              </w:rPr>
            </w:pPr>
            <w:r>
              <w:rPr>
                <w:rFonts w:hint="default" w:ascii="Times New Roman" w:hAnsi="Times New Roman" w:cs="Times New Roman"/>
                <w:sz w:val="15"/>
                <w:szCs w:val="15"/>
                <w:lang w:eastAsia="zh-CN"/>
              </w:rPr>
              <w:t xml:space="preserve">171,922,831.74 </w:t>
            </w:r>
          </w:p>
        </w:tc>
      </w:tr>
    </w:tbl>
    <w:p>
      <w:pPr>
        <w:rPr>
          <w:rFonts w:cs="Arial"/>
          <w:szCs w:val="21"/>
        </w:rPr>
      </w:pPr>
    </w:p>
    <w:tbl>
      <w:tblPr>
        <w:tblStyle w:val="125"/>
        <w:tblW w:w="5139"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528"/>
        <w:gridCol w:w="1419"/>
        <w:gridCol w:w="1390"/>
        <w:gridCol w:w="1513"/>
        <w:gridCol w:w="1923"/>
        <w:gridCol w:w="1786"/>
        <w:gridCol w:w="2153"/>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hint="default" w:ascii="Times New Roman" w:hAnsi="Times New Roman" w:cs="Times New Roman"/>
              <w:sz w:val="18"/>
              <w:szCs w:val="18"/>
            </w:rPr>
            <w:tag w:val="_PLD_f862f5520ccd48d7b0fd3b875414eb44"/>
            <w:id w:val="27818"/>
          </w:sdtPr>
          <w:sdtEndPr>
            <w:rPr>
              <w:rFonts w:hint="default" w:ascii="Times New Roman" w:hAnsi="Times New Roman" w:cs="Times New Roman"/>
              <w:sz w:val="18"/>
              <w:szCs w:val="18"/>
            </w:rPr>
          </w:sdtEndPr>
          <w:sdtContent>
            <w:tc>
              <w:tcPr>
                <w:tcW w:w="343" w:type="pct"/>
                <w:vMerge w:val="restart"/>
                <w:shd w:val="clear" w:color="auto" w:fill="auto"/>
                <w:vAlign w:val="center"/>
              </w:tcPr>
              <w:p>
                <w:pPr>
                  <w:spacing w:line="276" w:lineRule="auto"/>
                  <w:ind w:right="-16"/>
                  <w:jc w:val="center"/>
                  <w:rPr>
                    <w:rFonts w:hint="default" w:ascii="Times New Roman" w:hAnsi="Times New Roman" w:cs="Times New Roman"/>
                    <w:bCs/>
                    <w:sz w:val="18"/>
                    <w:szCs w:val="18"/>
                  </w:rPr>
                </w:pPr>
                <w:r>
                  <w:rPr>
                    <w:rFonts w:hint="default" w:ascii="Times New Roman" w:hAnsi="Times New Roman" w:cs="Times New Roman"/>
                    <w:bCs/>
                    <w:sz w:val="18"/>
                    <w:szCs w:val="18"/>
                    <w:lang w:val="en-GB"/>
                  </w:rPr>
                  <w:t>子公司名称</w:t>
                </w:r>
              </w:p>
            </w:tc>
          </w:sdtContent>
        </w:sdt>
        <w:sdt>
          <w:sdtPr>
            <w:rPr>
              <w:rFonts w:hint="default" w:ascii="Times New Roman" w:hAnsi="Times New Roman" w:cs="Times New Roman"/>
              <w:sz w:val="18"/>
              <w:szCs w:val="18"/>
            </w:rPr>
            <w:tag w:val="_PLD_5506f9b7657a4249a69db52c93f94b62"/>
            <w:id w:val="27819"/>
          </w:sdtPr>
          <w:sdtEndPr>
            <w:rPr>
              <w:rFonts w:hint="default" w:ascii="Times New Roman" w:hAnsi="Times New Roman" w:cs="Times New Roman"/>
              <w:sz w:val="18"/>
              <w:szCs w:val="18"/>
            </w:rPr>
          </w:sdtEndPr>
          <w:sdtContent>
            <w:tc>
              <w:tcPr>
                <w:tcW w:w="2019" w:type="pct"/>
                <w:gridSpan w:val="4"/>
                <w:shd w:val="clear" w:color="auto" w:fill="auto"/>
                <w:vAlign w:val="center"/>
              </w:tcPr>
              <w:p>
                <w:pPr>
                  <w:spacing w:line="276" w:lineRule="auto"/>
                  <w:ind w:right="-16"/>
                  <w:jc w:val="center"/>
                  <w:rPr>
                    <w:rFonts w:hint="default" w:ascii="Times New Roman" w:hAnsi="Times New Roman" w:cs="Times New Roman"/>
                    <w:bCs/>
                    <w:sz w:val="18"/>
                    <w:szCs w:val="18"/>
                  </w:rPr>
                </w:pPr>
                <w:r>
                  <w:rPr>
                    <w:rFonts w:hint="default" w:ascii="Times New Roman" w:hAnsi="Times New Roman" w:cs="Times New Roman"/>
                    <w:bCs/>
                    <w:sz w:val="18"/>
                    <w:szCs w:val="18"/>
                    <w:lang w:val="en-GB"/>
                  </w:rPr>
                  <w:t>本期发生额</w:t>
                </w:r>
              </w:p>
            </w:tc>
          </w:sdtContent>
        </w:sdt>
        <w:sdt>
          <w:sdtPr>
            <w:rPr>
              <w:rFonts w:hint="default" w:ascii="Times New Roman" w:hAnsi="Times New Roman" w:cs="Times New Roman"/>
              <w:sz w:val="18"/>
              <w:szCs w:val="18"/>
            </w:rPr>
            <w:tag w:val="_PLD_063dddde33114bd0989718130d614207"/>
            <w:id w:val="27820"/>
          </w:sdtPr>
          <w:sdtEndPr>
            <w:rPr>
              <w:rFonts w:hint="default" w:ascii="Times New Roman" w:hAnsi="Times New Roman" w:cs="Times New Roman"/>
              <w:sz w:val="18"/>
              <w:szCs w:val="18"/>
            </w:rPr>
          </w:sdtEndPr>
          <w:sdtContent>
            <w:tc>
              <w:tcPr>
                <w:tcW w:w="2636" w:type="pct"/>
                <w:gridSpan w:val="4"/>
                <w:shd w:val="clear" w:color="auto" w:fill="auto"/>
                <w:vAlign w:val="center"/>
              </w:tcPr>
              <w:p>
                <w:pPr>
                  <w:spacing w:line="276" w:lineRule="auto"/>
                  <w:ind w:right="-16"/>
                  <w:jc w:val="center"/>
                  <w:rPr>
                    <w:rFonts w:hint="default" w:ascii="Times New Roman" w:hAnsi="Times New Roman" w:cs="Times New Roman"/>
                    <w:bCs/>
                    <w:sz w:val="18"/>
                    <w:szCs w:val="18"/>
                  </w:rPr>
                </w:pPr>
                <w:r>
                  <w:rPr>
                    <w:rFonts w:hint="default" w:ascii="Times New Roman" w:hAnsi="Times New Roman" w:cs="Times New Roman"/>
                    <w:bCs/>
                    <w:sz w:val="18"/>
                    <w:szCs w:val="18"/>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43" w:type="pct"/>
            <w:vMerge w:val="continue"/>
            <w:shd w:val="clear" w:color="auto" w:fill="auto"/>
            <w:vAlign w:val="center"/>
          </w:tcPr>
          <w:p>
            <w:pPr>
              <w:jc w:val="center"/>
              <w:rPr>
                <w:rFonts w:hint="default" w:ascii="Times New Roman" w:hAnsi="Times New Roman" w:cs="Times New Roman"/>
                <w:bCs/>
                <w:sz w:val="18"/>
                <w:szCs w:val="18"/>
              </w:rPr>
            </w:pPr>
          </w:p>
        </w:tc>
        <w:sdt>
          <w:sdtPr>
            <w:rPr>
              <w:rFonts w:hint="default" w:ascii="Times New Roman" w:hAnsi="Times New Roman" w:cs="Times New Roman"/>
              <w:sz w:val="18"/>
              <w:szCs w:val="18"/>
            </w:rPr>
            <w:tag w:val="_PLD_0ff6644b89fa49828839f84e0b320d2e"/>
            <w:id w:val="27821"/>
          </w:sdtPr>
          <w:sdtEndPr>
            <w:rPr>
              <w:rFonts w:hint="default" w:ascii="Times New Roman" w:hAnsi="Times New Roman" w:cs="Times New Roman"/>
              <w:sz w:val="18"/>
              <w:szCs w:val="18"/>
            </w:rPr>
          </w:sdtEndPr>
          <w:sdtContent>
            <w:tc>
              <w:tcPr>
                <w:tcW w:w="527"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营业收入</w:t>
                </w:r>
              </w:p>
            </w:tc>
          </w:sdtContent>
        </w:sdt>
        <w:sdt>
          <w:sdtPr>
            <w:rPr>
              <w:rFonts w:hint="default" w:ascii="Times New Roman" w:hAnsi="Times New Roman" w:cs="Times New Roman"/>
              <w:sz w:val="18"/>
              <w:szCs w:val="18"/>
            </w:rPr>
            <w:tag w:val="_PLD_3ed6f54533ae4b35b5749cded650328b"/>
            <w:id w:val="27822"/>
          </w:sdtPr>
          <w:sdtEndPr>
            <w:rPr>
              <w:rFonts w:hint="default" w:ascii="Times New Roman" w:hAnsi="Times New Roman" w:cs="Times New Roman"/>
              <w:sz w:val="18"/>
              <w:szCs w:val="18"/>
            </w:rPr>
          </w:sdtEndPr>
          <w:sdtContent>
            <w:tc>
              <w:tcPr>
                <w:tcW w:w="489"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净利润</w:t>
                </w:r>
              </w:p>
            </w:tc>
          </w:sdtContent>
        </w:sdt>
        <w:sdt>
          <w:sdtPr>
            <w:rPr>
              <w:rFonts w:hint="default" w:ascii="Times New Roman" w:hAnsi="Times New Roman" w:cs="Times New Roman"/>
              <w:sz w:val="18"/>
              <w:szCs w:val="18"/>
            </w:rPr>
            <w:tag w:val="_PLD_f277e496f88240b8a09027ca500f53c9"/>
            <w:id w:val="27823"/>
          </w:sdtPr>
          <w:sdtEndPr>
            <w:rPr>
              <w:rFonts w:hint="default" w:ascii="Times New Roman" w:hAnsi="Times New Roman" w:cs="Times New Roman"/>
              <w:sz w:val="18"/>
              <w:szCs w:val="18"/>
            </w:rPr>
          </w:sdtEndPr>
          <w:sdtContent>
            <w:tc>
              <w:tcPr>
                <w:tcW w:w="480"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综合收益总额</w:t>
                </w:r>
              </w:p>
            </w:tc>
          </w:sdtContent>
        </w:sdt>
        <w:sdt>
          <w:sdtPr>
            <w:rPr>
              <w:rFonts w:hint="default" w:ascii="Times New Roman" w:hAnsi="Times New Roman" w:cs="Times New Roman"/>
              <w:sz w:val="18"/>
              <w:szCs w:val="18"/>
            </w:rPr>
            <w:tag w:val="_PLD_b06ad8ebb20b4c158ab41b3105f22658"/>
            <w:id w:val="27824"/>
          </w:sdtPr>
          <w:sdtEndPr>
            <w:rPr>
              <w:rFonts w:hint="default" w:ascii="Times New Roman" w:hAnsi="Times New Roman" w:cs="Times New Roman"/>
              <w:sz w:val="18"/>
              <w:szCs w:val="18"/>
            </w:rPr>
          </w:sdtEndPr>
          <w:sdtContent>
            <w:tc>
              <w:tcPr>
                <w:tcW w:w="522"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经营活动现金流量</w:t>
                </w:r>
              </w:p>
            </w:tc>
          </w:sdtContent>
        </w:sdt>
        <w:sdt>
          <w:sdtPr>
            <w:rPr>
              <w:rFonts w:hint="default" w:ascii="Times New Roman" w:hAnsi="Times New Roman" w:cs="Times New Roman"/>
              <w:sz w:val="18"/>
              <w:szCs w:val="18"/>
            </w:rPr>
            <w:tag w:val="_PLD_4fc4163d4ea74839b6634e2ab30a43dd"/>
            <w:id w:val="27825"/>
          </w:sdtPr>
          <w:sdtEndPr>
            <w:rPr>
              <w:rFonts w:hint="default" w:ascii="Times New Roman" w:hAnsi="Times New Roman" w:cs="Times New Roman"/>
              <w:sz w:val="18"/>
              <w:szCs w:val="18"/>
            </w:rPr>
          </w:sdtEndPr>
          <w:sdtContent>
            <w:tc>
              <w:tcPr>
                <w:tcW w:w="663"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营业收入</w:t>
                </w:r>
              </w:p>
            </w:tc>
          </w:sdtContent>
        </w:sdt>
        <w:sdt>
          <w:sdtPr>
            <w:rPr>
              <w:rFonts w:hint="default" w:ascii="Times New Roman" w:hAnsi="Times New Roman" w:cs="Times New Roman"/>
              <w:sz w:val="18"/>
              <w:szCs w:val="18"/>
            </w:rPr>
            <w:tag w:val="_PLD_afe353d057d34119880797ab0530197f"/>
            <w:id w:val="27826"/>
          </w:sdtPr>
          <w:sdtEndPr>
            <w:rPr>
              <w:rFonts w:hint="default" w:ascii="Times New Roman" w:hAnsi="Times New Roman" w:cs="Times New Roman"/>
              <w:sz w:val="18"/>
              <w:szCs w:val="18"/>
            </w:rPr>
          </w:sdtEndPr>
          <w:sdtContent>
            <w:tc>
              <w:tcPr>
                <w:tcW w:w="616"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净利润</w:t>
                </w:r>
              </w:p>
            </w:tc>
          </w:sdtContent>
        </w:sdt>
        <w:sdt>
          <w:sdtPr>
            <w:rPr>
              <w:rFonts w:hint="default" w:ascii="Times New Roman" w:hAnsi="Times New Roman" w:cs="Times New Roman"/>
              <w:sz w:val="18"/>
              <w:szCs w:val="18"/>
            </w:rPr>
            <w:tag w:val="_PLD_06c5ed8a09a8478bb7daf6526e9a9894"/>
            <w:id w:val="27827"/>
          </w:sdtPr>
          <w:sdtEndPr>
            <w:rPr>
              <w:rFonts w:hint="default" w:ascii="Times New Roman" w:hAnsi="Times New Roman" w:cs="Times New Roman"/>
              <w:sz w:val="18"/>
              <w:szCs w:val="18"/>
            </w:rPr>
          </w:sdtEndPr>
          <w:sdtContent>
            <w:tc>
              <w:tcPr>
                <w:tcW w:w="743"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综合收益总额</w:t>
                </w:r>
              </w:p>
            </w:tc>
          </w:sdtContent>
        </w:sdt>
        <w:sdt>
          <w:sdtPr>
            <w:rPr>
              <w:rFonts w:hint="default" w:ascii="Times New Roman" w:hAnsi="Times New Roman" w:cs="Times New Roman"/>
              <w:sz w:val="18"/>
              <w:szCs w:val="18"/>
            </w:rPr>
            <w:tag w:val="_PLD_4bb5318561af41709725de1d7e458dde"/>
            <w:id w:val="27828"/>
          </w:sdtPr>
          <w:sdtEndPr>
            <w:rPr>
              <w:rFonts w:hint="default" w:ascii="Times New Roman" w:hAnsi="Times New Roman" w:cs="Times New Roman"/>
              <w:sz w:val="18"/>
              <w:szCs w:val="18"/>
            </w:rPr>
          </w:sdtEndPr>
          <w:sdtContent>
            <w:tc>
              <w:tcPr>
                <w:tcW w:w="611" w:type="pct"/>
                <w:shd w:val="clear" w:color="auto" w:fill="auto"/>
                <w:vAlign w:val="center"/>
              </w:tcPr>
              <w:p>
                <w:pPr>
                  <w:spacing w:line="276"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GB"/>
                  </w:rPr>
                  <w:t>经营活动现金流量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43" w:type="pct"/>
          </w:tcPr>
          <w:p>
            <w:pPr>
              <w:spacing w:line="276" w:lineRule="auto"/>
              <w:rPr>
                <w:rFonts w:hint="default" w:ascii="Times New Roman" w:hAnsi="Times New Roman" w:cs="Times New Roman"/>
                <w:sz w:val="18"/>
                <w:szCs w:val="18"/>
              </w:rPr>
            </w:pPr>
            <w:r>
              <w:rPr>
                <w:rFonts w:hint="default" w:ascii="Times New Roman" w:hAnsi="Times New Roman" w:cs="Times New Roman"/>
                <w:sz w:val="18"/>
                <w:szCs w:val="18"/>
              </w:rPr>
              <w:t>广西两面针亿康药业股份有限公司</w:t>
            </w:r>
          </w:p>
        </w:tc>
        <w:tc>
          <w:tcPr>
            <w:tcW w:w="527"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107,890,040.39 </w:t>
            </w:r>
          </w:p>
        </w:tc>
        <w:tc>
          <w:tcPr>
            <w:tcW w:w="489"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4,883,611.45</w:t>
            </w:r>
          </w:p>
        </w:tc>
        <w:tc>
          <w:tcPr>
            <w:tcW w:w="480"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4,883,611.45</w:t>
            </w:r>
          </w:p>
        </w:tc>
        <w:tc>
          <w:tcPr>
            <w:tcW w:w="522"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-9,523,331.21</w:t>
            </w:r>
          </w:p>
        </w:tc>
        <w:tc>
          <w:tcPr>
            <w:tcW w:w="663"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84,319,144.63</w:t>
            </w:r>
          </w:p>
        </w:tc>
        <w:tc>
          <w:tcPr>
            <w:tcW w:w="616"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2,219,591.48 </w:t>
            </w:r>
          </w:p>
        </w:tc>
        <w:tc>
          <w:tcPr>
            <w:tcW w:w="743"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2,219,591.48</w:t>
            </w:r>
          </w:p>
        </w:tc>
        <w:tc>
          <w:tcPr>
            <w:tcW w:w="611" w:type="pct"/>
            <w:vAlign w:val="center"/>
          </w:tcPr>
          <w:p>
            <w:pPr>
              <w:spacing w:line="276" w:lineRule="auto"/>
              <w:jc w:val="right"/>
              <w:rPr>
                <w:rFonts w:hint="default" w:ascii="Times New Roman" w:hAnsi="Times New Roman" w:cs="Times New Roman"/>
                <w:sz w:val="18"/>
                <w:szCs w:val="18"/>
              </w:rPr>
            </w:pPr>
            <w:r>
              <w:rPr>
                <w:rFonts w:hint="default" w:ascii="Times New Roman" w:hAnsi="Times New Roman" w:cs="Times New Roman"/>
                <w:sz w:val="18"/>
                <w:szCs w:val="18"/>
              </w:rPr>
              <w:t xml:space="preserve"> 23,390,135.54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tcPr>
          <w:p>
            <w:pPr>
              <w:spacing w:line="276" w:lineRule="auto"/>
              <w:rPr>
                <w:rFonts w:hint="default" w:ascii="Times New Roman" w:hAnsi="Times New Roman" w:cs="Times New Roman"/>
                <w:sz w:val="18"/>
                <w:szCs w:val="18"/>
              </w:rPr>
            </w:pPr>
            <w:r>
              <w:rPr>
                <w:rFonts w:hint="default" w:ascii="Times New Roman" w:hAnsi="Times New Roman" w:cs="Times New Roman"/>
                <w:sz w:val="18"/>
                <w:szCs w:val="18"/>
              </w:rPr>
              <w:t>两面针（江苏）实业有限公司</w:t>
            </w:r>
          </w:p>
        </w:tc>
        <w:tc>
          <w:tcPr>
            <w:tcW w:w="527"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695,628,350.45</w:t>
            </w:r>
          </w:p>
        </w:tc>
        <w:tc>
          <w:tcPr>
            <w:tcW w:w="489"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17,788,013.47</w:t>
            </w:r>
          </w:p>
        </w:tc>
        <w:tc>
          <w:tcPr>
            <w:tcW w:w="480"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17,788,013.47</w:t>
            </w:r>
          </w:p>
        </w:tc>
        <w:tc>
          <w:tcPr>
            <w:tcW w:w="522"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50,516,711.51</w:t>
            </w:r>
          </w:p>
        </w:tc>
        <w:tc>
          <w:tcPr>
            <w:tcW w:w="663"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420,217,713.88</w:t>
            </w:r>
          </w:p>
        </w:tc>
        <w:tc>
          <w:tcPr>
            <w:tcW w:w="616"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-6,465,397.73</w:t>
            </w:r>
          </w:p>
        </w:tc>
        <w:tc>
          <w:tcPr>
            <w:tcW w:w="743"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-6,465,397.73</w:t>
            </w:r>
          </w:p>
        </w:tc>
        <w:tc>
          <w:tcPr>
            <w:tcW w:w="611" w:type="pct"/>
            <w:vAlign w:val="center"/>
          </w:tcPr>
          <w:p>
            <w:pPr>
              <w:jc w:val="right"/>
              <w:rPr>
                <w:rFonts w:hint="default" w:ascii="Times New Roman" w:hAnsi="Times New Roman" w:cs="Times New Roman"/>
                <w:sz w:val="15"/>
                <w:szCs w:val="15"/>
              </w:rPr>
            </w:pPr>
            <w:r>
              <w:rPr>
                <w:rFonts w:hint="default" w:ascii="Times New Roman" w:hAnsi="Times New Roman" w:cs="Times New Roman"/>
                <w:sz w:val="15"/>
                <w:szCs w:val="15"/>
              </w:rPr>
              <w:t xml:space="preserve"> 2,162,637.40</w:t>
            </w:r>
          </w:p>
        </w:tc>
      </w:tr>
    </w:tbl>
    <w:p/>
    <w:p>
      <w:pPr>
        <w:rPr>
          <w:rFonts w:cs="Arial"/>
          <w:szCs w:val="21"/>
        </w:rPr>
      </w:pPr>
      <w:r>
        <w:rPr>
          <w:rFonts w:hint="eastAsia" w:cs="Arial"/>
          <w:szCs w:val="21"/>
        </w:rPr>
        <w:t>其他说明：</w:t>
      </w:r>
    </w:p>
    <w:p>
      <w:pPr>
        <w:rPr>
          <w:rFonts w:hint="eastAsia" w:cs="Arial"/>
          <w:szCs w:val="21"/>
        </w:rPr>
      </w:pPr>
      <w:sdt>
        <w:sdtPr>
          <w:rPr>
            <w:rFonts w:cs="Arial"/>
            <w:szCs w:val="21"/>
          </w:rPr>
          <w:alias w:val="重要非全资子公司的主要财务信息的其他说明"/>
          <w:tag w:val="_GBC_c6413d961dad488aae6fcf0fda2bf33a"/>
          <w:id w:val="27829"/>
          <w:placeholder>
            <w:docPart w:val="{4641561e-a005-4a7e-96a4-57ce654e7ad0}"/>
          </w:placeholder>
        </w:sdtPr>
        <w:sdtEndPr>
          <w:rPr>
            <w:rFonts w:cs="Arial"/>
            <w:szCs w:val="21"/>
          </w:rPr>
        </w:sdtEndPr>
        <w:sdtContent>
          <w:r>
            <w:rPr>
              <w:rFonts w:hint="eastAsia" w:cs="Arial"/>
              <w:szCs w:val="21"/>
              <w:lang w:eastAsia="zh-CN"/>
            </w:rPr>
            <w:t>无</w:t>
          </w:r>
        </w:sdtContent>
      </w:sdt>
    </w:p>
    <w:p>
      <w:pPr>
        <w:sectPr>
          <w:pgSz w:w="16838" w:h="11906" w:orient="landscape"/>
          <w:pgMar w:top="1797" w:right="1525" w:bottom="1276" w:left="1440" w:header="856" w:footer="992" w:gutter="0"/>
          <w:cols w:space="425" w:num="1"/>
          <w:docGrid w:linePitch="312" w:charSpace="0"/>
        </w:sectPr>
      </w:pPr>
      <w:r>
        <w:rPr>
          <w:rFonts w:hint="eastAsia" w:cs="Arial"/>
          <w:szCs w:val="21"/>
        </w:rPr>
        <w:t>　　　</w:t>
      </w:r>
    </w:p>
    <w:p>
      <w:pPr>
        <w:rPr>
          <w:rFonts w:cs="Arial"/>
          <w:szCs w:val="21"/>
        </w:rPr>
      </w:pPr>
    </w:p>
    <w:p>
      <w:pPr>
        <w:pStyle w:val="196"/>
        <w:numPr>
          <w:ilvl w:val="3"/>
          <w:numId w:val="114"/>
        </w:numPr>
        <w:ind w:left="424" w:hanging="426" w:hangingChars="202"/>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27830"/>
        <w:placeholder>
          <w:docPart w:val="GBC22222222222222222222222222222"/>
        </w:placeholder>
      </w:sdtPr>
      <w:sdtContent>
        <w:p>
          <w:pPr>
            <w:outlineLvl w:val="9"/>
            <w:rPr>
              <w:rFonts w:cs="Arial"/>
              <w:b/>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szCs w:val="21"/>
        </w:rPr>
      </w:pPr>
    </w:p>
    <w:p>
      <w:pPr>
        <w:pStyle w:val="196"/>
        <w:numPr>
          <w:ilvl w:val="3"/>
          <w:numId w:val="114"/>
        </w:numPr>
        <w:ind w:left="424" w:hanging="426" w:hangingChars="202"/>
      </w:pPr>
      <w:r>
        <w:rPr>
          <w:rFonts w:hint="eastAsia"/>
        </w:rPr>
        <w:t>向纳入合并财务报表范围的结构化主体提供的财务支持或其他支持</w:t>
      </w:r>
    </w:p>
    <w:sdt>
      <w:sdtPr>
        <w:rPr>
          <w:rFonts w:hint="eastAsia" w:cs="Arial"/>
          <w:szCs w:val="21"/>
        </w:rPr>
        <w:alias w:val="是否适用：向纳入合并财务报表范围的结构化主体提供的财务支持或其他支持[双击切换]"/>
        <w:tag w:val="_GBC_395393741a9c49d1bd1b845f818ade1e"/>
        <w:id w:val="27831"/>
        <w:placeholder>
          <w:docPart w:val="GBC22222222222222222222222222222"/>
        </w:placeholder>
      </w:sdtPr>
      <w:sdtEndPr>
        <w:rPr>
          <w:rFonts w:hint="eastAsia" w:cs="Arial"/>
          <w:szCs w:val="21"/>
        </w:rPr>
      </w:sdtEndPr>
      <w:sdtContent>
        <w:p>
          <w:pPr>
            <w:outlineLvl w:val="9"/>
            <w:rPr>
              <w:rFonts w:cs="Arial"/>
              <w:szCs w:val="21"/>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b/>
          <w:szCs w:val="21"/>
        </w:rPr>
      </w:pPr>
    </w:p>
    <w:p>
      <w:pPr>
        <w:rPr>
          <w:szCs w:val="21"/>
        </w:rPr>
      </w:pPr>
      <w:r>
        <w:rPr>
          <w:rFonts w:hint="eastAsia"/>
          <w:szCs w:val="21"/>
        </w:rPr>
        <w:t>其他说明：</w:t>
      </w:r>
    </w:p>
    <w:sdt>
      <w:sdtPr>
        <w:rPr>
          <w:szCs w:val="21"/>
        </w:rPr>
        <w:alias w:val="是否适用：在子公司中的权益其他说明[双击切换]"/>
        <w:tag w:val="_GBC_b26ad9d381c8467f9c05b435b2cb6493"/>
        <w:id w:val="2783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229"/>
        <w:numPr>
          <w:ilvl w:val="2"/>
          <w:numId w:val="113"/>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27833"/>
        <w:placeholder>
          <w:docPart w:val="GBC22222222222222222222222222222"/>
        </w:placeholder>
      </w:sdtPr>
      <w:sdtContent>
        <w:p>
          <w:pPr>
            <w:outlineLvl w:val="9"/>
            <w:rPr>
              <w:rFonts w:cs="Arial"/>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229"/>
        <w:numPr>
          <w:ilvl w:val="2"/>
          <w:numId w:val="113"/>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2bff91875b7a49f3929c4613048756c1"/>
        <w:id w:val="2783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196"/>
        <w:numPr>
          <w:ilvl w:val="3"/>
          <w:numId w:val="115"/>
        </w:numPr>
        <w:ind w:left="424" w:hanging="426" w:hangingChars="202"/>
      </w:pPr>
      <w:r>
        <w:rPr>
          <w:rFonts w:hint="eastAsia"/>
        </w:rPr>
        <w:t>重要的合营企业或联营企业</w:t>
      </w:r>
    </w:p>
    <w:sdt>
      <w:sdtPr>
        <w:rPr>
          <w:rFonts w:hint="eastAsia"/>
        </w:rPr>
        <w:alias w:val="是否适用：重要的合营企业或联营企业[双击切换]"/>
        <w:tag w:val="_GBC_99df64ed4bb84c2da5fb54cda5ae039b"/>
        <w:id w:val="27835"/>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pPr>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6"/>
        <w:gridCol w:w="1349"/>
        <w:gridCol w:w="1296"/>
        <w:gridCol w:w="996"/>
        <w:gridCol w:w="735"/>
        <w:gridCol w:w="820"/>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tag w:val="_PLD_6004d65b7e3443dc82381484e3885a6b"/>
            <w:id w:val="27836"/>
          </w:sdtPr>
          <w:sdtContent>
            <w:tc>
              <w:tcPr>
                <w:tcW w:w="1373" w:type="pct"/>
                <w:vMerge w:val="restart"/>
                <w:shd w:val="clear" w:color="auto" w:fill="auto"/>
                <w:vAlign w:val="center"/>
              </w:tcPr>
              <w:p>
                <w:pPr>
                  <w:jc w:val="center"/>
                  <w:rPr>
                    <w:rFonts w:cs="Arial"/>
                    <w:szCs w:val="21"/>
                  </w:rPr>
                </w:pPr>
                <w:r>
                  <w:rPr>
                    <w:rFonts w:hint="eastAsia" w:cs="Arial"/>
                    <w:szCs w:val="21"/>
                    <w:lang w:val="en-GB"/>
                  </w:rPr>
                  <w:t>合营企业或联营企业名称</w:t>
                </w:r>
              </w:p>
            </w:tc>
          </w:sdtContent>
        </w:sdt>
        <w:sdt>
          <w:sdtPr>
            <w:tag w:val="_PLD_2e148655e91e4b998bd7a7d0b10c96fd"/>
            <w:id w:val="27837"/>
          </w:sdtPr>
          <w:sdtContent>
            <w:tc>
              <w:tcPr>
                <w:tcW w:w="745" w:type="pct"/>
                <w:vMerge w:val="restart"/>
                <w:shd w:val="clear" w:color="auto" w:fill="auto"/>
                <w:vAlign w:val="center"/>
              </w:tcPr>
              <w:p>
                <w:pPr>
                  <w:jc w:val="center"/>
                  <w:rPr>
                    <w:rFonts w:cs="Arial"/>
                    <w:szCs w:val="21"/>
                  </w:rPr>
                </w:pPr>
                <w:r>
                  <w:rPr>
                    <w:rFonts w:hint="eastAsia" w:cs="Arial"/>
                    <w:szCs w:val="21"/>
                    <w:lang w:val="en-GB"/>
                  </w:rPr>
                  <w:t>主要经营地</w:t>
                </w:r>
              </w:p>
            </w:tc>
          </w:sdtContent>
        </w:sdt>
        <w:sdt>
          <w:sdtPr>
            <w:tag w:val="_PLD_32e2714eb7074350886ae0d40b5c34b1"/>
            <w:id w:val="27838"/>
          </w:sdtPr>
          <w:sdtContent>
            <w:tc>
              <w:tcPr>
                <w:tcW w:w="716" w:type="pct"/>
                <w:vMerge w:val="restart"/>
                <w:shd w:val="clear" w:color="auto" w:fill="auto"/>
                <w:vAlign w:val="center"/>
              </w:tcPr>
              <w:p>
                <w:pPr>
                  <w:jc w:val="center"/>
                  <w:rPr>
                    <w:rFonts w:cs="Arial"/>
                    <w:szCs w:val="21"/>
                  </w:rPr>
                </w:pPr>
                <w:r>
                  <w:rPr>
                    <w:rFonts w:hint="eastAsia" w:cs="Arial"/>
                    <w:szCs w:val="21"/>
                    <w:lang w:val="en-GB"/>
                  </w:rPr>
                  <w:t>注册地</w:t>
                </w:r>
              </w:p>
            </w:tc>
          </w:sdtContent>
        </w:sdt>
        <w:sdt>
          <w:sdtPr>
            <w:tag w:val="_PLD_d429c77b8bef473a98608606ebcd4d75"/>
            <w:id w:val="27839"/>
          </w:sdtPr>
          <w:sdtContent>
            <w:tc>
              <w:tcPr>
                <w:tcW w:w="550" w:type="pct"/>
                <w:vMerge w:val="restart"/>
                <w:shd w:val="clear" w:color="auto" w:fill="auto"/>
                <w:vAlign w:val="center"/>
              </w:tcPr>
              <w:p>
                <w:pPr>
                  <w:jc w:val="center"/>
                  <w:rPr>
                    <w:rFonts w:cs="Arial"/>
                    <w:szCs w:val="21"/>
                  </w:rPr>
                </w:pPr>
                <w:r>
                  <w:rPr>
                    <w:rFonts w:hint="eastAsia" w:cs="Arial"/>
                    <w:szCs w:val="21"/>
                    <w:lang w:val="en-GB"/>
                  </w:rPr>
                  <w:t>业务性质</w:t>
                </w:r>
              </w:p>
            </w:tc>
          </w:sdtContent>
        </w:sdt>
        <w:sdt>
          <w:sdtPr>
            <w:tag w:val="_PLD_bc055f9d5073401a85de2316f2a2b7ce"/>
            <w:id w:val="27840"/>
          </w:sdtPr>
          <w:sdtContent>
            <w:tc>
              <w:tcPr>
                <w:tcW w:w="859" w:type="pct"/>
                <w:gridSpan w:val="2"/>
                <w:shd w:val="clear" w:color="auto" w:fill="auto"/>
                <w:vAlign w:val="center"/>
              </w:tcPr>
              <w:p>
                <w:pPr>
                  <w:jc w:val="center"/>
                  <w:rPr>
                    <w:rFonts w:cs="Arial"/>
                    <w:szCs w:val="21"/>
                  </w:rPr>
                </w:pPr>
                <w:r>
                  <w:rPr>
                    <w:rFonts w:hint="eastAsia" w:cs="Arial"/>
                    <w:szCs w:val="21"/>
                    <w:lang w:val="en-GB"/>
                  </w:rPr>
                  <w:t>持股比例</w:t>
                </w:r>
                <w:r>
                  <w:rPr>
                    <w:rFonts w:cs="Arial"/>
                    <w:szCs w:val="21"/>
                  </w:rPr>
                  <w:t>(%)</w:t>
                </w:r>
              </w:p>
            </w:tc>
          </w:sdtContent>
        </w:sdt>
        <w:sdt>
          <w:sdtPr>
            <w:tag w:val="_PLD_96c57a3220e8432f8deedb4873fcf29c"/>
            <w:id w:val="27841"/>
          </w:sdtPr>
          <w:sdtContent>
            <w:tc>
              <w:tcPr>
                <w:tcW w:w="755" w:type="pct"/>
                <w:vMerge w:val="restart"/>
                <w:shd w:val="clear" w:color="auto" w:fill="auto"/>
                <w:vAlign w:val="center"/>
              </w:tcPr>
              <w:p>
                <w:pPr>
                  <w:jc w:val="center"/>
                  <w:rPr>
                    <w:rFonts w:cs="Arial"/>
                    <w:szCs w:val="21"/>
                  </w:rPr>
                </w:pPr>
                <w:r>
                  <w:rPr>
                    <w:rFonts w:hint="eastAsia" w:cs="Arial"/>
                    <w:szCs w:val="21"/>
                    <w:lang w:val="en-GB"/>
                  </w:rPr>
                  <w:t>对合营企业或联营企业投资的会计处理方法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373" w:type="pct"/>
            <w:vMerge w:val="continue"/>
            <w:shd w:val="clear" w:color="auto" w:fill="auto"/>
            <w:vAlign w:val="center"/>
          </w:tcPr>
          <w:p>
            <w:pPr>
              <w:rPr>
                <w:rFonts w:cs="Arial"/>
                <w:szCs w:val="21"/>
              </w:rPr>
            </w:pPr>
          </w:p>
        </w:tc>
        <w:tc>
          <w:tcPr>
            <w:tcW w:w="745" w:type="pct"/>
            <w:vMerge w:val="continue"/>
            <w:shd w:val="clear" w:color="auto" w:fill="auto"/>
            <w:vAlign w:val="center"/>
          </w:tcPr>
          <w:p>
            <w:pPr>
              <w:rPr>
                <w:rFonts w:cs="Arial"/>
                <w:szCs w:val="21"/>
              </w:rPr>
            </w:pPr>
          </w:p>
        </w:tc>
        <w:tc>
          <w:tcPr>
            <w:tcW w:w="716" w:type="pct"/>
            <w:vMerge w:val="continue"/>
            <w:shd w:val="clear" w:color="auto" w:fill="auto"/>
            <w:vAlign w:val="center"/>
          </w:tcPr>
          <w:p>
            <w:pPr>
              <w:rPr>
                <w:rFonts w:cs="Arial"/>
                <w:szCs w:val="21"/>
              </w:rPr>
            </w:pPr>
          </w:p>
        </w:tc>
        <w:tc>
          <w:tcPr>
            <w:tcW w:w="550" w:type="pct"/>
            <w:vMerge w:val="continue"/>
            <w:shd w:val="clear" w:color="auto" w:fill="auto"/>
            <w:vAlign w:val="center"/>
          </w:tcPr>
          <w:p>
            <w:pPr>
              <w:rPr>
                <w:rFonts w:cs="Arial"/>
                <w:szCs w:val="21"/>
              </w:rPr>
            </w:pPr>
          </w:p>
        </w:tc>
        <w:sdt>
          <w:sdtPr>
            <w:tag w:val="_PLD_076e5c9e7ab64e6db098592664f75c64"/>
            <w:id w:val="27842"/>
          </w:sdtPr>
          <w:sdtContent>
            <w:tc>
              <w:tcPr>
                <w:tcW w:w="406" w:type="pct"/>
                <w:shd w:val="clear" w:color="auto" w:fill="auto"/>
                <w:vAlign w:val="center"/>
              </w:tcPr>
              <w:p>
                <w:pPr>
                  <w:jc w:val="center"/>
                  <w:rPr>
                    <w:rFonts w:cs="Arial"/>
                    <w:szCs w:val="21"/>
                  </w:rPr>
                </w:pPr>
                <w:r>
                  <w:rPr>
                    <w:rFonts w:hint="eastAsia" w:cs="Arial"/>
                    <w:szCs w:val="21"/>
                    <w:lang w:val="en-GB"/>
                  </w:rPr>
                  <w:t>直接</w:t>
                </w:r>
              </w:p>
            </w:tc>
          </w:sdtContent>
        </w:sdt>
        <w:sdt>
          <w:sdtPr>
            <w:tag w:val="_PLD_49b77f1690ee4cc88f829d510135f0bf"/>
            <w:id w:val="27843"/>
          </w:sdtPr>
          <w:sdtContent>
            <w:tc>
              <w:tcPr>
                <w:tcW w:w="453" w:type="pct"/>
                <w:shd w:val="clear" w:color="auto" w:fill="auto"/>
                <w:vAlign w:val="center"/>
              </w:tcPr>
              <w:p>
                <w:pPr>
                  <w:jc w:val="center"/>
                  <w:rPr>
                    <w:rFonts w:cs="Arial"/>
                    <w:szCs w:val="21"/>
                  </w:rPr>
                </w:pPr>
                <w:r>
                  <w:rPr>
                    <w:rFonts w:hint="eastAsia" w:cs="Arial"/>
                    <w:szCs w:val="21"/>
                    <w:lang w:val="en-GB"/>
                  </w:rPr>
                  <w:t>间接</w:t>
                </w:r>
              </w:p>
            </w:tc>
          </w:sdtContent>
        </w:sdt>
        <w:tc>
          <w:tcPr>
            <w:tcW w:w="755" w:type="pct"/>
            <w:vMerge w:val="continue"/>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pct"/>
            <w:vAlign w:val="center"/>
          </w:tcPr>
          <w:p>
            <w:pPr>
              <w:jc w:val="center"/>
              <w:rPr>
                <w:szCs w:val="21"/>
              </w:rPr>
            </w:pPr>
            <w:r>
              <w:t>成都同基医药有限公司</w:t>
            </w:r>
          </w:p>
        </w:tc>
        <w:tc>
          <w:tcPr>
            <w:tcW w:w="745" w:type="pct"/>
            <w:vAlign w:val="center"/>
          </w:tcPr>
          <w:p>
            <w:pPr>
              <w:jc w:val="center"/>
              <w:rPr>
                <w:szCs w:val="21"/>
              </w:rPr>
            </w:pPr>
            <w:r>
              <w:t>四川成都</w:t>
            </w:r>
          </w:p>
        </w:tc>
        <w:tc>
          <w:tcPr>
            <w:tcW w:w="716" w:type="pct"/>
            <w:vAlign w:val="center"/>
          </w:tcPr>
          <w:p>
            <w:pPr>
              <w:jc w:val="center"/>
              <w:rPr>
                <w:szCs w:val="21"/>
              </w:rPr>
            </w:pPr>
            <w:r>
              <w:t>四川成都</w:t>
            </w:r>
          </w:p>
        </w:tc>
        <w:tc>
          <w:tcPr>
            <w:tcW w:w="550" w:type="pct"/>
            <w:vAlign w:val="center"/>
          </w:tcPr>
          <w:p>
            <w:pPr>
              <w:jc w:val="center"/>
              <w:rPr>
                <w:szCs w:val="21"/>
              </w:rPr>
            </w:pPr>
            <w:r>
              <w:t>商业</w:t>
            </w:r>
          </w:p>
        </w:tc>
        <w:tc>
          <w:tcPr>
            <w:tcW w:w="406" w:type="pct"/>
            <w:vAlign w:val="center"/>
          </w:tcPr>
          <w:p>
            <w:pPr>
              <w:jc w:val="center"/>
              <w:rPr>
                <w:rFonts w:hint="default" w:ascii="Times New Roman" w:hAnsi="Times New Roman" w:cs="Times New Roman"/>
                <w:szCs w:val="21"/>
              </w:rPr>
            </w:pPr>
          </w:p>
        </w:tc>
        <w:tc>
          <w:tcPr>
            <w:tcW w:w="453" w:type="pct"/>
            <w:vAlign w:val="center"/>
          </w:tcPr>
          <w:p>
            <w:pPr>
              <w:jc w:val="center"/>
              <w:rPr>
                <w:rFonts w:hint="default" w:ascii="Times New Roman" w:hAnsi="Times New Roman" w:cs="Times New Roman"/>
                <w:szCs w:val="21"/>
              </w:rPr>
            </w:pPr>
            <w:r>
              <w:rPr>
                <w:rFonts w:hint="default" w:ascii="Times New Roman" w:hAnsi="Times New Roman" w:cs="Times New Roman"/>
              </w:rPr>
              <w:t>35</w:t>
            </w:r>
          </w:p>
        </w:tc>
        <w:tc>
          <w:tcPr>
            <w:tcW w:w="755" w:type="pct"/>
            <w:vAlign w:val="center"/>
          </w:tcPr>
          <w:p>
            <w:pPr>
              <w:jc w:val="center"/>
              <w:rPr>
                <w:szCs w:val="21"/>
              </w:rPr>
            </w:pPr>
            <w: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pct"/>
            <w:vAlign w:val="center"/>
          </w:tcPr>
          <w:p>
            <w:pPr>
              <w:jc w:val="center"/>
              <w:rPr>
                <w:szCs w:val="21"/>
              </w:rPr>
            </w:pPr>
            <w:r>
              <w:t>广西亿康南药药业种植有限责任公司</w:t>
            </w:r>
          </w:p>
        </w:tc>
        <w:tc>
          <w:tcPr>
            <w:tcW w:w="745" w:type="pct"/>
            <w:vAlign w:val="center"/>
          </w:tcPr>
          <w:p>
            <w:pPr>
              <w:jc w:val="center"/>
              <w:rPr>
                <w:szCs w:val="21"/>
              </w:rPr>
            </w:pPr>
            <w:r>
              <w:t>广西融水县</w:t>
            </w:r>
          </w:p>
        </w:tc>
        <w:tc>
          <w:tcPr>
            <w:tcW w:w="716" w:type="pct"/>
            <w:vAlign w:val="center"/>
          </w:tcPr>
          <w:p>
            <w:pPr>
              <w:jc w:val="center"/>
              <w:rPr>
                <w:szCs w:val="21"/>
              </w:rPr>
            </w:pPr>
            <w:r>
              <w:t>广西融水县</w:t>
            </w:r>
          </w:p>
        </w:tc>
        <w:tc>
          <w:tcPr>
            <w:tcW w:w="550" w:type="pct"/>
            <w:vAlign w:val="center"/>
          </w:tcPr>
          <w:p>
            <w:pPr>
              <w:jc w:val="center"/>
              <w:rPr>
                <w:szCs w:val="21"/>
              </w:rPr>
            </w:pPr>
            <w:r>
              <w:t>制造业</w:t>
            </w:r>
          </w:p>
        </w:tc>
        <w:tc>
          <w:tcPr>
            <w:tcW w:w="406" w:type="pct"/>
            <w:vAlign w:val="center"/>
          </w:tcPr>
          <w:p>
            <w:pPr>
              <w:jc w:val="center"/>
              <w:rPr>
                <w:rFonts w:hint="default" w:ascii="Times New Roman" w:hAnsi="Times New Roman" w:cs="Times New Roman"/>
                <w:szCs w:val="21"/>
              </w:rPr>
            </w:pPr>
          </w:p>
        </w:tc>
        <w:tc>
          <w:tcPr>
            <w:tcW w:w="453" w:type="pct"/>
            <w:vAlign w:val="center"/>
          </w:tcPr>
          <w:p>
            <w:pPr>
              <w:jc w:val="center"/>
              <w:rPr>
                <w:rFonts w:hint="default" w:ascii="Times New Roman" w:hAnsi="Times New Roman" w:cs="Times New Roman"/>
                <w:szCs w:val="21"/>
              </w:rPr>
            </w:pPr>
            <w:r>
              <w:rPr>
                <w:rFonts w:hint="default" w:ascii="Times New Roman" w:hAnsi="Times New Roman" w:cs="Times New Roman"/>
              </w:rPr>
              <w:t>40</w:t>
            </w:r>
          </w:p>
        </w:tc>
        <w:tc>
          <w:tcPr>
            <w:tcW w:w="755" w:type="pct"/>
            <w:vAlign w:val="center"/>
          </w:tcPr>
          <w:p>
            <w:pPr>
              <w:jc w:val="center"/>
              <w:rPr>
                <w:szCs w:val="21"/>
              </w:rPr>
            </w:pPr>
            <w: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pct"/>
            <w:vAlign w:val="center"/>
          </w:tcPr>
          <w:p>
            <w:pPr>
              <w:jc w:val="center"/>
              <w:rPr>
                <w:szCs w:val="21"/>
              </w:rPr>
            </w:pPr>
            <w:r>
              <w:t>柳州市玉洁口腔卫生用品有限责任公司</w:t>
            </w:r>
          </w:p>
        </w:tc>
        <w:tc>
          <w:tcPr>
            <w:tcW w:w="745" w:type="pct"/>
            <w:vAlign w:val="center"/>
          </w:tcPr>
          <w:p>
            <w:pPr>
              <w:jc w:val="center"/>
              <w:rPr>
                <w:szCs w:val="21"/>
              </w:rPr>
            </w:pPr>
            <w:r>
              <w:t>广西柳州市</w:t>
            </w:r>
          </w:p>
        </w:tc>
        <w:tc>
          <w:tcPr>
            <w:tcW w:w="716" w:type="pct"/>
            <w:vAlign w:val="center"/>
          </w:tcPr>
          <w:p>
            <w:pPr>
              <w:jc w:val="center"/>
              <w:rPr>
                <w:szCs w:val="21"/>
              </w:rPr>
            </w:pPr>
            <w:r>
              <w:t>广西柳州市</w:t>
            </w:r>
          </w:p>
        </w:tc>
        <w:tc>
          <w:tcPr>
            <w:tcW w:w="550" w:type="pct"/>
            <w:vAlign w:val="center"/>
          </w:tcPr>
          <w:p>
            <w:pPr>
              <w:jc w:val="center"/>
              <w:rPr>
                <w:szCs w:val="21"/>
              </w:rPr>
            </w:pPr>
            <w:r>
              <w:t>制造业</w:t>
            </w:r>
          </w:p>
        </w:tc>
        <w:tc>
          <w:tcPr>
            <w:tcW w:w="406" w:type="pct"/>
            <w:vAlign w:val="center"/>
          </w:tcPr>
          <w:p>
            <w:pPr>
              <w:jc w:val="center"/>
              <w:rPr>
                <w:rFonts w:hint="default" w:ascii="Times New Roman" w:hAnsi="Times New Roman" w:cs="Times New Roman"/>
                <w:szCs w:val="21"/>
              </w:rPr>
            </w:pPr>
            <w:r>
              <w:rPr>
                <w:rFonts w:hint="default" w:ascii="Times New Roman" w:hAnsi="Times New Roman" w:cs="Times New Roman"/>
              </w:rPr>
              <w:t>40</w:t>
            </w:r>
          </w:p>
        </w:tc>
        <w:tc>
          <w:tcPr>
            <w:tcW w:w="453" w:type="pct"/>
            <w:vAlign w:val="center"/>
          </w:tcPr>
          <w:p>
            <w:pPr>
              <w:jc w:val="center"/>
              <w:rPr>
                <w:rFonts w:hint="default" w:ascii="Times New Roman" w:hAnsi="Times New Roman" w:cs="Times New Roman"/>
                <w:szCs w:val="21"/>
              </w:rPr>
            </w:pPr>
          </w:p>
        </w:tc>
        <w:tc>
          <w:tcPr>
            <w:tcW w:w="755" w:type="pct"/>
            <w:vAlign w:val="center"/>
          </w:tcPr>
          <w:p>
            <w:pPr>
              <w:jc w:val="center"/>
              <w:rPr>
                <w:szCs w:val="21"/>
              </w:rPr>
            </w:pPr>
            <w: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pct"/>
            <w:vAlign w:val="center"/>
          </w:tcPr>
          <w:p>
            <w:pPr>
              <w:jc w:val="center"/>
              <w:rPr>
                <w:szCs w:val="21"/>
              </w:rPr>
            </w:pPr>
            <w:r>
              <w:t>广西两面针九洲房地产开发有限公司</w:t>
            </w:r>
          </w:p>
        </w:tc>
        <w:tc>
          <w:tcPr>
            <w:tcW w:w="745" w:type="pct"/>
            <w:vAlign w:val="center"/>
          </w:tcPr>
          <w:p>
            <w:pPr>
              <w:jc w:val="center"/>
              <w:rPr>
                <w:szCs w:val="21"/>
              </w:rPr>
            </w:pPr>
            <w:r>
              <w:t>广西柳州市</w:t>
            </w:r>
          </w:p>
        </w:tc>
        <w:tc>
          <w:tcPr>
            <w:tcW w:w="716" w:type="pct"/>
            <w:vAlign w:val="center"/>
          </w:tcPr>
          <w:p>
            <w:pPr>
              <w:jc w:val="center"/>
              <w:rPr>
                <w:szCs w:val="21"/>
              </w:rPr>
            </w:pPr>
            <w:r>
              <w:t>广西柳州市</w:t>
            </w:r>
          </w:p>
        </w:tc>
        <w:tc>
          <w:tcPr>
            <w:tcW w:w="550" w:type="pct"/>
            <w:vAlign w:val="center"/>
          </w:tcPr>
          <w:p>
            <w:pPr>
              <w:jc w:val="center"/>
              <w:rPr>
                <w:szCs w:val="21"/>
              </w:rPr>
            </w:pPr>
            <w:r>
              <w:t>房地产</w:t>
            </w:r>
          </w:p>
        </w:tc>
        <w:tc>
          <w:tcPr>
            <w:tcW w:w="406" w:type="pct"/>
            <w:vAlign w:val="center"/>
          </w:tcPr>
          <w:p>
            <w:pPr>
              <w:jc w:val="center"/>
              <w:rPr>
                <w:rFonts w:hint="default" w:ascii="Times New Roman" w:hAnsi="Times New Roman" w:cs="Times New Roman"/>
                <w:szCs w:val="21"/>
              </w:rPr>
            </w:pPr>
            <w:r>
              <w:rPr>
                <w:rFonts w:hint="default" w:ascii="Times New Roman" w:hAnsi="Times New Roman" w:cs="Times New Roman"/>
              </w:rPr>
              <w:t>41</w:t>
            </w:r>
          </w:p>
        </w:tc>
        <w:tc>
          <w:tcPr>
            <w:tcW w:w="453" w:type="pct"/>
            <w:vAlign w:val="center"/>
          </w:tcPr>
          <w:p>
            <w:pPr>
              <w:jc w:val="center"/>
              <w:rPr>
                <w:rFonts w:hint="default" w:ascii="Times New Roman" w:hAnsi="Times New Roman" w:cs="Times New Roman"/>
                <w:szCs w:val="21"/>
              </w:rPr>
            </w:pPr>
          </w:p>
        </w:tc>
        <w:tc>
          <w:tcPr>
            <w:tcW w:w="755" w:type="pct"/>
            <w:vAlign w:val="center"/>
          </w:tcPr>
          <w:p>
            <w:pPr>
              <w:jc w:val="center"/>
              <w:rPr>
                <w:szCs w:val="21"/>
              </w:rPr>
            </w:pPr>
            <w: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pct"/>
            <w:vAlign w:val="center"/>
          </w:tcPr>
          <w:p>
            <w:pPr>
              <w:jc w:val="center"/>
              <w:rPr>
                <w:szCs w:val="21"/>
              </w:rPr>
            </w:pPr>
            <w:r>
              <w:t>柳州两面针洗涤用品厂</w:t>
            </w:r>
          </w:p>
        </w:tc>
        <w:tc>
          <w:tcPr>
            <w:tcW w:w="745" w:type="pct"/>
            <w:vAlign w:val="center"/>
          </w:tcPr>
          <w:p>
            <w:pPr>
              <w:jc w:val="center"/>
              <w:rPr>
                <w:szCs w:val="21"/>
              </w:rPr>
            </w:pPr>
            <w:r>
              <w:t>广西柳州市</w:t>
            </w:r>
          </w:p>
        </w:tc>
        <w:tc>
          <w:tcPr>
            <w:tcW w:w="716" w:type="pct"/>
            <w:vAlign w:val="center"/>
          </w:tcPr>
          <w:p>
            <w:pPr>
              <w:jc w:val="center"/>
              <w:rPr>
                <w:szCs w:val="21"/>
              </w:rPr>
            </w:pPr>
            <w:r>
              <w:t>广西柳州市</w:t>
            </w:r>
          </w:p>
        </w:tc>
        <w:tc>
          <w:tcPr>
            <w:tcW w:w="550" w:type="pct"/>
            <w:vAlign w:val="center"/>
          </w:tcPr>
          <w:p>
            <w:pPr>
              <w:jc w:val="center"/>
              <w:rPr>
                <w:szCs w:val="21"/>
              </w:rPr>
            </w:pPr>
            <w:r>
              <w:t>制造业</w:t>
            </w:r>
          </w:p>
        </w:tc>
        <w:tc>
          <w:tcPr>
            <w:tcW w:w="406" w:type="pct"/>
            <w:vAlign w:val="center"/>
          </w:tcPr>
          <w:p>
            <w:pPr>
              <w:jc w:val="center"/>
              <w:rPr>
                <w:rFonts w:hint="default" w:ascii="Times New Roman" w:hAnsi="Times New Roman" w:cs="Times New Roman"/>
                <w:szCs w:val="21"/>
              </w:rPr>
            </w:pPr>
          </w:p>
        </w:tc>
        <w:tc>
          <w:tcPr>
            <w:tcW w:w="453" w:type="pct"/>
            <w:vAlign w:val="center"/>
          </w:tcPr>
          <w:p>
            <w:pPr>
              <w:jc w:val="center"/>
              <w:rPr>
                <w:rFonts w:hint="default" w:ascii="Times New Roman" w:hAnsi="Times New Roman" w:cs="Times New Roman"/>
                <w:szCs w:val="21"/>
              </w:rPr>
            </w:pPr>
          </w:p>
        </w:tc>
        <w:tc>
          <w:tcPr>
            <w:tcW w:w="755" w:type="pct"/>
            <w:vAlign w:val="center"/>
          </w:tcPr>
          <w:p>
            <w:pPr>
              <w:jc w:val="center"/>
              <w:rPr>
                <w:szCs w:val="21"/>
              </w:rPr>
            </w:pPr>
          </w:p>
        </w:tc>
      </w:tr>
    </w:tbl>
    <w:p>
      <w:pPr>
        <w:rPr>
          <w:rFonts w:ascii="Times New Roman" w:hAnsi="Times New Roman"/>
          <w:sz w:val="21"/>
        </w:rPr>
      </w:pPr>
    </w:p>
    <w:p>
      <w:pPr>
        <w:rPr>
          <w:rFonts w:ascii="Times New Roman" w:hAnsi="Times New Roman" w:cs="Arial"/>
          <w:sz w:val="21"/>
          <w:szCs w:val="21"/>
        </w:rPr>
      </w:pPr>
      <w:r>
        <w:rPr>
          <w:rFonts w:hint="eastAsia" w:ascii="Times New Roman" w:hAnsi="Times New Roman" w:cs="Arial"/>
          <w:sz w:val="21"/>
          <w:szCs w:val="21"/>
        </w:rPr>
        <w:t>在合营企业或联营企业的持股比例不同于表决权比例的说明：</w:t>
      </w:r>
    </w:p>
    <w:p>
      <w:pPr>
        <w:rPr>
          <w:rFonts w:ascii="Times New Roman" w:hAnsi="Times New Roman" w:cs="Arial"/>
          <w:sz w:val="21"/>
          <w:szCs w:val="21"/>
        </w:rPr>
      </w:pPr>
      <w:sdt>
        <w:sdtPr>
          <w:rPr>
            <w:rFonts w:ascii="Times New Roman" w:hAnsi="Times New Roman" w:cs="Arial"/>
            <w:sz w:val="21"/>
            <w:szCs w:val="21"/>
          </w:rPr>
          <w:alias w:val="在合营企业或联营企业的持股比例不同于表决权比例的说明"/>
          <w:tag w:val="_GBC_b18385c11aff4424b360bd0cb4f81376"/>
          <w:id w:val="27844"/>
          <w:placeholder>
            <w:docPart w:val="GBC22222222222222222222222222222"/>
          </w:placeholder>
        </w:sdtPr>
        <w:sdtEndPr>
          <w:rPr>
            <w:rFonts w:ascii="Times New Roman" w:hAnsi="Times New Roman" w:cs="Arial"/>
            <w:sz w:val="21"/>
            <w:szCs w:val="21"/>
          </w:rPr>
        </w:sdtEndPr>
        <w:sdtContent>
          <w:r>
            <w:rPr>
              <w:rFonts w:hint="eastAsia" w:ascii="Times New Roman" w:hAnsi="Times New Roman" w:cs="Arial"/>
              <w:sz w:val="21"/>
              <w:szCs w:val="21"/>
              <w:lang w:eastAsia="zh-CN"/>
            </w:rPr>
            <w:t>无</w:t>
          </w:r>
        </w:sdtContent>
      </w:sdt>
    </w:p>
    <w:p>
      <w:pPr>
        <w:rPr>
          <w:rFonts w:ascii="Times New Roman" w:hAnsi="Times New Roman" w:cs="Arial"/>
          <w:sz w:val="21"/>
          <w:szCs w:val="21"/>
        </w:rPr>
      </w:pPr>
    </w:p>
    <w:p>
      <w:pPr>
        <w:rPr>
          <w:rFonts w:ascii="Times New Roman" w:hAnsi="Times New Roman" w:cs="Arial"/>
          <w:sz w:val="21"/>
          <w:szCs w:val="21"/>
        </w:rPr>
      </w:pPr>
      <w:r>
        <w:rPr>
          <w:rFonts w:hint="eastAsia" w:ascii="Times New Roman" w:hAnsi="Times New Roman" w:cs="Arial"/>
          <w:sz w:val="21"/>
          <w:szCs w:val="21"/>
        </w:rPr>
        <w:t>持有</w:t>
      </w:r>
      <w:r>
        <w:rPr>
          <w:rFonts w:ascii="Times New Roman" w:hAnsi="Times New Roman" w:cs="Arial"/>
          <w:sz w:val="21"/>
          <w:szCs w:val="21"/>
        </w:rPr>
        <w:t>20%以下表决权但具有重大影响，或者持有20%或以上表决权但不具有重大影响的依据：</w:t>
      </w:r>
    </w:p>
    <w:sdt>
      <w:sdtPr>
        <w:rPr>
          <w:rFonts w:ascii="Times New Roman" w:hAnsi="Times New Roman" w:cs="Arial"/>
          <w:sz w:val="21"/>
          <w:szCs w:val="21"/>
        </w:rPr>
        <w:alias w:val="持有20%以下表决权但具有重大影响，或者持有20%或以上表决权但不具有重大影响的依据"/>
        <w:tag w:val="_GBC_08a71a8c491f4c758da0748f7570fb28"/>
        <w:id w:val="27845"/>
        <w:placeholder>
          <w:docPart w:val="GBC22222222222222222222222222222"/>
        </w:placeholder>
      </w:sdtPr>
      <w:sdtEndPr>
        <w:rPr>
          <w:rFonts w:ascii="Times New Roman" w:hAnsi="Times New Roman" w:cs="Arial"/>
          <w:sz w:val="21"/>
          <w:szCs w:val="21"/>
        </w:rPr>
      </w:sdtEndPr>
      <w:sdtContent>
        <w:p>
          <w:pPr>
            <w:rPr>
              <w:rFonts w:hint="eastAsia" w:ascii="Times New Roman" w:hAnsi="Times New Roman" w:cs="Arial"/>
              <w:sz w:val="21"/>
              <w:szCs w:val="21"/>
              <w:lang w:eastAsia="zh-CN"/>
            </w:rPr>
          </w:pPr>
          <w:r>
            <w:rPr>
              <w:rFonts w:hint="eastAsia" w:ascii="Times New Roman" w:hAnsi="Times New Roman" w:cs="Arial"/>
              <w:sz w:val="21"/>
              <w:szCs w:val="21"/>
              <w:lang w:eastAsia="zh-CN"/>
            </w:rPr>
            <w:t>无</w:t>
          </w:r>
        </w:p>
        <w:p>
          <w:pPr>
            <w:rPr>
              <w:rFonts w:ascii="Times New Roman" w:hAnsi="Times New Roman" w:cs="Arial"/>
              <w:sz w:val="21"/>
              <w:szCs w:val="21"/>
            </w:rPr>
          </w:pPr>
        </w:p>
      </w:sdtContent>
    </w:sdt>
    <w:p>
      <w:pPr>
        <w:rPr>
          <w:rFonts w:ascii="Times New Roman" w:hAnsi="Times New Roman" w:cstheme="minorBidi"/>
          <w:sz w:val="21"/>
          <w:szCs w:val="21"/>
        </w:rPr>
      </w:pPr>
      <w:r>
        <w:rPr>
          <w:rFonts w:hint="eastAsia" w:ascii="宋体" w:hAnsi="宋体" w:eastAsia="宋体" w:cstheme="minorBidi"/>
          <w:szCs w:val="21"/>
        </w:rPr>
        <w:t>其他说明：</w:t>
      </w:r>
    </w:p>
    <w:p>
      <w:pPr>
        <w:rPr>
          <w:rFonts w:hint="eastAsia" w:ascii="Times New Roman" w:hAnsi="Times New Roman" w:eastAsia="宋体" w:cs="Arial"/>
          <w:sz w:val="21"/>
          <w:szCs w:val="24"/>
        </w:rPr>
      </w:pPr>
      <w:r>
        <w:rPr>
          <w:rFonts w:hint="eastAsia" w:ascii="Times New Roman" w:hAnsi="Times New Roman" w:eastAsia="宋体" w:cs="Arial"/>
          <w:sz w:val="21"/>
          <w:szCs w:val="24"/>
        </w:rPr>
        <w:t>柳州两面针洗涤用品厂系本公司的合作企业，合作双方根据合同和章程的约定经营，本公司以品牌投入，对其无股权投资关系，根据其公司章程规定，本公司享有51%的收益分配权。</w:t>
      </w:r>
    </w:p>
    <w:p>
      <w:pPr>
        <w:rPr>
          <w:rFonts w:hint="eastAsia" w:ascii="Times New Roman" w:hAnsi="Times New Roman" w:eastAsia="宋体" w:cs="Arial"/>
          <w:sz w:val="21"/>
          <w:szCs w:val="24"/>
        </w:rPr>
      </w:pPr>
    </w:p>
    <w:p>
      <w:pPr>
        <w:pStyle w:val="196"/>
        <w:numPr>
          <w:ilvl w:val="3"/>
          <w:numId w:val="115"/>
        </w:numPr>
        <w:ind w:left="424" w:hanging="424" w:hangingChars="201"/>
      </w:pPr>
      <w:r>
        <w:rPr>
          <w:rFonts w:hint="eastAsia"/>
        </w:rPr>
        <w:t>重要合营企业的主要财务信息</w:t>
      </w:r>
    </w:p>
    <w:sdt>
      <w:sdtPr>
        <w:rPr>
          <w:rFonts w:hint="eastAsia"/>
        </w:rPr>
        <w:alias w:val="是否适用：重要合营企业的主要财务信息[双击切换]"/>
        <w:tag w:val="_GBC_8218a872fcd045d290940ccf3b3bdfa5"/>
        <w:id w:val="27846"/>
        <w:placeholder>
          <w:docPart w:val="GBC22222222222222222222222222222"/>
        </w:placeholder>
      </w:sdtPr>
      <w:sdtEndPr>
        <w:rPr>
          <w:rFonts w:hint="eastAsia"/>
        </w:rPr>
      </w:sdtEndPr>
      <w:sdtContent>
        <w:p>
          <w:pPr>
            <w:outlineLvl w:val="9"/>
            <w:rPr>
              <w:rFonts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theme="minorBidi"/>
          <w:szCs w:val="21"/>
        </w:rPr>
      </w:pPr>
    </w:p>
    <w:p>
      <w:pPr>
        <w:pStyle w:val="196"/>
        <w:numPr>
          <w:ilvl w:val="3"/>
          <w:numId w:val="115"/>
        </w:numPr>
        <w:ind w:left="424" w:hanging="424" w:hangingChars="201"/>
      </w:pPr>
      <w:r>
        <w:rPr>
          <w:rFonts w:hint="eastAsia"/>
        </w:rPr>
        <w:t>重要联营企业的主要财务信息</w:t>
      </w:r>
    </w:p>
    <w:sdt>
      <w:sdtPr>
        <w:rPr>
          <w:rFonts w:hint="eastAsia"/>
        </w:rPr>
        <w:alias w:val="是否适用：重要联营企业的主要财务信息[双击切换]"/>
        <w:tag w:val="_GBC_e570958be6b64b7d8be73c12ea5135f1"/>
        <w:id w:val="27847"/>
        <w:placeholder>
          <w:docPart w:val="GBC22222222222222222222222222222"/>
        </w:placeholder>
      </w:sdtPr>
      <w:sdtEndPr>
        <w:rPr>
          <w:rFonts w:hint="eastAsia"/>
        </w:rPr>
      </w:sdtEndPr>
      <w:sdtContent>
        <w:p>
          <w:pPr>
            <w:outlineLvl w:val="9"/>
            <w:rPr>
              <w:rFonts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szCs w:val="21"/>
        </w:rPr>
      </w:pPr>
    </w:p>
    <w:p>
      <w:pPr>
        <w:pStyle w:val="196"/>
        <w:numPr>
          <w:ilvl w:val="3"/>
          <w:numId w:val="115"/>
        </w:numPr>
        <w:ind w:left="424" w:hanging="426" w:hangingChars="202"/>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7848"/>
        <w:placeholder>
          <w:docPart w:val="GBC22222222222222222222222222222"/>
        </w:placeholder>
      </w:sdtPr>
      <w:sdtEndPr>
        <w:rPr>
          <w:rFonts w:hint="eastAsia"/>
        </w:rPr>
      </w:sdtEndPr>
      <w:sdtContent>
        <w:p>
          <w:pPr>
            <w:outlineLvl w:val="9"/>
            <w:rPr>
              <w:rFonts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szCs w:val="21"/>
        </w:rPr>
      </w:pPr>
    </w:p>
    <w:p>
      <w:pPr>
        <w:pStyle w:val="196"/>
        <w:numPr>
          <w:ilvl w:val="3"/>
          <w:numId w:val="115"/>
        </w:numPr>
        <w:ind w:left="424" w:hanging="426" w:hangingChars="202"/>
      </w:pPr>
      <w:r>
        <w:rPr>
          <w:rFonts w:hint="eastAsia"/>
        </w:rPr>
        <w:t>合营企业或联营企业向本公司转移资金的能力存在重大限制的说明</w:t>
      </w:r>
    </w:p>
    <w:sdt>
      <w:sdtPr>
        <w:rPr>
          <w:rFonts w:hint="eastAsia" w:cs="Arial"/>
          <w:szCs w:val="21"/>
        </w:rPr>
        <w:alias w:val="是否适用：合营企业或联营企业向本公司转移资金的能力存在重大限制的说明[双击切换]"/>
        <w:tag w:val="_GBC_6adf336cbf6141a59d29de2be4c5a55b"/>
        <w:id w:val="27849"/>
        <w:placeholder>
          <w:docPart w:val="GBC22222222222222222222222222222"/>
        </w:placeholder>
      </w:sdtPr>
      <w:sdtEndPr>
        <w:rPr>
          <w:rFonts w:hint="eastAsia" w:cs="Arial"/>
          <w:szCs w:val="21"/>
        </w:rPr>
      </w:sdtEndPr>
      <w:sdtContent>
        <w:p>
          <w:pPr>
            <w:outlineLvl w:val="9"/>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szCs w:val="21"/>
        </w:rPr>
      </w:pPr>
    </w:p>
    <w:p>
      <w:pPr>
        <w:pStyle w:val="196"/>
        <w:numPr>
          <w:ilvl w:val="3"/>
          <w:numId w:val="115"/>
        </w:numPr>
        <w:ind w:left="424" w:hanging="426" w:hangingChars="202"/>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27850"/>
        <w:placeholder>
          <w:docPart w:val="GBC22222222222222222222222222222"/>
        </w:placeholder>
      </w:sdtPr>
      <w:sdtEndPr>
        <w:rPr>
          <w:rFonts w:hint="eastAsia"/>
        </w:rPr>
      </w:sdtEndPr>
      <w:sdtContent>
        <w:p>
          <w:pPr>
            <w:outlineLvl w:val="9"/>
            <w:rPr>
              <w:rFonts w:cs="Arial"/>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szCs w:val="21"/>
        </w:rPr>
      </w:pPr>
    </w:p>
    <w:p>
      <w:pPr>
        <w:pStyle w:val="196"/>
        <w:numPr>
          <w:ilvl w:val="3"/>
          <w:numId w:val="115"/>
        </w:numPr>
        <w:ind w:left="424" w:hanging="426" w:hangingChars="202"/>
      </w:pPr>
      <w:r>
        <w:rPr>
          <w:rFonts w:hint="eastAsia"/>
        </w:rPr>
        <w:t>与合营企业</w:t>
      </w:r>
      <w:r>
        <w:rPr>
          <w:rFonts w:hint="eastAsia" w:ascii="宋体" w:hAnsi="宋体"/>
        </w:rPr>
        <w:t>投资</w:t>
      </w:r>
      <w:r>
        <w:rPr>
          <w:rFonts w:hint="eastAsia"/>
        </w:rPr>
        <w:t>相关的未确认承诺</w:t>
      </w:r>
    </w:p>
    <w:sdt>
      <w:sdtPr>
        <w:rPr>
          <w:rFonts w:hint="eastAsia" w:cs="Arial"/>
          <w:szCs w:val="21"/>
        </w:rPr>
        <w:alias w:val="是否适用：与合营企业投资相关的未确认承诺[双击切换]"/>
        <w:tag w:val="_GBC_31e45f9d52434cea9a9a27d328e562ec"/>
        <w:id w:val="27851"/>
        <w:placeholder>
          <w:docPart w:val="GBC22222222222222222222222222222"/>
        </w:placeholder>
      </w:sdtPr>
      <w:sdtEndPr>
        <w:rPr>
          <w:rFonts w:hint="eastAsia" w:cs="Arial"/>
          <w:szCs w:val="21"/>
        </w:rPr>
      </w:sdtEndPr>
      <w:sdtContent>
        <w:p>
          <w:pPr>
            <w:outlineLvl w:val="9"/>
            <w:rPr>
              <w:rFonts w:cs="Arial"/>
              <w:szCs w:val="21"/>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szCs w:val="21"/>
        </w:rPr>
      </w:pPr>
    </w:p>
    <w:p>
      <w:pPr>
        <w:pStyle w:val="196"/>
        <w:numPr>
          <w:ilvl w:val="3"/>
          <w:numId w:val="115"/>
        </w:numPr>
        <w:ind w:left="424" w:hanging="426" w:hangingChars="202"/>
      </w:pPr>
      <w:r>
        <w:rPr>
          <w:rFonts w:hint="eastAsia"/>
        </w:rPr>
        <w:t>与合营企业或联营企业投资相关的或有负债</w:t>
      </w:r>
    </w:p>
    <w:sdt>
      <w:sdtPr>
        <w:rPr>
          <w:rFonts w:hint="eastAsia" w:cs="Arial"/>
          <w:szCs w:val="21"/>
        </w:rPr>
        <w:alias w:val="是否适用：与合营企业或联营企业投资相关的或有负债[双击切换]"/>
        <w:tag w:val="_GBC_d3c6dfcab3ab42afb854d4ea2e7c9b9f"/>
        <w:id w:val="27852"/>
        <w:placeholder>
          <w:docPart w:val="GBC22222222222222222222222222222"/>
        </w:placeholder>
      </w:sdtPr>
      <w:sdtEndPr>
        <w:rPr>
          <w:rFonts w:hint="eastAsia" w:cs="Arial"/>
          <w:szCs w:val="21"/>
        </w:rPr>
      </w:sdtEndPr>
      <w:sdtContent>
        <w:p>
          <w:pPr>
            <w:outlineLvl w:val="9"/>
            <w:rPr>
              <w:rFonts w:cs="Arial"/>
              <w:szCs w:val="21"/>
            </w:rPr>
          </w:pPr>
          <w:r>
            <w:rPr>
              <w:rFonts w:cs="Arial"/>
              <w:szCs w:val="21"/>
            </w:rPr>
            <w:fldChar w:fldCharType="begin"/>
          </w:r>
          <w:r>
            <w:rPr>
              <w:rFonts w:hint="eastAsia" w:cs="Arial"/>
              <w:szCs w:val="21"/>
              <w:lang w:eastAsia="zh-CN"/>
            </w:rPr>
            <w:instrText xml:space="preserve"> 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szCs w:val="21"/>
        </w:rPr>
      </w:pPr>
    </w:p>
    <w:p>
      <w:pPr>
        <w:pStyle w:val="229"/>
        <w:numPr>
          <w:ilvl w:val="2"/>
          <w:numId w:val="113"/>
        </w:numPr>
        <w:rPr>
          <w:rFonts w:ascii="宋体" w:hAnsi="宋体" w:cs="Arial"/>
          <w:szCs w:val="21"/>
        </w:rPr>
      </w:pPr>
      <w:r>
        <w:rPr>
          <w:rFonts w:hint="eastAsia" w:ascii="宋体" w:hAnsi="宋体" w:cs="Arial"/>
          <w:szCs w:val="21"/>
        </w:rPr>
        <w:t>重要的共同经营</w:t>
      </w:r>
    </w:p>
    <w:sdt>
      <w:sdtPr>
        <w:alias w:val="是否适用：重要的共同经营[双击切换]"/>
        <w:tag w:val="_GBC_8a0341a844454c89848e95b9c64a8efb"/>
        <w:id w:val="27853"/>
        <w:placeholder>
          <w:docPart w:val="GBC22222222222222222222222222222"/>
        </w:placeholder>
      </w:sdtPr>
      <w:sdtContent>
        <w:p>
          <w:pPr>
            <w:outlineLvl w:val="9"/>
            <w:rPr>
              <w:rFonts w:cs="Arial"/>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cs="Arial"/>
          <w:szCs w:val="21"/>
        </w:rPr>
      </w:pPr>
    </w:p>
    <w:p>
      <w:pPr>
        <w:pStyle w:val="229"/>
        <w:numPr>
          <w:ilvl w:val="2"/>
          <w:numId w:val="113"/>
        </w:numPr>
        <w:rPr>
          <w:rFonts w:ascii="宋体" w:hAnsi="宋体" w:cs="Arial"/>
          <w:szCs w:val="21"/>
        </w:rPr>
      </w:pPr>
      <w:r>
        <w:rPr>
          <w:rFonts w:hint="eastAsia" w:ascii="宋体" w:hAnsi="宋体" w:cs="Arial"/>
          <w:szCs w:val="21"/>
        </w:rPr>
        <w:t>在未纳入合并财务报表范围的结构化主体中的权益</w:t>
      </w:r>
    </w:p>
    <w:p>
      <w:pPr>
        <w:rPr>
          <w:rFonts w:cs="Arial"/>
          <w:szCs w:val="21"/>
        </w:rPr>
      </w:pPr>
      <w:r>
        <w:rPr>
          <w:rFonts w:hint="eastAsia" w:cs="Arial"/>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7854"/>
        <w:placeholder>
          <w:docPart w:val="GBC22222222222222222222222222222"/>
        </w:placeholder>
      </w:sdtPr>
      <w:sdtEndPr>
        <w:rPr>
          <w:rFonts w:cs="Arial"/>
          <w:szCs w:val="21"/>
        </w:rPr>
      </w:sdtEndPr>
      <w:sdtContent>
        <w:p>
          <w:pPr>
            <w:outlineLvl w:val="9"/>
            <w:rPr>
              <w:rFonts w:cs="Arial"/>
              <w:szCs w:val="21"/>
            </w:rPr>
          </w:pPr>
          <w:r>
            <w:rPr>
              <w:rFonts w:cs="Arial"/>
              <w:szCs w:val="21"/>
            </w:rPr>
            <w:fldChar w:fldCharType="begin"/>
          </w:r>
          <w:r>
            <w:rPr>
              <w:rFonts w:hint="eastAsia" w:cs="Arial"/>
              <w:szCs w:val="21"/>
              <w:lang w:eastAsia="zh-CN"/>
            </w:rPr>
            <w:instrText xml:space="preserve">MACROBUTTON  SnrToggleCheckbox □适用 </w:instrText>
          </w:r>
          <w:r>
            <w:rPr>
              <w:rFonts w:cs="Arial"/>
              <w:szCs w:val="21"/>
            </w:rPr>
            <w:fldChar w:fldCharType="end"/>
          </w:r>
          <w:r>
            <w:rPr>
              <w:rFonts w:cs="Arial"/>
              <w:szCs w:val="21"/>
            </w:rPr>
            <w:fldChar w:fldCharType="begin"/>
          </w:r>
          <w:r>
            <w:rPr>
              <w:rFonts w:hint="eastAsia" w:cs="Arial"/>
              <w:szCs w:val="21"/>
              <w:lang w:eastAsia="zh-CN"/>
            </w:rPr>
            <w:instrText xml:space="preserve"> MACROBUTTON  SnrToggleCheckbox √不适用 </w:instrText>
          </w:r>
          <w:r>
            <w:rPr>
              <w:rFonts w:cs="Arial"/>
              <w:szCs w:val="21"/>
            </w:rPr>
            <w:fldChar w:fldCharType="end"/>
          </w:r>
        </w:p>
      </w:sdtContent>
    </w:sdt>
    <w:p>
      <w:pPr>
        <w:rPr>
          <w:rFonts w:cs="Arial"/>
          <w:szCs w:val="21"/>
        </w:rPr>
      </w:pPr>
    </w:p>
    <w:p>
      <w:pPr>
        <w:pStyle w:val="229"/>
        <w:numPr>
          <w:ilvl w:val="2"/>
          <w:numId w:val="113"/>
        </w:numPr>
        <w:rPr>
          <w:rFonts w:ascii="宋体" w:hAnsi="宋体" w:cs="Arial"/>
          <w:szCs w:val="21"/>
        </w:rPr>
      </w:pPr>
      <w:r>
        <w:rPr>
          <w:rFonts w:hint="eastAsia" w:ascii="宋体" w:hAnsi="宋体" w:cs="Arial"/>
          <w:szCs w:val="21"/>
        </w:rPr>
        <w:t>其他</w:t>
      </w:r>
    </w:p>
    <w:sdt>
      <w:sdtPr>
        <w:rPr>
          <w:rFonts w:hint="eastAsia"/>
        </w:rPr>
        <w:alias w:val="是否适用：在其他主体中的权益其他需要说明的事项[双击切换]"/>
        <w:tag w:val="_GBC_f97a284e61d54ed588c46ec336af6ef8"/>
        <w:id w:val="27855"/>
        <w:placeholder>
          <w:docPart w:val="GBC22222222222222222222222222222"/>
        </w:placeholder>
      </w:sdtPr>
      <w:sdtEndPr>
        <w:rPr>
          <w:rFonts w:hint="eastAsia"/>
        </w:rPr>
      </w:sdtEndPr>
      <w:sdtContent>
        <w:p>
          <w:pPr>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rPr>
          <w:rFonts w:hint="eastAsia"/>
        </w:rPr>
      </w:pPr>
    </w:p>
    <w:p>
      <w:pPr>
        <w:pStyle w:val="3"/>
        <w:numPr>
          <w:ilvl w:val="0"/>
          <w:numId w:val="60"/>
        </w:numPr>
        <w:ind w:left="450" w:hanging="450"/>
        <w:rPr>
          <w:rFonts w:ascii="宋体" w:hAnsi="宋体"/>
          <w:highlight w:val="none"/>
        </w:rPr>
      </w:pPr>
      <w:r>
        <w:rPr>
          <w:rFonts w:hint="eastAsia" w:ascii="宋体" w:hAnsi="宋体"/>
          <w:highlight w:val="none"/>
        </w:rPr>
        <w:t>政府补助</w:t>
      </w:r>
    </w:p>
    <w:p>
      <w:pPr>
        <w:pStyle w:val="229"/>
        <w:numPr>
          <w:ilvl w:val="0"/>
          <w:numId w:val="116"/>
        </w:numPr>
        <w:ind w:left="0" w:firstLine="0"/>
      </w:pPr>
      <w:r>
        <w:t>报告期末按应收金额确认的政府补助</w:t>
      </w:r>
    </w:p>
    <w:sdt>
      <w:sdtPr>
        <w:alias w:val="是否适用：按应收金额确认的政府补助[双击切换]"/>
        <w:tag w:val="_GBC_e1e20d7c43844cb8b0392ce8a915912f"/>
        <w:id w:val="27856"/>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2785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229"/>
        <w:numPr>
          <w:ilvl w:val="0"/>
          <w:numId w:val="116"/>
        </w:numPr>
        <w:ind w:left="0" w:firstLine="0"/>
      </w:pPr>
      <w:r>
        <w:t>涉及政府补助的负债项目</w:t>
      </w:r>
    </w:p>
    <w:sdt>
      <w:sdtPr>
        <w:alias w:val="是否适用：涉及政府补助的负债项目[双击切换]"/>
        <w:tag w:val="_GBC_ed9e8fabcc8e4318b2ec33d01e83aec4"/>
        <w:id w:val="2785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outlineLvl w:val="9"/>
      </w:pPr>
    </w:p>
    <w:p>
      <w:pPr>
        <w:pStyle w:val="4"/>
        <w:numPr>
          <w:ilvl w:val="0"/>
          <w:numId w:val="116"/>
        </w:numPr>
        <w:ind w:left="0" w:firstLine="0"/>
        <w:rPr>
          <w:rFonts w:cs="宋体"/>
          <w:kern w:val="0"/>
          <w:szCs w:val="24"/>
        </w:rPr>
      </w:pPr>
      <w:bookmarkStart w:id="313" w:name="_Hlk153267868"/>
      <w:r>
        <w:rPr>
          <w:rFonts w:hint="eastAsia" w:cs="宋体"/>
          <w:kern w:val="0"/>
          <w:szCs w:val="24"/>
        </w:rPr>
        <w:t>计入当期</w:t>
      </w:r>
      <w:r>
        <w:rPr>
          <w:rFonts w:hint="eastAsia" w:ascii="宋体" w:hAnsi="宋体" w:cs="宋体"/>
          <w:kern w:val="0"/>
          <w:szCs w:val="24"/>
        </w:rPr>
        <w:t>损益</w:t>
      </w:r>
      <w:r>
        <w:rPr>
          <w:rFonts w:hint="eastAsia" w:cs="宋体"/>
          <w:kern w:val="0"/>
          <w:szCs w:val="24"/>
        </w:rPr>
        <w:t>的政府补助</w:t>
      </w:r>
    </w:p>
    <w:sdt>
      <w:sdtPr>
        <w:rPr>
          <w:rStyle w:val="51"/>
          <w:rFonts w:ascii="宋体" w:hAnsi="宋体"/>
          <w:b w:val="0"/>
          <w:szCs w:val="21"/>
        </w:rPr>
        <w:alias w:val="是否适用：计入当期损益的政府补助[双击切换]"/>
        <w:tag w:val="_GBC_8ddf92f66bfa4f87b73074ebf5a7bd32"/>
        <w:id w:val="1783224092"/>
        <w:placeholder>
          <w:docPart w:val="GBC33333333333333333333333333333"/>
        </w:placeholder>
      </w:sdtPr>
      <w:sdtEndPr>
        <w:rPr>
          <w:rStyle w:val="51"/>
          <w:rFonts w:ascii="宋体" w:hAnsi="宋体"/>
          <w:b w:val="0"/>
          <w:szCs w:val="21"/>
        </w:rPr>
      </w:sdtEndPr>
      <w:sdtContent>
        <w:p>
          <w:pPr>
            <w:rPr>
              <w:rStyle w:val="51"/>
              <w:rFonts w:ascii="宋体" w:hAnsi="宋体"/>
              <w:b w:val="0"/>
              <w:szCs w:val="21"/>
            </w:rPr>
          </w:pPr>
          <w:r>
            <w:rPr>
              <w:rStyle w:val="51"/>
              <w:rFonts w:ascii="宋体" w:hAnsi="宋体"/>
              <w:b w:val="0"/>
              <w:szCs w:val="21"/>
            </w:rPr>
            <w:fldChar w:fldCharType="begin"/>
          </w:r>
          <w:r>
            <w:rPr>
              <w:rStyle w:val="51"/>
              <w:rFonts w:ascii="宋体" w:hAnsi="宋体"/>
              <w:b w:val="0"/>
              <w:szCs w:val="21"/>
            </w:rPr>
            <w:instrText xml:space="preserve">MACROBUTTON SnrToggleCheckbox √适用 </w:instrText>
          </w:r>
          <w:r>
            <w:rPr>
              <w:rStyle w:val="51"/>
              <w:rFonts w:ascii="宋体" w:hAnsi="宋体"/>
              <w:b w:val="0"/>
              <w:szCs w:val="21"/>
            </w:rPr>
            <w:fldChar w:fldCharType="end"/>
          </w:r>
          <w:r>
            <w:rPr>
              <w:rStyle w:val="51"/>
              <w:rFonts w:ascii="宋体" w:hAnsi="宋体"/>
              <w:b w:val="0"/>
              <w:szCs w:val="21"/>
            </w:rPr>
            <w:fldChar w:fldCharType="begin"/>
          </w:r>
          <w:r>
            <w:rPr>
              <w:rStyle w:val="51"/>
              <w:rFonts w:ascii="宋体" w:hAnsi="宋体"/>
              <w:b w:val="0"/>
              <w:szCs w:val="21"/>
            </w:rPr>
            <w:instrText xml:space="preserve">MACROBUTTON  SnrToggleCheckbox □不适用 </w:instrText>
          </w:r>
          <w:r>
            <w:rPr>
              <w:rStyle w:val="51"/>
              <w:rFonts w:ascii="宋体" w:hAnsi="宋体"/>
              <w:b w:val="0"/>
              <w:szCs w:val="21"/>
            </w:rPr>
            <w:fldChar w:fldCharType="end"/>
          </w:r>
        </w:p>
      </w:sdtContent>
    </w:sdt>
    <w:p>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040970400"/>
          <w:placeholder>
            <w:docPart w:val="GBC3333333333333333333333333333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2039697576"/>
          <w:placeholder>
            <w:docPart w:val="GBC3333333333333333333333333333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72"/>
        <w:gridCol w:w="3093"/>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jc w:val="center"/>
        </w:trPr>
        <w:sdt>
          <w:sdtPr>
            <w:tag w:val="_PLD_5b4079791e994686811417a70944bd9d"/>
            <w:id w:val="-1909979606"/>
          </w:sdtPr>
          <w:sdtContent>
            <w:tc>
              <w:tcPr>
                <w:tcW w:w="158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类型</w:t>
                </w:r>
              </w:p>
            </w:tc>
          </w:sdtContent>
        </w:sdt>
        <w:sdt>
          <w:sdtPr>
            <w:tag w:val="_PLD_ae1ceb2d189344a5ad7763348cb654c3"/>
            <w:id w:val="-798376328"/>
          </w:sdtPr>
          <w:sdtContent>
            <w:tc>
              <w:tcPr>
                <w:tcW w:w="170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本期发生额</w:t>
                </w:r>
              </w:p>
            </w:tc>
          </w:sdtContent>
        </w:sdt>
        <w:sdt>
          <w:sdtPr>
            <w:tag w:val="_PLD_e615d326bd42416e8f3721fad0ff2852"/>
            <w:id w:val="1655104100"/>
          </w:sdtPr>
          <w:sdtContent>
            <w:tc>
              <w:tcPr>
                <w:tcW w:w="170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上期发生额</w:t>
                </w:r>
              </w:p>
            </w:tc>
          </w:sdtContent>
        </w:sdt>
      </w:tr>
      <w:sdt>
        <w:sdtPr>
          <w:rPr>
            <w:szCs w:val="21"/>
          </w:rPr>
          <w:alias w:val="计入当期损益的政府补助明细"/>
          <w:tag w:val="_TUP_69320eb715f34953b28cd93c1792ca46"/>
          <w:id w:val="-1049380270"/>
          <w:placeholder>
            <w:docPart w:val="{b98712ce-7864-401e-8465-4fed80835001}"/>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szCs w:val="21"/>
                </w:rPr>
                <w:alias w:val="计入当期损益的政府补助项目名称"/>
                <w:tag w:val="_GBC_30e0d7873e3b41d781ec9deee5fe8de4"/>
                <w:id w:val="812685145"/>
                <w:placeholder>
                  <w:docPart w:val="GBC33333333333333333333333333333"/>
                </w:placeholder>
                <w:comboBox>
                  <w:listItem w:displayText="与资产相关" w:value="与资产相关"/>
                  <w:listItem w:displayText="与收益相关" w:value="与收益相关"/>
                  <w:listItem w:displayText="其他" w:value="其他"/>
                </w:comboBox>
              </w:sdtPr>
              <w:sdtEndPr>
                <w:rPr>
                  <w:szCs w:val="21"/>
                </w:rPr>
              </w:sdtEndPr>
              <w:sdtContent>
                <w:tc>
                  <w:tcPr>
                    <w:tcW w:w="158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与收益相关</w:t>
                    </w:r>
                  </w:p>
                </w:tc>
              </w:sdtContent>
            </w:sdt>
            <w:tc>
              <w:tcPr>
                <w:tcW w:w="170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6,596,332.00</w:t>
                </w:r>
              </w:p>
            </w:tc>
            <w:tc>
              <w:tcPr>
                <w:tcW w:w="170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3,873,885.71</w:t>
                </w:r>
              </w:p>
            </w:tc>
          </w:tr>
        </w:sdtContent>
      </w:sdt>
      <w:sdt>
        <w:sdtPr>
          <w:rPr>
            <w:szCs w:val="21"/>
          </w:rPr>
          <w:alias w:val="计入当期损益的政府补助明细"/>
          <w:tag w:val="_TUP_69320eb715f34953b28cd93c1792ca46"/>
          <w:id w:val="2860"/>
          <w:placeholder>
            <w:docPart w:val="{b98712ce-7864-401e-8465-4fed80835001}"/>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szCs w:val="21"/>
                </w:rPr>
                <w:alias w:val="计入当期损益的政府补助项目名称"/>
                <w:tag w:val="_GBC_30e0d7873e3b41d781ec9deee5fe8de4"/>
                <w:id w:val="2861"/>
                <w:placeholder>
                  <w:docPart w:val="GBC33333333333333333333333333333"/>
                </w:placeholder>
                <w:comboBox>
                  <w:listItem w:displayText="与资产相关" w:value="与资产相关"/>
                  <w:listItem w:displayText="与收益相关" w:value="与收益相关"/>
                  <w:listItem w:displayText="其他" w:value="其他"/>
                </w:comboBox>
              </w:sdtPr>
              <w:sdtEndPr>
                <w:rPr>
                  <w:szCs w:val="21"/>
                </w:rPr>
              </w:sdtEndPr>
              <w:sdtContent>
                <w:tc>
                  <w:tcPr>
                    <w:tcW w:w="158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与收益相关</w:t>
                    </w:r>
                  </w:p>
                </w:tc>
              </w:sdtContent>
            </w:sdt>
            <w:tc>
              <w:tcPr>
                <w:tcW w:w="170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342,269.93</w:t>
                </w:r>
              </w:p>
            </w:tc>
            <w:tc>
              <w:tcPr>
                <w:tcW w:w="170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424,080.00</w:t>
                </w:r>
              </w:p>
            </w:tc>
          </w:tr>
        </w:sdtContent>
      </w:sdt>
      <w:sdt>
        <w:sdtPr>
          <w:rPr>
            <w:szCs w:val="21"/>
          </w:rPr>
          <w:alias w:val="计入当期损益的政府补助明细"/>
          <w:tag w:val="_TUP_69320eb715f34953b28cd93c1792ca46"/>
          <w:id w:val="2862"/>
          <w:placeholder>
            <w:docPart w:val="{b98712ce-7864-401e-8465-4fed80835001}"/>
          </w:placeholder>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szCs w:val="21"/>
                </w:rPr>
                <w:alias w:val="计入当期损益的政府补助项目名称"/>
                <w:tag w:val="_GBC_30e0d7873e3b41d781ec9deee5fe8de4"/>
                <w:id w:val="2863"/>
                <w:placeholder>
                  <w:docPart w:val="GBC33333333333333333333333333333"/>
                </w:placeholder>
                <w:comboBox>
                  <w:listItem w:displayText="与资产相关" w:value="与资产相关"/>
                  <w:listItem w:displayText="与收益相关" w:value="与收益相关"/>
                  <w:listItem w:displayText="其他" w:value="其他"/>
                </w:comboBox>
              </w:sdtPr>
              <w:sdtEndPr>
                <w:rPr>
                  <w:szCs w:val="21"/>
                </w:rPr>
              </w:sdtEndPr>
              <w:sdtContent>
                <w:tc>
                  <w:tcPr>
                    <w:tcW w:w="1585"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与收益相关</w:t>
                    </w:r>
                  </w:p>
                </w:tc>
              </w:sdtContent>
            </w:sdt>
            <w:tc>
              <w:tcPr>
                <w:tcW w:w="170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110,000.00</w:t>
                </w:r>
              </w:p>
            </w:tc>
            <w:tc>
              <w:tcPr>
                <w:tcW w:w="170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color w:val="auto"/>
                    <w:szCs w:val="21"/>
                  </w:rPr>
                  <w:t>769,200.00</w:t>
                </w:r>
              </w:p>
            </w:tc>
          </w:tr>
        </w:sdtContent>
      </w:sdt>
    </w:tbl>
    <w:p/>
    <w:sdt>
      <w:sdtPr>
        <w:alias w:val="政府补助说明"/>
        <w:tag w:val="_GBC_8011e9ada7d741aeb9f59a958e812614"/>
        <w:id w:val="27867"/>
        <w:placeholder>
          <w:docPart w:val="GBC22222222222222222222222222222"/>
        </w:placeholder>
      </w:sdtPr>
      <w:sdtContent>
        <w:p>
          <w:pPr>
            <w:rPr>
              <w:rFonts w:hint="default" w:eastAsia="宋体"/>
              <w:vertAlign w:val="baseline"/>
              <w:lang w:val="en-US" w:eastAsia="zh-CN"/>
            </w:rPr>
          </w:pPr>
          <w:r>
            <w:rPr>
              <w:rFonts w:hint="eastAsia"/>
              <w:lang w:val="en-US" w:eastAsia="zh-CN"/>
            </w:rPr>
            <w:t>其他说明：</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center"/>
                </w:pPr>
                <w:r>
                  <w:t>类型</w:t>
                </w:r>
              </w:p>
            </w:tc>
            <w:tc>
              <w:tcPr>
                <w:tcW w:w="3016" w:type="dxa"/>
              </w:tcPr>
              <w:p>
                <w:pPr>
                  <w:widowControl w:val="0"/>
                  <w:jc w:val="center"/>
                </w:pPr>
                <w:r>
                  <w:t>本期发生额</w:t>
                </w:r>
              </w:p>
            </w:tc>
            <w:tc>
              <w:tcPr>
                <w:tcW w:w="3017" w:type="dxa"/>
              </w:tcPr>
              <w:p>
                <w:pPr>
                  <w:widowControl w:val="0"/>
                  <w:jc w:val="center"/>
                </w:pPr>
                <w:r>
                  <w:t>上期发生额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vertAlign w:val="baseline"/>
                  </w:rPr>
                </w:pPr>
                <w:r>
                  <w:t>其他收益</w:t>
                </w:r>
              </w:p>
            </w:tc>
            <w:tc>
              <w:tcPr>
                <w:tcW w:w="3016"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6,596,332.00</w:t>
                </w:r>
              </w:p>
            </w:tc>
            <w:tc>
              <w:tcPr>
                <w:tcW w:w="3017"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3,873,885.71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vertAlign w:val="baseline"/>
                  </w:rPr>
                </w:pPr>
                <w:r>
                  <w:t>营业外收入</w:t>
                </w:r>
              </w:p>
            </w:tc>
            <w:tc>
              <w:tcPr>
                <w:tcW w:w="3016"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342,269.93</w:t>
                </w:r>
              </w:p>
            </w:tc>
            <w:tc>
              <w:tcPr>
                <w:tcW w:w="3017"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424,080.00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vertAlign w:val="baseline"/>
                  </w:rPr>
                </w:pPr>
                <w:r>
                  <w:t>财务费用</w:t>
                </w:r>
              </w:p>
            </w:tc>
            <w:tc>
              <w:tcPr>
                <w:tcW w:w="3016"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110,000.00</w:t>
                </w:r>
              </w:p>
            </w:tc>
            <w:tc>
              <w:tcPr>
                <w:tcW w:w="3017"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769,200.00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vertAlign w:val="baseline"/>
                  </w:rPr>
                </w:pPr>
                <w:r>
                  <w:t>合计</w:t>
                </w:r>
              </w:p>
            </w:tc>
            <w:tc>
              <w:tcPr>
                <w:tcW w:w="3016"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7,048,601.93</w:t>
                </w:r>
              </w:p>
            </w:tc>
            <w:tc>
              <w:tcPr>
                <w:tcW w:w="3017" w:type="dxa"/>
              </w:tcPr>
              <w:p>
                <w:pPr>
                  <w:widowControl w:val="0"/>
                  <w:jc w:val="right"/>
                  <w:rPr>
                    <w:rFonts w:hint="default" w:ascii="Times New Roman" w:hAnsi="Times New Roman" w:cs="Times New Roman"/>
                    <w:vertAlign w:val="baseline"/>
                  </w:rPr>
                </w:pPr>
                <w:r>
                  <w:rPr>
                    <w:rFonts w:hint="default" w:ascii="Times New Roman" w:hAnsi="Times New Roman" w:cs="Times New Roman"/>
                  </w:rPr>
                  <w:t>5,067,165.71</w:t>
                </w:r>
              </w:p>
            </w:tc>
          </w:tr>
        </w:tbl>
        <w:p/>
      </w:sdtContent>
    </w:sdt>
    <w:bookmarkEnd w:id="313"/>
    <w:p>
      <w:pPr>
        <w:pStyle w:val="3"/>
        <w:numPr>
          <w:ilvl w:val="0"/>
          <w:numId w:val="60"/>
        </w:numPr>
        <w:rPr>
          <w:rFonts w:ascii="宋体" w:hAnsi="宋体"/>
          <w:highlight w:val="none"/>
        </w:rPr>
      </w:pPr>
      <w:r>
        <w:rPr>
          <w:rFonts w:hint="eastAsia" w:ascii="宋体" w:hAnsi="宋体"/>
          <w:highlight w:val="none"/>
        </w:rPr>
        <w:t>与金融工具相关的风险</w:t>
      </w:r>
    </w:p>
    <w:p>
      <w:pPr>
        <w:pStyle w:val="229"/>
        <w:numPr>
          <w:ilvl w:val="0"/>
          <w:numId w:val="117"/>
        </w:numPr>
      </w:pPr>
      <w:r>
        <w:rPr>
          <w:rFonts w:hint="eastAsia"/>
        </w:rPr>
        <w:t>金融工具的风险</w:t>
      </w:r>
    </w:p>
    <w:sdt>
      <w:sdtPr>
        <w:alias w:val="是否适用：与金融工具相关的风险[双击切换]"/>
        <w:tag w:val="_GBC_2be38aac6aaa4945a48be2cdc11eaaf6"/>
        <w:id w:val="27868"/>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27869"/>
        <w:placeholder>
          <w:docPart w:val="GBC22222222222222222222222222222"/>
        </w:placeholder>
      </w:sdtPr>
      <w:sdtEndPr>
        <w:rPr>
          <w:b/>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的主要金融工具包括货币资金、应收款项、应付款项、借款等。在日常活动中面临各种金融工具的风险，主要包括信用风险、流动性风险、市场风险。与这些金融工具相关的风险，以及本公司为降低这些风险所采取的风险管理政策如下所述：</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本公司通过适当的多样化投资及业务组合来分散金融工具风险，并通过制定相应的风险管理政策减少集中于单一行业、特定地区或特定交易对手的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（一）信用风险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信用风险是指交易对手未能履行合同义务而导致本公司产生财务损失的风险，管理层已制定适当的信用政策，并且不断监察信用风险的敞口。</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本公司其他金融资产包括货币资金、其他应收款等，这些金融资产的信用风险源自于交易对手违约，最大信用风险敞口为资产负债表中每项金融资产的账面金额。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作为本公司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如国家GDP增速、国家货币政策等前瞻性信息进行调整得出预期损失率。对于长期应收款，本公司综合考虑结算期、合同约定付款期、债务人的财务状况和债务人所处行业的经济形势，并考虑上述前瞻性信息进行调整后对于预期信用损失进行合理评估。</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截止2023年12月31日，相关资产的账面余额与预期信用减值损失情况如下：</w:t>
          </w:r>
        </w:p>
        <w:tbl>
          <w:tblPr>
            <w:tblStyle w:val="125"/>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424"/>
            <w:gridCol w:w="2858"/>
            <w:gridCol w:w="276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92" w:type="pct"/>
                <w:vAlign w:val="center"/>
              </w:tcPr>
              <w:p>
                <w:pPr>
                  <w:widowControl w:val="0"/>
                  <w:tabs>
                    <w:tab w:val="left" w:pos="196"/>
                    <w:tab w:val="left" w:pos="426"/>
                  </w:tabs>
                  <w:adjustRightInd w:val="0"/>
                  <w:snapToGrid w:val="0"/>
                  <w:spacing w:line="480" w:lineRule="exact"/>
                  <w:ind w:firstLine="0" w:firstLineChars="0"/>
                  <w:jc w:val="center"/>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账龄</w:t>
                </w:r>
              </w:p>
            </w:tc>
            <w:tc>
              <w:tcPr>
                <w:tcW w:w="1579" w:type="pct"/>
                <w:vAlign w:val="center"/>
              </w:tcPr>
              <w:p>
                <w:pPr>
                  <w:widowControl w:val="0"/>
                  <w:tabs>
                    <w:tab w:val="left" w:pos="196"/>
                    <w:tab w:val="left" w:pos="426"/>
                  </w:tabs>
                  <w:adjustRightInd w:val="0"/>
                  <w:snapToGrid w:val="0"/>
                  <w:spacing w:line="480" w:lineRule="exact"/>
                  <w:ind w:firstLine="0" w:firstLineChars="0"/>
                  <w:jc w:val="center"/>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账面余额</w:t>
                </w:r>
              </w:p>
            </w:tc>
            <w:tc>
              <w:tcPr>
                <w:tcW w:w="1529" w:type="pct"/>
                <w:vAlign w:val="center"/>
              </w:tcPr>
              <w:p>
                <w:pPr>
                  <w:widowControl w:val="0"/>
                  <w:tabs>
                    <w:tab w:val="left" w:pos="196"/>
                    <w:tab w:val="left" w:pos="426"/>
                  </w:tabs>
                  <w:adjustRightInd w:val="0"/>
                  <w:snapToGrid w:val="0"/>
                  <w:spacing w:line="480" w:lineRule="exact"/>
                  <w:ind w:firstLine="0" w:firstLineChars="0"/>
                  <w:jc w:val="center"/>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减值准备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adjustRightInd w:val="0"/>
                  <w:snapToGrid w:val="0"/>
                  <w:spacing w:line="480" w:lineRule="exact"/>
                  <w:ind w:firstLine="0" w:firstLineChars="0"/>
                  <w:jc w:val="left"/>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应收账款</w:t>
                </w:r>
              </w:p>
            </w:tc>
            <w:tc>
              <w:tcPr>
                <w:tcW w:w="157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141,601,149.17</w:t>
                </w:r>
              </w:p>
            </w:tc>
            <w:tc>
              <w:tcPr>
                <w:tcW w:w="152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53,622,042.01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adjustRightInd w:val="0"/>
                  <w:snapToGrid w:val="0"/>
                  <w:spacing w:line="480" w:lineRule="exact"/>
                  <w:ind w:firstLine="0" w:firstLineChars="0"/>
                  <w:jc w:val="left"/>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应收款项融资</w:t>
                </w:r>
              </w:p>
            </w:tc>
            <w:tc>
              <w:tcPr>
                <w:tcW w:w="157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15,690,771.21</w:t>
                </w:r>
              </w:p>
            </w:tc>
            <w:tc>
              <w:tcPr>
                <w:tcW w:w="152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t>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adjustRightInd w:val="0"/>
                  <w:snapToGrid w:val="0"/>
                  <w:spacing w:line="480" w:lineRule="exact"/>
                  <w:ind w:firstLine="0" w:firstLineChars="0"/>
                  <w:jc w:val="left"/>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其他应收款</w:t>
                </w:r>
              </w:p>
            </w:tc>
            <w:tc>
              <w:tcPr>
                <w:tcW w:w="157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32,002,616.19</w:t>
                </w:r>
              </w:p>
            </w:tc>
            <w:tc>
              <w:tcPr>
                <w:tcW w:w="152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17,903,212.53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adjustRightInd w:val="0"/>
                  <w:snapToGrid w:val="0"/>
                  <w:spacing w:line="480" w:lineRule="exact"/>
                  <w:ind w:firstLine="0" w:firstLineChars="0"/>
                  <w:jc w:val="center"/>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合计</w:t>
                </w:r>
              </w:p>
            </w:tc>
            <w:tc>
              <w:tcPr>
                <w:tcW w:w="157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189,294,536.57</w:t>
                </w:r>
              </w:p>
            </w:tc>
            <w:tc>
              <w:tcPr>
                <w:tcW w:w="1529" w:type="pct"/>
                <w:vAlign w:val="center"/>
              </w:tcPr>
              <w:p>
                <w:pPr>
                  <w:widowControl w:val="0"/>
                  <w:snapToGrid w:val="0"/>
                  <w:spacing w:line="480" w:lineRule="exact"/>
                  <w:ind w:firstLine="0" w:firstLineChars="0"/>
                  <w:jc w:val="righ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kern w:val="2"/>
                    <w:sz w:val="21"/>
                    <w:szCs w:val="21"/>
                  </w:rPr>
                  <w:t>71,525,254.54</w:t>
                </w:r>
              </w:p>
            </w:tc>
          </w:tr>
        </w:tbl>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（二）流动性风险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流动性风险是指本公司在履行以交付现金或其他金融资产的方式结算的义务时发生资金短缺的风险。本公司下属成员企业各自负责其现金流量预测。公司下属财务部基于各成员企业的现金流量预测结果，在公司层面持续监控公司短期和长期的资金需求，以确保维持充裕的现金储备；同时持续监控是否符合借款协议的规定，从主要金融机构获得提供足够备用资金的承诺，以满足短期和长期的资金需求。</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（三）市场风险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1、汇率风险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的主要经营位于中国境内，主要业务以人民币结算。但本公司已确认的外币资产和负债及未来的外币交易（外币资产和负债及外币交易的计价货币主要为美元、港币、欧元）依然存在汇率风险。本公司财务部门负责监控公司外币交易和外币资产及负债的规模，以最大程度降低面临的汇率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截止2023年12月31日，本年度公司未签署任何远期外汇合约或货币互换合约。</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2、利率风险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的利率风险主要产生于银行借款等。浮动利率的金融负债使本公司面临现金流量利率风险，固定利率的金融负债使本公司面临公允价值利率风险。本公司根据当时的市场环境来决定固定利率及浮动利率合同的相对比例。</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财务部门持续监控公司利率水平。利率上升会增加新增带息债务的成本以及本公司尚未付清的以浮动利率计息的带息债务的利息支出，并对本公司的财务业绩产生重大的不利影响，管理层会依据最新的市场状况及时做出调整来降低利率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3、价格风险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本公司持有的分类为交易性金融资产的投资在资产负债表日以其公允价值列示。因此，本公司面临价格风险。本公司已于公司内部成立投资管理部，由指定成员密切监控投资产品之价格变动。因此本公司董事认为公司面临之价格风险已被缓解。</w:t>
          </w:r>
        </w:p>
        <w:p>
          <w:pPr>
            <w:rPr>
              <w:b/>
              <w:szCs w:val="21"/>
            </w:rPr>
          </w:pPr>
        </w:p>
      </w:sdtContent>
    </w:sdt>
    <w:p/>
    <w:p>
      <w:pPr>
        <w:pStyle w:val="229"/>
        <w:numPr>
          <w:ilvl w:val="0"/>
          <w:numId w:val="117"/>
        </w:numPr>
      </w:pPr>
      <w:r>
        <w:rPr>
          <w:rFonts w:hint="eastAsia"/>
        </w:rPr>
        <w:t>套期</w:t>
      </w:r>
    </w:p>
    <w:p>
      <w:pPr>
        <w:pStyle w:val="196"/>
        <w:numPr>
          <w:ilvl w:val="0"/>
          <w:numId w:val="118"/>
        </w:numPr>
        <w:ind w:left="0" w:firstLine="0"/>
      </w:pPr>
      <w:r>
        <w:rPr>
          <w:rFonts w:hint="eastAsia"/>
        </w:rPr>
        <w:t>公司开展套期业务进行风险管理</w:t>
      </w:r>
    </w:p>
    <w:sdt>
      <w:sdtPr>
        <w:alias w:val="是否适用：公司开展套期业务进行风险管理情况[双击切换]"/>
        <w:tag w:val="_GBC_71d11701ff3e412981460bc27e88a1b5"/>
        <w:id w:val="2787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r>
        <w:rPr>
          <w:rFonts w:hint="eastAsia"/>
        </w:rPr>
        <w:t>其他说明</w:t>
      </w:r>
    </w:p>
    <w:sdt>
      <w:sdtPr>
        <w:alias w:val="是否适用：公司开展套期业务进行风险管理的其他说明[双击切换]"/>
        <w:tag w:val="_GBC_bc39ee99cbfc4e469ac321509f461420"/>
        <w:id w:val="27877"/>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color w:val="808080"/>
          <w:szCs w:val="21"/>
        </w:rPr>
      </w:pPr>
    </w:p>
    <w:p>
      <w:pPr>
        <w:pStyle w:val="196"/>
        <w:numPr>
          <w:ilvl w:val="0"/>
          <w:numId w:val="118"/>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27879"/>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r>
        <w:rPr>
          <w:rFonts w:hint="eastAsia"/>
        </w:rPr>
        <w:t>其他说明</w:t>
      </w:r>
    </w:p>
    <w:sdt>
      <w:sdtPr>
        <w:alias w:val="是否适用：公司开展符合条件套期业务并应用套期会计情况的其他说明[双击切换]"/>
        <w:tag w:val="_GBC_7f3675a931be4fe0b3ba0ed19f75108a"/>
        <w:id w:val="27889"/>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color w:val="808080"/>
          <w:szCs w:val="21"/>
        </w:rPr>
      </w:pPr>
    </w:p>
    <w:p>
      <w:pPr>
        <w:pStyle w:val="196"/>
        <w:numPr>
          <w:ilvl w:val="0"/>
          <w:numId w:val="118"/>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2789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r>
        <w:rPr>
          <w:rFonts w:hint="eastAsia"/>
        </w:rPr>
        <w:t>其他说明</w:t>
      </w:r>
    </w:p>
    <w:sdt>
      <w:sdtPr>
        <w:alias w:val="是否适用：公司开展套期业务进行风险管理、预期能实现风险管理目标但未应用套期会计的其他说明[双击切换]"/>
        <w:tag w:val="_GBC_7e60464ee1bf40b8b1d2fa0c0e7df1e4"/>
        <w:id w:val="27895"/>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color w:val="808080"/>
          <w:szCs w:val="21"/>
        </w:rPr>
      </w:pPr>
    </w:p>
    <w:p>
      <w:pPr>
        <w:pStyle w:val="229"/>
        <w:numPr>
          <w:ilvl w:val="0"/>
          <w:numId w:val="117"/>
        </w:numPr>
      </w:pPr>
      <w:r>
        <w:rPr>
          <w:rFonts w:hint="eastAsia"/>
        </w:rPr>
        <w:t>金融资产转移</w:t>
      </w:r>
    </w:p>
    <w:p>
      <w:pPr>
        <w:pStyle w:val="196"/>
        <w:numPr>
          <w:ilvl w:val="0"/>
          <w:numId w:val="119"/>
        </w:numPr>
        <w:ind w:left="425" w:hanging="425"/>
      </w:pPr>
      <w:bookmarkStart w:id="314" w:name="_Hlk153550670"/>
      <w:r>
        <w:rPr>
          <w:rFonts w:hint="eastAsia"/>
        </w:rPr>
        <w:t>转移方式分类</w:t>
      </w:r>
    </w:p>
    <w:sdt>
      <w:sdtPr>
        <w:alias w:val="是否适用：转移方式分类[双击切换]"/>
        <w:tag w:val="_GBC_ff6f967e629c4a6b934da2a3f33a107d"/>
        <w:id w:val="27897"/>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bookmarkEnd w:id="314"/>
    <w:p>
      <w:pPr>
        <w:pStyle w:val="196"/>
        <w:numPr>
          <w:ilvl w:val="0"/>
          <w:numId w:val="119"/>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27905"/>
        <w:placeholder>
          <w:docPart w:val="GBC22222222222222222222222222222"/>
        </w:placeholder>
      </w:sdtPr>
      <w:sdtEndPr>
        <w:rPr>
          <w:rFonts w:hint="eastAsia"/>
        </w:rPr>
      </w:sdtEnd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rPr>
              <w:rFonts w:hint="eastAsia"/>
            </w:rPr>
          </w:pPr>
        </w:p>
      </w:sdtContent>
    </w:sdt>
    <w:p>
      <w:pPr>
        <w:pStyle w:val="196"/>
        <w:numPr>
          <w:ilvl w:val="0"/>
          <w:numId w:val="119"/>
        </w:numPr>
        <w:ind w:left="425" w:hanging="425"/>
      </w:pPr>
      <w:r>
        <w:rPr>
          <w:rFonts w:hint="eastAsia"/>
        </w:rPr>
        <w:t>继续涉入的转移金融资产</w:t>
      </w:r>
    </w:p>
    <w:sdt>
      <w:sdtPr>
        <w:alias w:val="是否适用：继续涉入的转移金融资产[双击切换]"/>
        <w:tag w:val="_GBC_b604f7fddde64fe6935f4995b9a88a21"/>
        <w:id w:val="2791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r>
        <w:rPr>
          <w:rFonts w:hint="eastAsia"/>
        </w:rPr>
        <w:t>其他说明</w:t>
      </w:r>
    </w:p>
    <w:sdt>
      <w:sdtPr>
        <w:alias w:val="是否适用：金融资产转移其他说明[双击切换]"/>
        <w:tag w:val="_GBC_205480d73c8a413b9678dd4798b26763"/>
        <w:id w:val="27919"/>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color w:val="808080"/>
          <w:szCs w:val="21"/>
        </w:rPr>
      </w:pPr>
    </w:p>
    <w:p>
      <w:pPr>
        <w:pStyle w:val="3"/>
        <w:numPr>
          <w:ilvl w:val="0"/>
          <w:numId w:val="60"/>
        </w:numPr>
        <w:rPr>
          <w:rFonts w:ascii="宋体" w:hAnsi="宋体"/>
        </w:rPr>
      </w:pPr>
      <w:r>
        <w:rPr>
          <w:rFonts w:hint="eastAsia" w:ascii="宋体" w:hAnsi="宋体"/>
        </w:rPr>
        <w:t>公允价值的披露</w:t>
      </w:r>
    </w:p>
    <w:p>
      <w:pPr>
        <w:pStyle w:val="229"/>
        <w:numPr>
          <w:ilvl w:val="0"/>
          <w:numId w:val="120"/>
        </w:numPr>
      </w:pPr>
      <w:bookmarkStart w:id="315" w:name="_Hlk24030209"/>
      <w:bookmarkStart w:id="316" w:name="_Hlk10539195"/>
      <w:r>
        <w:rPr>
          <w:rFonts w:hint="eastAsia"/>
        </w:rPr>
        <w:t>以公允价值计量的资产和负债的期末公允价值</w:t>
      </w:r>
    </w:p>
    <w:sdt>
      <w:sdtPr>
        <w:alias w:val="是否适用：以公允价值计量的资产和负债的期末公允价值[双击切换]"/>
        <w:tag w:val="_GBC_6fbb4bafbfc548fdbb4a25b91f07bd6a"/>
        <w:id w:val="27921"/>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以公允价值计量的资产和负债的期末公允价值"/>
          <w:tag w:val="_GBC_2c45ed0b719e4292b6389023b9ce1031"/>
          <w:id w:val="279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27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8"/>
        <w:gridCol w:w="1702"/>
        <w:gridCol w:w="1664"/>
        <w:gridCol w:w="1732"/>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 w:hRule="atLeast"/>
        </w:trPr>
        <w:sdt>
          <w:sdtPr>
            <w:tag w:val="_PLD_163e93b7c897498dae37bc5c38a11afe"/>
            <w:id w:val="27924"/>
          </w:sdtPr>
          <w:sdtContent>
            <w:tc>
              <w:tcPr>
                <w:tcW w:w="1336" w:type="pct"/>
                <w:vMerge w:val="restart"/>
                <w:tcBorders>
                  <w:top w:val="single" w:color="auto" w:sz="4" w:space="0"/>
                  <w:left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项目</w:t>
                </w:r>
              </w:p>
            </w:tc>
          </w:sdtContent>
        </w:sdt>
        <w:sdt>
          <w:sdtPr>
            <w:tag w:val="_PLD_b8bd62f651414617bea8612c55db30ce"/>
            <w:id w:val="27925"/>
          </w:sdtPr>
          <w:sdtContent>
            <w:tc>
              <w:tcPr>
                <w:tcW w:w="366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期末公允价值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336" w:type="pct"/>
            <w:vMerge w:val="continue"/>
            <w:tcBorders>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p>
        </w:tc>
        <w:sdt>
          <w:sdtPr>
            <w:tag w:val="_PLD_8b204b4b1832494b8312fec08990548b"/>
            <w:id w:val="27926"/>
          </w:sdtPr>
          <w:sdtContent>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第一层次公允价值计量</w:t>
                </w:r>
              </w:p>
            </w:tc>
          </w:sdtContent>
        </w:sdt>
        <w:sdt>
          <w:sdtPr>
            <w:tag w:val="_PLD_de23a118a4e8435d9b0e1e2e2e494f30"/>
            <w:id w:val="27927"/>
          </w:sdtPr>
          <w:sdtContent>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第二层次公允价值计量</w:t>
                </w:r>
              </w:p>
            </w:tc>
          </w:sdtContent>
        </w:sdt>
        <w:sdt>
          <w:sdtPr>
            <w:tag w:val="_PLD_4cb787262d4b4096b0d321ac48721dd2"/>
            <w:id w:val="27928"/>
          </w:sdtPr>
          <w:sdtContent>
            <w:tc>
              <w:tcPr>
                <w:tcW w:w="9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第三层次公允价值计量</w:t>
                </w:r>
              </w:p>
            </w:tc>
          </w:sdtContent>
        </w:sdt>
        <w:sdt>
          <w:sdtPr>
            <w:tag w:val="_PLD_fb89c54d0c8e4fe2990587a96b78b5ca"/>
            <w:id w:val="27929"/>
          </w:sdtPr>
          <w:sdtContent>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一、持续的公允价值计量</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pPr>
            <w:r>
              <w:rPr>
                <w:rFonts w:hint="eastAsia"/>
              </w:rPr>
              <w:t>（一）交易性金融资产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pPr>
            <w:r>
              <w:t>1.以公允价值计量且变动计入当期损益的金融资产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1</w:t>
            </w:r>
            <w:r>
              <w:rPr>
                <w:rFonts w:hint="eastAsia" w:cs="Cambria"/>
                <w:szCs w:val="21"/>
              </w:rPr>
              <w:t>）债务工具投资</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2</w:t>
            </w:r>
            <w:r>
              <w:rPr>
                <w:rFonts w:hint="eastAsia" w:cs="Cambria"/>
                <w:szCs w:val="21"/>
              </w:rPr>
              <w:t>）权益工具投资</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3</w:t>
            </w:r>
            <w:r>
              <w:rPr>
                <w:rFonts w:hint="eastAsia" w:cs="Cambria"/>
                <w:szCs w:val="21"/>
              </w:rPr>
              <w:t>）衍生金融资产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 xml:space="preserve">2. </w:t>
            </w:r>
            <w:r>
              <w:rPr>
                <w:rFonts w:hint="eastAsia" w:cs="Cambria"/>
                <w:szCs w:val="21"/>
              </w:rPr>
              <w:t>指定以公允价值计量且其变动计入当期损益的金融资产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1</w:t>
            </w:r>
            <w:r>
              <w:rPr>
                <w:rFonts w:hint="eastAsia" w:cs="Cambria"/>
                <w:szCs w:val="21"/>
              </w:rPr>
              <w:t>）债务工具投资</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2</w:t>
            </w:r>
            <w:r>
              <w:rPr>
                <w:rFonts w:hint="eastAsia" w:cs="Cambria"/>
                <w:szCs w:val="21"/>
              </w:rPr>
              <w:t>）权益工具投资</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pPr>
            <w:r>
              <w:rPr>
                <w:rFonts w:hint="eastAsia"/>
              </w:rPr>
              <w:t>（二）其他债权投资</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pPr>
            <w:r>
              <w:rPr>
                <w:rFonts w:hint="eastAsia"/>
              </w:rPr>
              <w:t>（三）其他权益工具投资</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（四）投资性房地产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1.</w:t>
            </w:r>
            <w:r>
              <w:rPr>
                <w:rFonts w:hint="eastAsia" w:cs="Cambria"/>
                <w:szCs w:val="21"/>
              </w:rPr>
              <w:t>出租用的土地使用权</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2.</w:t>
            </w:r>
            <w:r>
              <w:rPr>
                <w:rFonts w:hint="eastAsia" w:cs="Cambria"/>
                <w:szCs w:val="21"/>
              </w:rPr>
              <w:t>出租的建筑物</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3.</w:t>
            </w:r>
            <w:r>
              <w:rPr>
                <w:rFonts w:hint="eastAsia" w:cs="Cambria"/>
                <w:szCs w:val="21"/>
              </w:rPr>
              <w:t>持有并准备增值后转让的土地使用权</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（五）生物资产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1.</w:t>
            </w:r>
            <w:r>
              <w:rPr>
                <w:rFonts w:hint="eastAsia" w:cs="Cambria"/>
                <w:szCs w:val="21"/>
              </w:rPr>
              <w:t>消耗性生物资产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2.</w:t>
            </w:r>
            <w:r>
              <w:rPr>
                <w:rFonts w:hint="eastAsia" w:cs="Cambria"/>
                <w:szCs w:val="21"/>
              </w:rPr>
              <w:t>生产性生物资产</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持续以公允价值计量的资产总额</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r>
              <w:rPr>
                <w:rFonts w:hint="default" w:ascii="Times New Roman" w:hAnsi="Times New Roman" w:cs="Times New Roman"/>
                <w:sz w:val="21"/>
                <w:szCs w:val="21"/>
              </w:rPr>
              <w:t>203,156,047.64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（六）交易性金融负债</w:t>
            </w:r>
          </w:p>
        </w:tc>
        <w:tc>
          <w:tcPr>
            <w:tcW w:w="940"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jc w:val="right"/>
              <w:outlineLvl w:val="2"/>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1.以公允价值计量且变动计入当期损益的金融负债</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其中：发行的交易性债券</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pPr>
          </w:p>
        </w:tc>
        <w:tc>
          <w:tcPr>
            <w:tcW w:w="957" w:type="pct"/>
            <w:tcBorders>
              <w:top w:val="single" w:color="auto" w:sz="4" w:space="0"/>
              <w:left w:val="single" w:color="auto" w:sz="4" w:space="0"/>
              <w:bottom w:val="single" w:color="auto" w:sz="4" w:space="0"/>
              <w:right w:val="single" w:color="auto" w:sz="4" w:space="0"/>
            </w:tcBorders>
          </w:tcPr>
          <w:p>
            <w:pPr>
              <w:jc w:val="right"/>
            </w:pPr>
          </w:p>
        </w:tc>
        <w:tc>
          <w:tcPr>
            <w:tcW w:w="847" w:type="pct"/>
            <w:tcBorders>
              <w:top w:val="single" w:color="auto" w:sz="4" w:space="0"/>
              <w:left w:val="single" w:color="auto" w:sz="4" w:space="0"/>
              <w:bottom w:val="single" w:color="auto" w:sz="4" w:space="0"/>
              <w:right w:val="single" w:color="auto" w:sz="4" w:space="0"/>
            </w:tcBorders>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ind w:firstLine="630" w:firstLineChars="300"/>
              <w:rPr>
                <w:rFonts w:cs="Cambria"/>
                <w:szCs w:val="21"/>
              </w:rPr>
            </w:pPr>
            <w:r>
              <w:rPr>
                <w:rFonts w:hint="eastAsia" w:cs="Cambria"/>
                <w:szCs w:val="21"/>
              </w:rPr>
              <w:t>衍生金融负债</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ind w:firstLine="630" w:firstLineChars="300"/>
              <w:rPr>
                <w:rFonts w:cs="Cambria"/>
                <w:szCs w:val="21"/>
              </w:rPr>
            </w:pPr>
            <w:r>
              <w:rPr>
                <w:rFonts w:hint="eastAsia" w:cs="Cambria"/>
                <w:szCs w:val="21"/>
              </w:rPr>
              <w:t>其他</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2.指定为以公允价值计量且变动计入当期损益的金融负债</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持续以公允价值计量的负债总额</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tabs>
                <w:tab w:val="center" w:pos="824"/>
                <w:tab w:val="right" w:pos="1649"/>
              </w:tabs>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二、非持续的公允价值计量</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（一）持有待售资产</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非持续以公允价值计量的资产总额</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p>
            <w:pPr>
              <w:jc w:val="center"/>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6"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非持续以公允价值计量的负债总额</w:t>
            </w:r>
          </w:p>
        </w:tc>
        <w:tc>
          <w:tcPr>
            <w:tcW w:w="940"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19"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c>
          <w:tcPr>
            <w:tcW w:w="847" w:type="pct"/>
            <w:tcBorders>
              <w:top w:val="single" w:color="auto" w:sz="4" w:space="0"/>
              <w:left w:val="single" w:color="auto" w:sz="4" w:space="0"/>
              <w:bottom w:val="single" w:color="auto" w:sz="4" w:space="0"/>
              <w:right w:val="single" w:color="auto" w:sz="4" w:space="0"/>
            </w:tcBorders>
          </w:tcPr>
          <w:p>
            <w:pPr>
              <w:jc w:val="right"/>
              <w:outlineLvl w:val="2"/>
              <w:rPr>
                <w:rFonts w:cs="Cambria"/>
                <w:szCs w:val="21"/>
              </w:rPr>
            </w:pPr>
          </w:p>
        </w:tc>
      </w:tr>
    </w:tbl>
    <w:p/>
    <w:bookmarkEnd w:id="315"/>
    <w:bookmarkEnd w:id="316"/>
    <w:p>
      <w:pPr>
        <w:pStyle w:val="229"/>
        <w:numPr>
          <w:ilvl w:val="0"/>
          <w:numId w:val="120"/>
        </w:numPr>
        <w:rPr>
          <w:rFonts w:ascii="宋体" w:hAnsi="宋体" w:cs="Arial"/>
          <w:szCs w:val="21"/>
        </w:rPr>
      </w:pPr>
      <w:r>
        <w:rPr>
          <w:rFonts w:hint="eastAsia" w:ascii="宋体" w:hAnsi="宋体" w:cs="Arial"/>
          <w:szCs w:val="21"/>
        </w:rPr>
        <w:t>持续和非持续第一层次公允价值计量项目市价的确定依据</w:t>
      </w:r>
    </w:p>
    <w:sdt>
      <w:sdtPr>
        <w:rPr>
          <w:rFonts w:hint="eastAsia" w:cs="Arial"/>
          <w:szCs w:val="21"/>
        </w:rPr>
        <w:alias w:val="是否适用：持续和非持续第一层次公允价值计量项目市价的确定依据[双击切换]"/>
        <w:tag w:val="_GBC_fc42dd94906341819da0f825b0c88571"/>
        <w:id w:val="27930"/>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 </w:instrText>
          </w:r>
          <w:r>
            <w:rPr>
              <w:rFonts w:hint="eastAsia" w:cs="Arial"/>
              <w:szCs w:val="21"/>
            </w:rPr>
            <w:instrText xml:space="preserve">MACROBUTTON  SnrToggleCheckbox √适用 </w:instrText>
          </w:r>
          <w:r>
            <w:rPr>
              <w:rFonts w:cs="Arial"/>
              <w:szCs w:val="21"/>
            </w:rPr>
            <w:instrText xml:space="preserve">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sdt>
        <w:sdtPr>
          <w:rPr>
            <w:rFonts w:hint="eastAsia" w:ascii="Times New Roman" w:hAnsi="Times New Roman"/>
            <w:sz w:val="21"/>
            <w:lang w:val="en-US" w:eastAsia="zh-CN"/>
          </w:rPr>
          <w:alias w:val="持续和非持续第一层次公允价值计量项目市价的确定依据"/>
          <w:tag w:val="_GBC_8db65a2ca59047da919942f97cfc594e"/>
          <w:id w:val="27931"/>
          <w:placeholder>
            <w:docPart w:val="GBC22222222222222222222222222222"/>
          </w:placeholder>
        </w:sdtPr>
        <w:sdtEndPr>
          <w:rPr>
            <w:rFonts w:hint="eastAsia" w:ascii="Times New Roman" w:hAnsi="Times New Roman"/>
            <w:sz w:val="21"/>
            <w:lang w:val="en-US" w:eastAsia="zh-CN"/>
          </w:rPr>
        </w:sdtEndPr>
        <w:sdtContent>
          <w:r>
            <w:rPr>
              <w:rFonts w:hint="eastAsia" w:ascii="Times New Roman" w:hAnsi="Times New Roman"/>
              <w:sz w:val="21"/>
              <w:lang w:val="en-US" w:eastAsia="zh-CN"/>
            </w:rPr>
            <w:t>本公司按公允价值三个层次列示了以公允价值计量的金融资产工具于2023年12月31日的账面价值。公允价值整体归类于三个层次时，依据的是公允价值计量时使用的各重要输入值所属三个层次中的最低层次。三个层次的定义如下： 第1层次：是在计量日能够取得的相同资产或负债在活跃市场上未经调整的报价；</w:t>
          </w:r>
        </w:sdtContent>
      </w:sdt>
    </w:p>
    <w:p>
      <w:pPr>
        <w:tabs>
          <w:tab w:val="left" w:pos="1134"/>
        </w:tabs>
        <w:rPr>
          <w:rFonts w:cs="Cambria"/>
          <w:b/>
          <w:szCs w:val="21"/>
        </w:rPr>
      </w:pPr>
    </w:p>
    <w:p>
      <w:pPr>
        <w:pStyle w:val="229"/>
        <w:numPr>
          <w:ilvl w:val="0"/>
          <w:numId w:val="120"/>
        </w:numPr>
      </w:pPr>
      <w:r>
        <w:rPr>
          <w:rFonts w:hint="eastAsia" w:ascii="宋体" w:hAnsi="宋体" w:cs="Arial"/>
          <w:szCs w:val="21"/>
        </w:rPr>
        <w:t>持续和非持续第二层次公允价值计量项目，采用的估值技术和重要参数的定性及定量信息</w:t>
      </w:r>
    </w:p>
    <w:sdt>
      <w:sdtPr>
        <w:rPr>
          <w:rFonts w:hint="eastAsia" w:cs="Cambria"/>
          <w:szCs w:val="21"/>
        </w:rPr>
        <w:alias w:val="是否适用：持续和非持续第二层次公允价值计量项目，采用的估值技术和重要参数的定性及定量信息[双击切换]"/>
        <w:tag w:val="_GBC_524db4de656b4bccac2fc473643fe7a6"/>
        <w:id w:val="27932"/>
        <w:placeholder>
          <w:docPart w:val="GBC22222222222222222222222222222"/>
        </w:placeholder>
      </w:sdtPr>
      <w:sdtEndPr>
        <w:rPr>
          <w:rFonts w:hint="eastAsia" w:cs="Cambria"/>
          <w:szCs w:val="21"/>
        </w:rPr>
      </w:sdtEndPr>
      <w:sdtContent>
        <w:p>
          <w:pPr>
            <w:tabs>
              <w:tab w:val="left" w:pos="1134"/>
            </w:tabs>
            <w:rPr>
              <w:rFonts w:cs="Cambria"/>
              <w:szCs w:val="21"/>
            </w:rPr>
          </w:pPr>
          <w:r>
            <w:rPr>
              <w:rFonts w:cs="Cambria"/>
              <w:szCs w:val="21"/>
            </w:rPr>
            <w:fldChar w:fldCharType="begin"/>
          </w:r>
          <w:r>
            <w:rPr>
              <w:rFonts w:cs="Cambria"/>
              <w:szCs w:val="21"/>
            </w:rPr>
            <w:instrText xml:space="preserve"> </w:instrText>
          </w:r>
          <w:r>
            <w:rPr>
              <w:rFonts w:hint="eastAsia" w:cs="Cambria"/>
              <w:szCs w:val="21"/>
            </w:rPr>
            <w:instrText xml:space="preserve">MACROBUTTON  SnrToggleCheckbox √适用 </w:instrText>
          </w:r>
          <w:r>
            <w:rPr>
              <w:rFonts w:cs="Cambria"/>
              <w:szCs w:val="21"/>
            </w:rPr>
            <w:instrText xml:space="preserve">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ascii="Times New Roman" w:hAnsi="Times New Roman" w:cs="Cambria"/>
          <w:szCs w:val="21"/>
        </w:rPr>
        <w:alias w:val="持续和非持续第二层次公允价值计量项目，采用的估值技术和重要参数的定性及定量信息"/>
        <w:tag w:val="_GBC_406ac04d46a9411bb4890572e539e6ca"/>
        <w:id w:val="27933"/>
        <w:placeholder>
          <w:docPart w:val="GBC22222222222222222222222222222"/>
        </w:placeholder>
      </w:sdtPr>
      <w:sdtEndPr>
        <w:rPr>
          <w:rFonts w:ascii="Times New Roman" w:hAnsi="Times New Roman" w:cs="Cambria"/>
          <w:szCs w:val="21"/>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lang w:val="en-US" w:eastAsia="zh-CN"/>
            </w:rPr>
          </w:pPr>
          <w:r>
            <w:rPr>
              <w:rFonts w:hint="eastAsia" w:ascii="Times New Roman" w:hAnsi="Times New Roman"/>
              <w:lang w:val="en-US" w:eastAsia="zh-CN"/>
            </w:rPr>
            <w:t>第2层次：是除第一层次输入值外相关资产或负债直接或间接可观察的输入值；</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Times New Roman" w:hAnsi="Times New Roman" w:eastAsia="宋体" w:cs="Arial"/>
              <w:kern w:val="0"/>
              <w:sz w:val="24"/>
              <w:szCs w:val="24"/>
              <w:lang w:val="en-US" w:eastAsia="zh-CN" w:bidi="ar-SA"/>
            </w:rPr>
          </w:pPr>
          <w:r>
            <w:rPr>
              <w:rFonts w:hint="eastAsia" w:ascii="Times New Roman" w:hAnsi="Times New Roman"/>
              <w:lang w:val="en-US" w:eastAsia="zh-CN"/>
            </w:rPr>
            <w:t>第二层次输入值包括：1）活跃市场中类似资产或负债的报价；2）非活跃市场中相同或类似资产或负债的报价；3）除报价以外的其他可观察输入值，包括在正常报价间隔期间可观察的利率和收益率曲线、隐含波动率和信用利差等；4）市场验证的输入值等</w:t>
          </w:r>
          <w:r>
            <w:rPr>
              <w:rFonts w:hint="eastAsia" w:ascii="Times New Roman" w:hAnsi="Times New Roman" w:eastAsia="宋体" w:cs="Arial"/>
              <w:kern w:val="0"/>
              <w:sz w:val="24"/>
              <w:szCs w:val="24"/>
              <w:lang w:val="en-US" w:eastAsia="zh-CN" w:bidi="ar-SA"/>
            </w:rPr>
            <w:t>。</w:t>
          </w:r>
        </w:p>
        <w:p>
          <w:pPr>
            <w:tabs>
              <w:tab w:val="left" w:pos="1134"/>
            </w:tabs>
            <w:rPr>
              <w:rFonts w:cs="Cambria"/>
              <w:szCs w:val="21"/>
            </w:rPr>
          </w:pPr>
        </w:p>
      </w:sdtContent>
    </w:sdt>
    <w:p>
      <w:pPr>
        <w:rPr>
          <w:szCs w:val="21"/>
        </w:rPr>
      </w:pPr>
    </w:p>
    <w:p>
      <w:pPr>
        <w:pStyle w:val="229"/>
        <w:numPr>
          <w:ilvl w:val="0"/>
          <w:numId w:val="120"/>
        </w:numPr>
      </w:pPr>
      <w:r>
        <w:rPr>
          <w:rFonts w:hint="eastAsia" w:ascii="宋体" w:hAnsi="宋体" w:cs="Arial"/>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27934"/>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Times New Roman" w:hAnsi="Times New Roman"/>
          <w:sz w:val="21"/>
          <w:lang w:val="en-US" w:eastAsia="zh-CN"/>
        </w:rPr>
        <w:alias w:val="持续和非持续第三层次公允价值计量项目，采用的估值技术和重要参数的定性及定量信息"/>
        <w:tag w:val="_GBC_db2fdcfb26ce4ca9ac1e8da23b16aaaa"/>
        <w:id w:val="27935"/>
        <w:placeholder>
          <w:docPart w:val="GBC22222222222222222222222222222"/>
        </w:placeholder>
      </w:sdtPr>
      <w:sdtEndPr>
        <w:rPr>
          <w:rFonts w:hint="eastAsia" w:ascii="Times New Roman" w:hAnsi="Times New Roman"/>
          <w:sz w:val="21"/>
          <w:szCs w:val="21"/>
          <w:lang w:val="en-US" w:eastAsia="zh-C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z w:val="21"/>
              <w:lang w:val="en-US" w:eastAsia="zh-CN"/>
            </w:rPr>
          </w:pPr>
          <w:r>
            <w:rPr>
              <w:rFonts w:hint="eastAsia" w:ascii="Times New Roman" w:hAnsi="Times New Roman"/>
              <w:sz w:val="21"/>
              <w:lang w:val="en-US" w:eastAsia="zh-CN"/>
            </w:rPr>
            <w:t>第3层次：是相关资产或负债的不可观察输入值。</w:t>
          </w:r>
        </w:p>
        <w:p>
          <w:pPr>
            <w:rPr>
              <w:szCs w:val="21"/>
            </w:rPr>
          </w:pPr>
        </w:p>
      </w:sdtContent>
    </w:sdt>
    <w:p>
      <w:pPr>
        <w:tabs>
          <w:tab w:val="left" w:pos="1134"/>
        </w:tabs>
        <w:rPr>
          <w:rFonts w:cs="Cambria"/>
          <w:b/>
          <w:szCs w:val="21"/>
        </w:rPr>
      </w:pPr>
    </w:p>
    <w:p>
      <w:pPr>
        <w:pStyle w:val="229"/>
        <w:numPr>
          <w:ilvl w:val="0"/>
          <w:numId w:val="120"/>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27936"/>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1134"/>
        </w:tabs>
        <w:rPr>
          <w:rFonts w:cs="Cambria"/>
          <w:b/>
          <w:szCs w:val="21"/>
        </w:rPr>
      </w:pPr>
    </w:p>
    <w:p>
      <w:pPr>
        <w:pStyle w:val="229"/>
        <w:numPr>
          <w:ilvl w:val="0"/>
          <w:numId w:val="120"/>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27937"/>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1134"/>
        </w:tabs>
        <w:rPr>
          <w:rFonts w:cs="Cambria"/>
          <w:b/>
          <w:szCs w:val="21"/>
        </w:rPr>
      </w:pPr>
    </w:p>
    <w:p>
      <w:pPr>
        <w:pStyle w:val="229"/>
        <w:numPr>
          <w:ilvl w:val="0"/>
          <w:numId w:val="120"/>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27938"/>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rFonts w:cstheme="minorBidi"/>
          <w:szCs w:val="21"/>
        </w:rPr>
      </w:pPr>
    </w:p>
    <w:p>
      <w:pPr>
        <w:pStyle w:val="229"/>
        <w:numPr>
          <w:ilvl w:val="0"/>
          <w:numId w:val="120"/>
        </w:numPr>
        <w:rPr>
          <w:rFonts w:cstheme="minorBidi"/>
          <w:szCs w:val="21"/>
        </w:rPr>
      </w:pPr>
      <w:r>
        <w:rPr>
          <w:rFonts w:hint="eastAsia" w:cstheme="minorBidi"/>
          <w:szCs w:val="21"/>
        </w:rPr>
        <w:t>不以公允价值计量的</w:t>
      </w:r>
      <w:r>
        <w:rPr>
          <w:rFonts w:hint="eastAsia"/>
        </w:rPr>
        <w:t>金融资产</w:t>
      </w:r>
      <w:r>
        <w:rPr>
          <w:rFonts w:hint="eastAsia" w:cstheme="minorBidi"/>
          <w:szCs w:val="21"/>
        </w:rPr>
        <w:t>和金融负债的公允价值情况</w:t>
      </w:r>
    </w:p>
    <w:sdt>
      <w:sdtPr>
        <w:rPr>
          <w:rFonts w:hint="eastAsia" w:cstheme="minorBidi"/>
          <w:szCs w:val="21"/>
        </w:rPr>
        <w:alias w:val="是否适用：不以公允价值计量的金融资产和金融负债的公允价值情况[双击切换]"/>
        <w:tag w:val="_GBC_734377ec924449c3ae79732fec24b52d"/>
        <w:id w:val="27939"/>
        <w:placeholder>
          <w:docPart w:val="GBC22222222222222222222222222222"/>
        </w:placeholder>
      </w:sdtPr>
      <w:sdtEndPr>
        <w:rPr>
          <w:rFonts w:hint="eastAsia" w:cstheme="minorBidi"/>
          <w:szCs w:val="21"/>
        </w:rPr>
      </w:sdtEndPr>
      <w:sdtContent>
        <w:p>
          <w:pPr>
            <w:outlineLvl w:val="9"/>
            <w:rPr>
              <w:rFonts w:cstheme="minorBidi"/>
              <w:szCs w:val="21"/>
            </w:rPr>
          </w:pPr>
          <w:r>
            <w:rPr>
              <w:rFonts w:cstheme="minorBidi"/>
              <w:szCs w:val="21"/>
            </w:rPr>
            <w:fldChar w:fldCharType="begin"/>
          </w:r>
          <w:r>
            <w:rPr>
              <w:rFonts w:hint="eastAsia" w:cstheme="minorBidi"/>
              <w:szCs w:val="21"/>
              <w:lang w:eastAsia="zh-CN"/>
            </w:rPr>
            <w:instrText xml:space="preserve"> MACROBUTTON  SnrToggleCheckbox □适用  </w:instrText>
          </w:r>
          <w:r>
            <w:rPr>
              <w:rFonts w:cstheme="minorBidi"/>
              <w:szCs w:val="21"/>
            </w:rPr>
            <w:fldChar w:fldCharType="end"/>
          </w:r>
          <w:r>
            <w:rPr>
              <w:rFonts w:cstheme="minorBidi"/>
              <w:szCs w:val="21"/>
            </w:rPr>
            <w:fldChar w:fldCharType="begin"/>
          </w:r>
          <w:r>
            <w:rPr>
              <w:rFonts w:hint="eastAsia" w:cstheme="minorBidi"/>
              <w:szCs w:val="21"/>
              <w:lang w:eastAsia="zh-CN"/>
            </w:rPr>
            <w:instrText xml:space="preserve"> MACROBUTTON  SnrToggleCheckbox √不适用 </w:instrText>
          </w:r>
          <w:r>
            <w:rPr>
              <w:rFonts w:cstheme="minorBidi"/>
              <w:szCs w:val="21"/>
            </w:rPr>
            <w:fldChar w:fldCharType="end"/>
          </w:r>
        </w:p>
      </w:sdtContent>
    </w:sdt>
    <w:p>
      <w:pPr>
        <w:rPr>
          <w:rFonts w:cstheme="minorBidi"/>
          <w:szCs w:val="21"/>
        </w:rPr>
      </w:pPr>
    </w:p>
    <w:p>
      <w:pPr>
        <w:pStyle w:val="229"/>
        <w:numPr>
          <w:ilvl w:val="0"/>
          <w:numId w:val="120"/>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27940"/>
        <w:placeholder>
          <w:docPart w:val="GBC22222222222222222222222222222"/>
        </w:placeholder>
      </w:sdtPr>
      <w:sdtEndPr>
        <w:rPr>
          <w:rFonts w:hint="eastAsia"/>
          <w:szCs w:val="21"/>
        </w:rPr>
      </w:sdtEndPr>
      <w:sdtContent>
        <w:p>
          <w:pPr>
            <w:rPr>
              <w:rFonts w:hint="eastAsia"/>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rFonts w:hint="eastAsia"/>
          <w:szCs w:val="21"/>
        </w:rPr>
      </w:pPr>
    </w:p>
    <w:p>
      <w:pPr>
        <w:pStyle w:val="3"/>
        <w:numPr>
          <w:ilvl w:val="0"/>
          <w:numId w:val="60"/>
        </w:numPr>
        <w:rPr>
          <w:rFonts w:ascii="宋体" w:hAnsi="宋体"/>
        </w:rPr>
      </w:pPr>
      <w:r>
        <w:rPr>
          <w:rFonts w:hint="eastAsia" w:ascii="宋体" w:hAnsi="宋体"/>
        </w:rPr>
        <w:t>关联方及关联交易</w:t>
      </w:r>
    </w:p>
    <w:p>
      <w:pPr>
        <w:pStyle w:val="4"/>
        <w:numPr>
          <w:ilvl w:val="0"/>
          <w:numId w:val="121"/>
        </w:numPr>
      </w:pPr>
      <w:r>
        <w:rPr>
          <w:rFonts w:hint="eastAsia"/>
        </w:rPr>
        <w:t>本企业的母公司情况</w:t>
      </w:r>
    </w:p>
    <w:sdt>
      <w:sdtPr>
        <w:rPr>
          <w:rFonts w:hint="eastAsia"/>
        </w:rPr>
        <w:alias w:val="是否适用：本企业的母公司情况[双击切换]"/>
        <w:tag w:val="_GBC_fe5dd4a2c9ad405db72189e05b735e0c"/>
        <w:id w:val="27941"/>
        <w:placeholder>
          <w:docPart w:val="GBC22222222222222222222222222222"/>
        </w:placeholder>
      </w:sdtPr>
      <w:sdtEndPr>
        <w:rPr>
          <w:rFonts w:hint="eastAsia"/>
        </w:rPr>
      </w:sdtEndPr>
      <w:sdtContent>
        <w:p>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企业的母公司情况"/>
          <w:tag w:val="_GBC_4bdd8b08e4ce41af93512866e6012a92"/>
          <w:id w:val="279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79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172"/>
        <w:gridCol w:w="1539"/>
        <w:gridCol w:w="1228"/>
        <w:gridCol w:w="1490"/>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rPr>
              <w:rFonts w:hint="default" w:ascii="Times New Roman" w:hAnsi="Times New Roman" w:cs="Times New Roman"/>
            </w:rPr>
            <w:tag w:val="_PLD_78501cc34b694302b18c1ea75399510e"/>
            <w:id w:val="27944"/>
          </w:sdtPr>
          <w:sdtEndPr>
            <w:rPr>
              <w:rFonts w:hint="default" w:ascii="Times New Roman" w:hAnsi="Times New Roman" w:cs="Times New Roman"/>
            </w:rPr>
          </w:sdtEndPr>
          <w:sdtContent>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母公司名称</w:t>
                </w:r>
              </w:p>
            </w:tc>
          </w:sdtContent>
        </w:sdt>
        <w:sdt>
          <w:sdtPr>
            <w:rPr>
              <w:rFonts w:hint="default" w:ascii="Times New Roman" w:hAnsi="Times New Roman" w:cs="Times New Roman"/>
            </w:rPr>
            <w:tag w:val="_PLD_9cf29fdb6dc54a2ca1191c007bb19ceb"/>
            <w:id w:val="27945"/>
          </w:sdtPr>
          <w:sdtEndPr>
            <w:rPr>
              <w:rFonts w:hint="default" w:ascii="Times New Roman" w:hAnsi="Times New Roman" w:cs="Times New Roman"/>
            </w:rPr>
          </w:sdtEndPr>
          <w:sdtContent>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注册地</w:t>
                </w:r>
              </w:p>
            </w:tc>
          </w:sdtContent>
        </w:sdt>
        <w:sdt>
          <w:sdtPr>
            <w:rPr>
              <w:rFonts w:hint="default" w:ascii="Times New Roman" w:hAnsi="Times New Roman" w:cs="Times New Roman"/>
            </w:rPr>
            <w:tag w:val="_PLD_738e924675434f8ea1a19e9f01f12c6a"/>
            <w:id w:val="27946"/>
          </w:sdtPr>
          <w:sdtEndPr>
            <w:rPr>
              <w:rFonts w:hint="default" w:ascii="Times New Roman" w:hAnsi="Times New Roman" w:cs="Times New Roman"/>
            </w:rPr>
          </w:sdtEndPr>
          <w:sdtContent>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业务性质</w:t>
                </w:r>
              </w:p>
            </w:tc>
          </w:sdtContent>
        </w:sdt>
        <w:sdt>
          <w:sdtPr>
            <w:rPr>
              <w:rFonts w:hint="default" w:ascii="Times New Roman" w:hAnsi="Times New Roman" w:cs="Times New Roman"/>
            </w:rPr>
            <w:tag w:val="_PLD_8f8ae05947724183906b020ada85e914"/>
            <w:id w:val="27947"/>
          </w:sdtPr>
          <w:sdtEndPr>
            <w:rPr>
              <w:rFonts w:hint="default" w:ascii="Times New Roman" w:hAnsi="Times New Roman" w:cs="Times New Roman"/>
            </w:rPr>
          </w:sdtEndPr>
          <w:sdtContent>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注册资本</w:t>
                </w:r>
              </w:p>
            </w:tc>
          </w:sdtContent>
        </w:sdt>
        <w:sdt>
          <w:sdtPr>
            <w:rPr>
              <w:rFonts w:hint="default" w:ascii="Times New Roman" w:hAnsi="Times New Roman" w:cs="Times New Roman"/>
            </w:rPr>
            <w:tag w:val="_PLD_41f7f469dbcc4ee39514954cb008b0a4"/>
            <w:id w:val="27948"/>
          </w:sdtPr>
          <w:sdtEndPr>
            <w:rPr>
              <w:rFonts w:hint="default" w:ascii="Times New Roman" w:hAnsi="Times New Roman" w:cs="Times New Roman"/>
            </w:rPr>
          </w:sdtEndPr>
          <w:sdtContent>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母公司对本企业的持股比例(%)</w:t>
                </w:r>
              </w:p>
            </w:tc>
          </w:sdtContent>
        </w:sdt>
        <w:sdt>
          <w:sdtPr>
            <w:rPr>
              <w:rFonts w:hint="default" w:ascii="Times New Roman" w:hAnsi="Times New Roman" w:cs="Times New Roman"/>
            </w:rPr>
            <w:tag w:val="_PLD_dab7bc4321ca44eb9d8565239cbf42f7"/>
            <w:id w:val="27949"/>
          </w:sdtPr>
          <w:sdtEndPr>
            <w:rPr>
              <w:rFonts w:hint="default" w:ascii="Times New Roman" w:hAnsi="Times New Roman" w:cs="Times New Roman"/>
            </w:rPr>
          </w:sdtEndPr>
          <w:sdtContent>
            <w:tc>
              <w:tcPr>
                <w:tcW w:w="10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szCs w:val="21"/>
                  </w:rPr>
                  <w:t>母公司对本企业的表决权比例(%)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cs="Times New Roman"/>
                <w:szCs w:val="21"/>
              </w:rPr>
            </w:pPr>
            <w:r>
              <w:rPr>
                <w:rFonts w:hint="default" w:ascii="Times New Roman" w:hAnsi="Times New Roman" w:cs="Times New Roman"/>
              </w:rPr>
              <w:t>广西柳州市产业投资发展集团有限公司</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广西柳州</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有限责任公司</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100,000</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33.34</w:t>
            </w:r>
          </w:p>
        </w:tc>
        <w:tc>
          <w:tcPr>
            <w:tcW w:w="10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Cs w:val="21"/>
              </w:rPr>
            </w:pPr>
            <w:r>
              <w:rPr>
                <w:rFonts w:hint="default" w:ascii="Times New Roman" w:hAnsi="Times New Roman" w:cs="Times New Roman"/>
              </w:rPr>
              <w:t>33.34</w:t>
            </w:r>
          </w:p>
        </w:tc>
      </w:tr>
    </w:tbl>
    <w:p/>
    <w:p>
      <w:pPr>
        <w:tabs>
          <w:tab w:val="left" w:pos="1134"/>
        </w:tabs>
        <w:rPr>
          <w:rFonts w:cs="Cambria"/>
          <w:szCs w:val="21"/>
        </w:rPr>
      </w:pPr>
      <w:r>
        <w:rPr>
          <w:rFonts w:hint="eastAsia" w:cs="Cambria"/>
          <w:szCs w:val="21"/>
        </w:rPr>
        <w:t>本企业的母公司情况的说明</w:t>
      </w:r>
    </w:p>
    <w:sdt>
      <w:sdtPr>
        <w:rPr>
          <w:rFonts w:cs="Cambria"/>
          <w:szCs w:val="21"/>
        </w:rPr>
        <w:alias w:val="本企业的母公司情况的说明"/>
        <w:tag w:val="_GBC_23f67537c1df4d9d9ede9fbc78ad06a4"/>
        <w:id w:val="27950"/>
        <w:placeholder>
          <w:docPart w:val="GBC22222222222222222222222222222"/>
        </w:placeholder>
      </w:sdtPr>
      <w:sdtEndPr>
        <w:rPr>
          <w:rFonts w:cs="Cambria"/>
          <w:szCs w:val="21"/>
        </w:rPr>
      </w:sdtEndPr>
      <w:sdtContent>
        <w:p>
          <w:pPr>
            <w:tabs>
              <w:tab w:val="left" w:pos="1134"/>
            </w:tabs>
            <w:rPr>
              <w:rFonts w:cs="Cambria"/>
              <w:szCs w:val="21"/>
            </w:rPr>
          </w:pPr>
          <w:r>
            <w:rPr>
              <w:rFonts w:hint="eastAsia" w:cs="Cambria"/>
              <w:szCs w:val="21"/>
              <w:lang w:eastAsia="zh-CN"/>
            </w:rPr>
            <w:t>无</w:t>
          </w:r>
        </w:p>
      </w:sdtContent>
    </w:sdt>
    <w:p>
      <w:pPr>
        <w:rPr>
          <w:szCs w:val="21"/>
        </w:rPr>
      </w:pPr>
      <w:r>
        <w:rPr>
          <w:rFonts w:hint="eastAsia"/>
          <w:szCs w:val="21"/>
        </w:rPr>
        <w:t>本企业最终控制方是</w:t>
      </w:r>
      <w:sdt>
        <w:sdtPr>
          <w:rPr>
            <w:rFonts w:hint="eastAsia"/>
            <w:szCs w:val="21"/>
          </w:rPr>
          <w:alias w:val="本企业最终控制方"/>
          <w:tag w:val="_GBC_951a676520994ab7a3822c5f58c20b7d"/>
          <w:id w:val="27951"/>
          <w:placeholder>
            <w:docPart w:val="GBC22222222222222222222222222222"/>
          </w:placeholder>
        </w:sdtPr>
        <w:sdtEndPr>
          <w:rPr>
            <w:rFonts w:hint="eastAsia"/>
            <w:szCs w:val="21"/>
          </w:rPr>
        </w:sdtEndPr>
        <w:sdtContent>
          <w:r>
            <w:rPr>
              <w:rFonts w:hint="eastAsia"/>
              <w:szCs w:val="21"/>
              <w:lang w:val="en-US" w:eastAsia="zh-CN"/>
            </w:rPr>
            <w:t>柳州市人民政府国有资产监督管理委员会</w:t>
          </w:r>
        </w:sdtContent>
      </w:sdt>
    </w:p>
    <w:p>
      <w:pPr>
        <w:rPr>
          <w:szCs w:val="21"/>
        </w:rPr>
      </w:pPr>
      <w:r>
        <w:rPr>
          <w:rFonts w:hint="eastAsia"/>
          <w:szCs w:val="21"/>
        </w:rPr>
        <w:t>其他说明：</w:t>
      </w:r>
    </w:p>
    <w:sdt>
      <w:sdtPr>
        <w:rPr>
          <w:szCs w:val="21"/>
        </w:rPr>
        <w:alias w:val="本企业的母公司情况的其他说明"/>
        <w:tag w:val="_GBC_72b4ca7a02944263a74be4174baff4cf"/>
        <w:id w:val="27952"/>
        <w:placeholder>
          <w:docPart w:val="GBC22222222222222222222222222222"/>
        </w:placeholder>
      </w:sdtPr>
      <w:sdtEndPr>
        <w:rPr>
          <w:szCs w:val="21"/>
        </w:rPr>
      </w:sdtEndPr>
      <w:sdtContent>
        <w:p>
          <w:pPr>
            <w:rPr>
              <w:szCs w:val="21"/>
            </w:rPr>
          </w:pPr>
          <w:r>
            <w:rPr>
              <w:rFonts w:hint="eastAsia"/>
              <w:szCs w:val="21"/>
              <w:lang w:eastAsia="zh-CN"/>
            </w:rPr>
            <w:t>无</w:t>
          </w:r>
        </w:p>
      </w:sdtContent>
    </w:sdt>
    <w:p>
      <w:pPr>
        <w:pStyle w:val="4"/>
        <w:numPr>
          <w:ilvl w:val="0"/>
          <w:numId w:val="121"/>
        </w:numPr>
        <w:rPr>
          <w:rFonts w:ascii="宋体" w:hAnsi="宋体" w:cs="Arial"/>
          <w:szCs w:val="21"/>
        </w:rPr>
      </w:pPr>
      <w:r>
        <w:rPr>
          <w:rFonts w:hint="eastAsia" w:ascii="宋体" w:hAnsi="宋体" w:cs="Arial"/>
          <w:szCs w:val="21"/>
        </w:rPr>
        <w:t>本企业的子公司情况</w:t>
      </w:r>
    </w:p>
    <w:p>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27953"/>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7954"/>
        <w:placeholder>
          <w:docPart w:val="GBC22222222222222222222222222222"/>
        </w:placeholder>
      </w:sdtPr>
      <w:sdtEndPr>
        <w:rPr>
          <w:rFonts w:hint="eastAsia"/>
          <w:szCs w:val="21"/>
          <w:highlight w:val="none"/>
        </w:rPr>
      </w:sdtEndPr>
      <w:sdtContent>
        <w:p>
          <w:pPr>
            <w:rPr>
              <w:szCs w:val="21"/>
              <w:highlight w:val="none"/>
            </w:rPr>
          </w:pPr>
          <w:r>
            <w:rPr>
              <w:rFonts w:hint="eastAsia"/>
              <w:szCs w:val="21"/>
              <w:lang w:val="en-US" w:eastAsia="zh-CN"/>
            </w:rPr>
            <w:t>详见</w:t>
          </w:r>
          <w:r>
            <w:rPr>
              <w:rFonts w:hint="eastAsia"/>
              <w:szCs w:val="21"/>
              <w:highlight w:val="none"/>
              <w:lang w:val="en-US" w:eastAsia="zh-CN"/>
            </w:rPr>
            <w:t>“十、在其他主体中的权益”之“1、在子公司中的权益”</w:t>
          </w:r>
        </w:p>
      </w:sdtContent>
    </w:sdt>
    <w:p>
      <w:pPr>
        <w:tabs>
          <w:tab w:val="left" w:pos="1134"/>
        </w:tabs>
        <w:rPr>
          <w:rFonts w:cs="Cambria"/>
          <w:szCs w:val="21"/>
        </w:rPr>
      </w:pPr>
    </w:p>
    <w:p>
      <w:pPr>
        <w:pStyle w:val="4"/>
        <w:numPr>
          <w:ilvl w:val="0"/>
          <w:numId w:val="121"/>
        </w:numPr>
      </w:pPr>
      <w:r>
        <w:rPr>
          <w:rFonts w:hint="eastAsia"/>
        </w:rPr>
        <w:t>本企业合营和联营企业情况</w:t>
      </w:r>
    </w:p>
    <w:p>
      <w:r>
        <w:rPr>
          <w:rFonts w:hint="eastAsia"/>
        </w:rPr>
        <w:t>本企业重要的合营或联营企业详见附注</w:t>
      </w:r>
    </w:p>
    <w:sdt>
      <w:sdtPr>
        <w:alias w:val="是否适用：本企业重要的合营或联营企业详见附注[双击切换]"/>
        <w:tag w:val="_GBC_a44d5ddc347344bcaadf8652bc7a927c"/>
        <w:id w:val="27955"/>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27956"/>
        <w:placeholder>
          <w:docPart w:val="GBC22222222222222222222222222222"/>
        </w:placeholder>
      </w:sdtPr>
      <w:sdtEndPr>
        <w:rPr>
          <w:rFonts w:hint="eastAsia"/>
        </w:rPr>
      </w:sdtEndPr>
      <w:sdtContent>
        <w:p>
          <w:r>
            <w:rPr>
              <w:rFonts w:hint="eastAsia"/>
            </w:rPr>
            <w:t>详见“十、在其他主体中的权益”之“</w:t>
          </w:r>
          <w:r>
            <w:rPr>
              <w:rFonts w:hint="eastAsia"/>
              <w:lang w:val="en-US" w:eastAsia="zh-CN"/>
            </w:rPr>
            <w:t>3、在合营企业或联营企业中的权益</w:t>
          </w:r>
          <w:r>
            <w:rPr>
              <w:rFonts w:hint="eastAsia"/>
            </w:rPr>
            <w:t>”</w:t>
          </w:r>
        </w:p>
      </w:sdtContent>
    </w:sdt>
    <w:p>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7957"/>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5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e6d2a60380d424fbe39edbe16e876ad"/>
            <w:id w:val="27958"/>
          </w:sdtPr>
          <w:sdtContent>
            <w:tc>
              <w:tcPr>
                <w:tcW w:w="2201"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合营或联营企业名称</w:t>
                </w:r>
              </w:p>
            </w:tc>
          </w:sdtContent>
        </w:sdt>
        <w:sdt>
          <w:sdtPr>
            <w:tag w:val="_PLD_7a4c0374bc514021b6a270655cb81e9e"/>
            <w:id w:val="27959"/>
          </w:sdtPr>
          <w:sdtContent>
            <w:tc>
              <w:tcPr>
                <w:tcW w:w="27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与本企业关系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1" w:type="pct"/>
            <w:tcBorders>
              <w:top w:val="single" w:color="auto" w:sz="4" w:space="0"/>
              <w:left w:val="single" w:color="auto" w:sz="4" w:space="0"/>
              <w:bottom w:val="single" w:color="auto" w:sz="4" w:space="0"/>
              <w:right w:val="single" w:color="auto" w:sz="4" w:space="0"/>
            </w:tcBorders>
          </w:tcPr>
          <w:p>
            <w:pPr>
              <w:jc w:val="left"/>
              <w:rPr>
                <w:szCs w:val="21"/>
              </w:rPr>
            </w:pPr>
            <w:r>
              <w:t>成都同基医药有限公司</w:t>
            </w:r>
          </w:p>
        </w:tc>
        <w:tc>
          <w:tcPr>
            <w:tcW w:w="2798" w:type="pct"/>
            <w:tcBorders>
              <w:top w:val="single" w:color="auto" w:sz="4" w:space="0"/>
              <w:left w:val="single" w:color="auto" w:sz="4" w:space="0"/>
              <w:bottom w:val="single" w:color="auto" w:sz="4" w:space="0"/>
              <w:right w:val="single" w:color="auto" w:sz="4" w:space="0"/>
            </w:tcBorders>
          </w:tcPr>
          <w:p>
            <w:pPr>
              <w:jc w:val="center"/>
              <w:rPr>
                <w:szCs w:val="21"/>
              </w:rPr>
            </w:pPr>
            <w:r>
              <w:t>本公司的参股公司</w:t>
            </w:r>
          </w:p>
        </w:tc>
      </w:tr>
    </w:tbl>
    <w:p/>
    <w:p>
      <w:pPr>
        <w:tabs>
          <w:tab w:val="left" w:pos="1134"/>
        </w:tabs>
        <w:rPr>
          <w:rFonts w:cs="Cambria"/>
          <w:szCs w:val="21"/>
        </w:rPr>
      </w:pPr>
    </w:p>
    <w:p>
      <w:pPr>
        <w:tabs>
          <w:tab w:val="left" w:pos="1134"/>
        </w:tabs>
        <w:rPr>
          <w:rFonts w:cs="Cambria"/>
          <w:szCs w:val="21"/>
        </w:rPr>
      </w:pPr>
      <w:r>
        <w:rPr>
          <w:rFonts w:hint="eastAsia" w:cs="Cambria"/>
          <w:szCs w:val="21"/>
        </w:rPr>
        <w:t>其他说明</w:t>
      </w:r>
    </w:p>
    <w:sdt>
      <w:sdtPr>
        <w:rPr>
          <w:rFonts w:cs="Cambria"/>
          <w:szCs w:val="21"/>
        </w:rPr>
        <w:alias w:val="是否适用：存在关联方交易或余额的合营和联营企业情况说明[双击切换]"/>
        <w:tag w:val="_GBC_491f62bb76ba49c482a64272865cc4a1"/>
        <w:id w:val="27960"/>
        <w:placeholder>
          <w:docPart w:val="GBC22222222222222222222222222222"/>
        </w:placeholder>
      </w:sdtPr>
      <w:sdtEndPr>
        <w:rPr>
          <w:rFonts w:cs="Cambria"/>
          <w:szCs w:val="21"/>
        </w:rPr>
      </w:sdtEndPr>
      <w:sdtContent>
        <w:p>
          <w:pPr>
            <w:tabs>
              <w:tab w:val="left" w:pos="1134"/>
            </w:tabs>
            <w:outlineLvl w:val="9"/>
            <w:rPr>
              <w:rFonts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sdtContent>
    </w:sdt>
    <w:p>
      <w:pPr>
        <w:tabs>
          <w:tab w:val="left" w:pos="1134"/>
        </w:tabs>
        <w:rPr>
          <w:rFonts w:cs="Cambria"/>
          <w:szCs w:val="21"/>
        </w:rPr>
      </w:pPr>
    </w:p>
    <w:p>
      <w:pPr>
        <w:pStyle w:val="4"/>
        <w:numPr>
          <w:ilvl w:val="0"/>
          <w:numId w:val="121"/>
        </w:numPr>
      </w:pPr>
      <w:r>
        <w:rPr>
          <w:rFonts w:hint="eastAsia"/>
        </w:rPr>
        <w:t>其他关联方情况</w:t>
      </w:r>
    </w:p>
    <w:sdt>
      <w:sdtPr>
        <w:alias w:val="是否适用：其他关联方情况[双击切换]"/>
        <w:tag w:val="_GBC_42246b4c04fc4462b5fb05a5db67f4d0"/>
        <w:id w:val="27961"/>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36db3e8c12e04d279b0c2956ad69d8a6"/>
            <w:id w:val="23124"/>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其他关联方名称</w:t>
                </w:r>
              </w:p>
            </w:tc>
          </w:sdtContent>
        </w:sdt>
        <w:sdt>
          <w:sdtPr>
            <w:tag w:val="_PLD_b851a2cc9280416290b9ebf815c49236"/>
            <w:id w:val="23125"/>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其他关联方与本企业关系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rPr>
                <w:rFonts w:cs="Cambria"/>
                <w:szCs w:val="21"/>
              </w:rPr>
            </w:pPr>
            <w:r>
              <w:t>柳州市元宏投资发展有限公司(原柳州两面针旅游用品厂)</w:t>
            </w:r>
          </w:p>
        </w:tc>
        <w:sdt>
          <w:sdtPr>
            <w:rPr>
              <w:rFonts w:cs="Cambria"/>
              <w:szCs w:val="21"/>
            </w:rPr>
            <w:alias w:val="本企业的其他关联方情况明细－其他关联方与本公司关系"/>
            <w:tag w:val="_GBC_58cfdd73098648d8af76645c4007a3fa"/>
            <w:id w:val="2312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rPr>
                    <w:rFonts w:cs="Cambria"/>
                    <w:color w:val="auto"/>
                    <w:szCs w:val="21"/>
                  </w:rPr>
                  <w:t>本公司的参股股东</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rPr>
                <w:rFonts w:cs="Cambria"/>
                <w:szCs w:val="21"/>
              </w:rPr>
            </w:pPr>
            <w:r>
              <w:t>柳州市沁原纸业发展有限公司（原柳州两面针纸业有限公司）</w:t>
            </w:r>
          </w:p>
        </w:tc>
        <w:sdt>
          <w:sdtPr>
            <w:rPr>
              <w:rFonts w:cs="Cambria"/>
              <w:szCs w:val="21"/>
            </w:rPr>
            <w:alias w:val="本企业的其他关联方情况明细－其他关联方与本公司关系"/>
            <w:tag w:val="_GBC_58cfdd73098648d8af76645c4007a3fa"/>
            <w:id w:val="2312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rPr>
                    <w:rFonts w:cs="Cambria"/>
                    <w:color w:val="auto"/>
                    <w:szCs w:val="21"/>
                  </w:rPr>
                  <w:t>母公司的控股子公司</w:t>
                </w:r>
              </w:p>
            </w:tc>
          </w:sdtContent>
        </w:sdt>
      </w:tr>
    </w:tbl>
    <w:p/>
    <w:p/>
    <w:p>
      <w:pPr>
        <w:tabs>
          <w:tab w:val="left" w:pos="1134"/>
        </w:tabs>
        <w:rPr>
          <w:rFonts w:cs="Cambria"/>
          <w:szCs w:val="21"/>
        </w:rPr>
      </w:pPr>
      <w:r>
        <w:rPr>
          <w:rFonts w:hint="eastAsia" w:cs="Cambria"/>
          <w:szCs w:val="21"/>
        </w:rPr>
        <w:t>其他说明</w:t>
      </w:r>
    </w:p>
    <w:sdt>
      <w:sdtPr>
        <w:rPr>
          <w:rFonts w:cs="Cambria"/>
          <w:szCs w:val="21"/>
        </w:rPr>
        <w:alias w:val="本企业的其他关联方情况的说明"/>
        <w:tag w:val="_GBC_117952daaba845fa964eb3e2e22e8fc5"/>
        <w:id w:val="27966"/>
        <w:placeholder>
          <w:docPart w:val="GBC22222222222222222222222222222"/>
        </w:placeholder>
      </w:sdtPr>
      <w:sdtEndPr>
        <w:rPr>
          <w:rFonts w:cs="Cambria"/>
          <w:szCs w:val="21"/>
        </w:rPr>
      </w:sdtEndPr>
      <w:sdtContent>
        <w:p>
          <w:pPr>
            <w:tabs>
              <w:tab w:val="left" w:pos="1134"/>
            </w:tabs>
            <w:rPr>
              <w:rFonts w:cs="Cambria"/>
              <w:szCs w:val="21"/>
            </w:rPr>
          </w:pPr>
          <w:r>
            <w:rPr>
              <w:rFonts w:hint="eastAsia" w:cs="Cambria"/>
              <w:szCs w:val="21"/>
              <w:lang w:eastAsia="zh-CN"/>
            </w:rPr>
            <w:t>无</w:t>
          </w:r>
        </w:p>
      </w:sdtContent>
    </w:sdt>
    <w:p>
      <w:pPr>
        <w:tabs>
          <w:tab w:val="left" w:pos="1134"/>
        </w:tabs>
        <w:rPr>
          <w:rFonts w:cs="Cambria"/>
          <w:b/>
          <w:szCs w:val="21"/>
        </w:rPr>
      </w:pPr>
    </w:p>
    <w:p>
      <w:pPr>
        <w:pStyle w:val="4"/>
        <w:numPr>
          <w:ilvl w:val="0"/>
          <w:numId w:val="121"/>
        </w:numPr>
      </w:pPr>
      <w:r>
        <w:rPr>
          <w:rFonts w:hint="eastAsia"/>
        </w:rPr>
        <w:t>关联交易情况</w:t>
      </w:r>
    </w:p>
    <w:p>
      <w:pPr>
        <w:pStyle w:val="5"/>
        <w:numPr>
          <w:ilvl w:val="3"/>
          <w:numId w:val="122"/>
        </w:numPr>
        <w:ind w:left="424" w:hanging="424" w:hangingChars="201"/>
      </w:pPr>
      <w:r>
        <w:rPr>
          <w:rFonts w:hint="eastAsia"/>
        </w:rPr>
        <w:t>购销商品、提供和接受劳务的关联交易</w:t>
      </w:r>
    </w:p>
    <w:p>
      <w:r>
        <w:rPr>
          <w:rFonts w:hint="eastAsia"/>
        </w:rPr>
        <w:t>采购商品/接受劳务情况表</w:t>
      </w:r>
    </w:p>
    <w:sdt>
      <w:sdtPr>
        <w:alias w:val="是否适用：采购商品或接受劳务情况表[双击切换]"/>
        <w:tag w:val="_GBC_c080653feddc4cf2a468adfbb755dff3"/>
        <w:id w:val="2796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317" w:name="_Hlk40536931"/>
        </w:p>
      </w:sdtContent>
    </w:sdt>
    <w:p/>
    <w:bookmarkEnd w:id="317"/>
    <w:p>
      <w:pPr>
        <w:ind w:right="-775" w:rightChars="-369"/>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27968"/>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rPr>
              <w:szCs w:val="21"/>
            </w:rPr>
          </w:pPr>
        </w:p>
      </w:sdtContent>
    </w:sdt>
    <w:p>
      <w:pPr>
        <w:rPr>
          <w:rFonts w:cs="Cambria"/>
          <w:szCs w:val="21"/>
        </w:rPr>
      </w:pPr>
      <w:r>
        <w:rPr>
          <w:rFonts w:hint="eastAsia" w:cs="Cambr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27969"/>
        <w:placeholder>
          <w:docPart w:val="GBC22222222222222222222222222222"/>
        </w:placeholder>
      </w:sdtPr>
      <w:sdtEndPr>
        <w:rPr>
          <w:rFonts w:cs="Cambria"/>
          <w:szCs w:val="21"/>
        </w:rPr>
      </w:sdtEndPr>
      <w:sdtContent>
        <w:p>
          <w:pPr>
            <w:outlineLvl w:val="9"/>
            <w:rPr>
              <w:rFonts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sdtContent>
    </w:sdt>
    <w:p>
      <w:pPr>
        <w:rPr>
          <w:rFonts w:cs="Cambria"/>
          <w:szCs w:val="21"/>
        </w:rPr>
      </w:pPr>
    </w:p>
    <w:p>
      <w:pPr>
        <w:pStyle w:val="5"/>
        <w:numPr>
          <w:ilvl w:val="3"/>
          <w:numId w:val="122"/>
        </w:numPr>
        <w:ind w:left="424" w:hanging="426" w:hangingChars="202"/>
      </w:pPr>
      <w:r>
        <w:rPr>
          <w:rFonts w:hint="eastAsia"/>
        </w:rPr>
        <w:t>关联受托管理/承包及委托管理/出包情况</w:t>
      </w:r>
    </w:p>
    <w:p>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7970"/>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p>
          <w:pPr>
            <w:rPr>
              <w:rFonts w:cs="Cambria"/>
              <w:szCs w:val="21"/>
            </w:rPr>
          </w:pPr>
        </w:p>
      </w:sdtContent>
    </w:sdt>
    <w:p>
      <w:pPr>
        <w:rPr>
          <w:rFonts w:cs="Cambria"/>
          <w:szCs w:val="21"/>
        </w:rPr>
      </w:pPr>
      <w:r>
        <w:rPr>
          <w:rFonts w:hint="eastAsia" w:cs="Cambria"/>
          <w:szCs w:val="21"/>
        </w:rPr>
        <w:t>关联托管/承包情况说明</w:t>
      </w:r>
    </w:p>
    <w:sdt>
      <w:sdtPr>
        <w:rPr>
          <w:rFonts w:cs="Cambria"/>
          <w:szCs w:val="21"/>
        </w:rPr>
        <w:alias w:val="是否适用：关联托管或承包情况说明[双击切换]"/>
        <w:tag w:val="_GBC_60aca51a92e545e9bbad9ba5228083c8"/>
        <w:id w:val="27971"/>
        <w:placeholder>
          <w:docPart w:val="GBC22222222222222222222222222222"/>
        </w:placeholder>
      </w:sdtPr>
      <w:sdtEndPr>
        <w:rPr>
          <w:rFonts w:cs="Cambria"/>
          <w:szCs w:val="21"/>
        </w:rPr>
      </w:sdtEndPr>
      <w:sdtContent>
        <w:p>
          <w:pPr>
            <w:outlineLvl w:val="9"/>
            <w:rPr>
              <w:rFonts w:cs="Cambria"/>
              <w:szCs w:val="21"/>
            </w:rPr>
          </w:pPr>
          <w:r>
            <w:rPr>
              <w:rFonts w:cs="Cambria"/>
              <w:szCs w:val="21"/>
            </w:rPr>
            <w:fldChar w:fldCharType="begin"/>
          </w:r>
          <w:r>
            <w:rPr>
              <w:rFonts w:hint="eastAsia" w:cs="Cambria"/>
              <w:szCs w:val="21"/>
              <w:lang w:eastAsia="zh-CN"/>
            </w:rPr>
            <w:instrText xml:space="preserve">MACROBUTTON  SnrToggleCheckbox □适用 </w:instrText>
          </w:r>
          <w:r>
            <w:rPr>
              <w:rFonts w:cs="Cambria"/>
              <w:szCs w:val="21"/>
            </w:rPr>
            <w:fldChar w:fldCharType="end"/>
          </w:r>
          <w:r>
            <w:rPr>
              <w:rFonts w:cs="Cambria"/>
              <w:szCs w:val="21"/>
            </w:rPr>
            <w:fldChar w:fldCharType="begin"/>
          </w:r>
          <w:r>
            <w:rPr>
              <w:rFonts w:hint="eastAsia" w:cs="Cambria"/>
              <w:szCs w:val="21"/>
              <w:lang w:eastAsia="zh-CN"/>
            </w:rPr>
            <w:instrText xml:space="preserve"> MACROBUTTON  SnrToggleCheckbox √不适用 </w:instrText>
          </w:r>
          <w:r>
            <w:rPr>
              <w:rFonts w:cs="Cambria"/>
              <w:szCs w:val="21"/>
            </w:rPr>
            <w:fldChar w:fldCharType="end"/>
          </w:r>
        </w:p>
        <w:p>
          <w:pPr>
            <w:outlineLvl w:val="9"/>
            <w:rPr>
              <w:rFonts w:cs="Cambria"/>
              <w:szCs w:val="21"/>
            </w:rPr>
          </w:pPr>
        </w:p>
      </w:sdtContent>
    </w:sdt>
    <w:p>
      <w:pPr>
        <w:rPr>
          <w:rFonts w:cs="Cambria"/>
          <w:bCs/>
          <w:szCs w:val="21"/>
        </w:rPr>
      </w:pPr>
      <w:r>
        <w:rPr>
          <w:rFonts w:hint="eastAsia"/>
          <w:szCs w:val="21"/>
        </w:rPr>
        <w:t>本公司</w:t>
      </w:r>
      <w:r>
        <w:rPr>
          <w:rFonts w:hint="eastAsia" w:cs="Cambria"/>
          <w:bCs/>
          <w:szCs w:val="21"/>
        </w:rPr>
        <w:t>委托管理/出包情况表</w:t>
      </w:r>
    </w:p>
    <w:sdt>
      <w:sdtPr>
        <w:rPr>
          <w:rFonts w:cs="Cambria"/>
          <w:bCs/>
          <w:szCs w:val="21"/>
        </w:rPr>
        <w:alias w:val="是否适用：本公司委托管理或出包情况表[双击切换]"/>
        <w:tag w:val="_GBC_4655dfffa9a7464b8715035e819d5968"/>
        <w:id w:val="27972"/>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hint="eastAsia" w:cs="Cambria"/>
              <w:bCs/>
              <w:szCs w:val="21"/>
              <w:lang w:eastAsia="zh-CN"/>
            </w:rPr>
            <w:instrText xml:space="preserve">MACROBUTTON  SnrToggleCheckbox □适用 </w:instrText>
          </w:r>
          <w:r>
            <w:rPr>
              <w:rFonts w:cs="Cambria"/>
              <w:bCs/>
              <w:szCs w:val="21"/>
            </w:rPr>
            <w:fldChar w:fldCharType="end"/>
          </w:r>
          <w:r>
            <w:rPr>
              <w:rFonts w:cs="Cambria"/>
              <w:bCs/>
              <w:szCs w:val="21"/>
            </w:rPr>
            <w:fldChar w:fldCharType="begin"/>
          </w:r>
          <w:r>
            <w:rPr>
              <w:rFonts w:hint="eastAsia" w:cs="Cambria"/>
              <w:bCs/>
              <w:szCs w:val="21"/>
              <w:lang w:eastAsia="zh-CN"/>
            </w:rPr>
            <w:instrText xml:space="preserve"> MACROBUTTON  SnrToggleCheckbox √不适用 </w:instrText>
          </w:r>
          <w:r>
            <w:rPr>
              <w:rFonts w:cs="Cambria"/>
              <w:bCs/>
              <w:szCs w:val="21"/>
            </w:rPr>
            <w:fldChar w:fldCharType="end"/>
          </w:r>
        </w:p>
        <w:p/>
      </w:sdtContent>
    </w:sdt>
    <w:p>
      <w:pPr>
        <w:rPr>
          <w:rFonts w:cs="Cambria"/>
          <w:bCs/>
          <w:szCs w:val="21"/>
        </w:rPr>
      </w:pPr>
      <w:r>
        <w:rPr>
          <w:rFonts w:hint="eastAsia" w:cs="Cambria"/>
          <w:bCs/>
          <w:szCs w:val="21"/>
        </w:rPr>
        <w:t>关联管理/出包情况说明</w:t>
      </w:r>
    </w:p>
    <w:sdt>
      <w:sdtPr>
        <w:rPr>
          <w:rFonts w:cs="Cambria"/>
          <w:bCs/>
          <w:szCs w:val="21"/>
        </w:rPr>
        <w:alias w:val="是否适用：关联管理或出包情况说明[双击切换]"/>
        <w:tag w:val="_GBC_a21df8e7013c4b70bab4125cabda8c46"/>
        <w:id w:val="27973"/>
        <w:placeholder>
          <w:docPart w:val="GBC22222222222222222222222222222"/>
        </w:placeholder>
      </w:sdtPr>
      <w:sdtEndPr>
        <w:rPr>
          <w:rFonts w:cs="Cambria"/>
          <w:bCs/>
          <w:szCs w:val="21"/>
        </w:rPr>
      </w:sdtEndPr>
      <w:sdtContent>
        <w:p>
          <w:pPr>
            <w:outlineLvl w:val="9"/>
            <w:rPr>
              <w:rFonts w:cs="Cambria"/>
              <w:bCs/>
              <w:szCs w:val="21"/>
            </w:rPr>
          </w:pPr>
          <w:r>
            <w:rPr>
              <w:rFonts w:cs="Cambria"/>
              <w:bCs/>
              <w:szCs w:val="21"/>
            </w:rPr>
            <w:fldChar w:fldCharType="begin"/>
          </w:r>
          <w:r>
            <w:rPr>
              <w:rFonts w:hint="eastAsia" w:cs="Cambria"/>
              <w:bCs/>
              <w:szCs w:val="21"/>
              <w:lang w:eastAsia="zh-CN"/>
            </w:rPr>
            <w:instrText xml:space="preserve">MACROBUTTON  SnrToggleCheckbox □适用 </w:instrText>
          </w:r>
          <w:r>
            <w:rPr>
              <w:rFonts w:cs="Cambria"/>
              <w:bCs/>
              <w:szCs w:val="21"/>
            </w:rPr>
            <w:fldChar w:fldCharType="end"/>
          </w:r>
          <w:r>
            <w:rPr>
              <w:rFonts w:cs="Cambria"/>
              <w:bCs/>
              <w:szCs w:val="21"/>
            </w:rPr>
            <w:fldChar w:fldCharType="begin"/>
          </w:r>
          <w:r>
            <w:rPr>
              <w:rFonts w:hint="eastAsia" w:cs="Cambria"/>
              <w:bCs/>
              <w:szCs w:val="21"/>
              <w:lang w:eastAsia="zh-CN"/>
            </w:rPr>
            <w:instrText xml:space="preserve"> MACROBUTTON  SnrToggleCheckbox √不适用 </w:instrText>
          </w:r>
          <w:r>
            <w:rPr>
              <w:rFonts w:cs="Cambria"/>
              <w:bCs/>
              <w:szCs w:val="21"/>
            </w:rPr>
            <w:fldChar w:fldCharType="end"/>
          </w:r>
        </w:p>
        <w:p>
          <w:pPr>
            <w:outlineLvl w:val="9"/>
            <w:rPr>
              <w:rFonts w:cs="Cambria"/>
              <w:bCs/>
              <w:szCs w:val="21"/>
            </w:rPr>
          </w:pPr>
        </w:p>
      </w:sdtContent>
    </w:sdt>
    <w:p>
      <w:pPr>
        <w:pStyle w:val="5"/>
        <w:numPr>
          <w:ilvl w:val="3"/>
          <w:numId w:val="122"/>
        </w:numPr>
        <w:ind w:left="424" w:hanging="426" w:hangingChars="202"/>
      </w:pPr>
      <w:r>
        <w:rPr>
          <w:rFonts w:hint="eastAsia"/>
        </w:rPr>
        <w:t>关联租赁情况</w:t>
      </w:r>
    </w:p>
    <w:p>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2797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rPr>
              <w:rFonts w:hint="eastAsia" w:eastAsia="宋体"/>
              <w:szCs w:val="21"/>
              <w:lang w:eastAsia="zh-CN"/>
            </w:rPr>
          </w:pPr>
        </w:p>
      </w:sdtContent>
    </w:sdt>
    <w:p>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27975"/>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rPr>
              <w:szCs w:val="21"/>
            </w:rPr>
          </w:pPr>
        </w:p>
      </w:sdtContent>
    </w:sdt>
    <w:p>
      <w:pPr>
        <w:rPr>
          <w:szCs w:val="21"/>
        </w:rPr>
      </w:pPr>
      <w:r>
        <w:rPr>
          <w:rFonts w:hint="eastAsia"/>
          <w:szCs w:val="21"/>
        </w:rPr>
        <w:t>关联租赁情况说明</w:t>
      </w:r>
    </w:p>
    <w:sdt>
      <w:sdtPr>
        <w:rPr>
          <w:szCs w:val="21"/>
        </w:rPr>
        <w:alias w:val="是否适用：关联租赁情况说明[双击切换]"/>
        <w:tag w:val="_GBC_f11304240a9e46d8b340976a035205d3"/>
        <w:id w:val="2797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5"/>
        <w:numPr>
          <w:ilvl w:val="3"/>
          <w:numId w:val="122"/>
        </w:numPr>
        <w:ind w:left="424" w:hanging="426" w:hangingChars="202"/>
      </w:pPr>
      <w:r>
        <w:rPr>
          <w:rFonts w:hint="eastAsia"/>
        </w:rPr>
        <w:t>关联担保情况</w:t>
      </w:r>
    </w:p>
    <w:p>
      <w:r>
        <w:rPr>
          <w:rFonts w:hint="eastAsia"/>
        </w:rPr>
        <w:t>本公司作为担保方</w:t>
      </w:r>
    </w:p>
    <w:sdt>
      <w:sdtPr>
        <w:alias w:val="是否适用：本公司作为担保方的担保情况表[双击切换]"/>
        <w:tag w:val="_GBC_4ba390d56c0645788c7893af84ca2773"/>
        <w:id w:val="27977"/>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27978"/>
        <w:placeholder>
          <w:docPart w:val="GBC22222222222222222222222222222"/>
        </w:placeholder>
      </w:sdtPr>
      <w:sdtEndPr>
        <w:rPr>
          <w:rFonts w:ascii="Cambria" w:hAnsi="Cambria" w:cs="Cambria"/>
        </w:rPr>
      </w:sdtEndPr>
      <w:sdtContent>
        <w:p>
          <w:pPr>
            <w:rPr>
              <w:rFonts w:cs="Cambria"/>
            </w:rPr>
          </w:pPr>
          <w:r>
            <w:rPr>
              <w:rFonts w:cs="Cambria"/>
            </w:rPr>
            <w:fldChar w:fldCharType="begin"/>
          </w:r>
          <w:r>
            <w:rPr>
              <w:rFonts w:hint="eastAsia" w:cs="Cambria"/>
              <w:lang w:eastAsia="zh-CN"/>
            </w:rPr>
            <w:instrText xml:space="preserve">MACROBUTTON  SnrToggleCheckbox □适用 </w:instrText>
          </w:r>
          <w:r>
            <w:rPr>
              <w:rFonts w:cs="Cambria"/>
            </w:rPr>
            <w:fldChar w:fldCharType="end"/>
          </w:r>
          <w:r>
            <w:rPr>
              <w:rFonts w:cs="Cambria"/>
            </w:rPr>
            <w:fldChar w:fldCharType="begin"/>
          </w:r>
          <w:r>
            <w:rPr>
              <w:rFonts w:hint="eastAsia" w:cs="Cambria"/>
              <w:lang w:eastAsia="zh-CN"/>
            </w:rPr>
            <w:instrText xml:space="preserve"> MACROBUTTON  SnrToggleCheckbox √不适用 </w:instrText>
          </w:r>
          <w:r>
            <w:rPr>
              <w:rFonts w:cs="Cambria"/>
            </w:rPr>
            <w:fldChar w:fldCharType="end"/>
          </w:r>
        </w:p>
        <w:p>
          <w:pPr>
            <w:rPr>
              <w:rFonts w:ascii="Cambria" w:hAnsi="Cambria" w:cs="Cambria"/>
            </w:rPr>
          </w:pPr>
        </w:p>
      </w:sdtContent>
    </w:sdt>
    <w:p>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27979"/>
        <w:placeholder>
          <w:docPart w:val="GBC22222222222222222222222222222"/>
        </w:placeholder>
      </w:sdtPr>
      <w:sdtEndPr>
        <w:rPr>
          <w:rFonts w:ascii="Cambria" w:hAnsi="Cambria" w:cs="Cambria"/>
        </w:rPr>
      </w:sdtEndPr>
      <w:sdtContent>
        <w:p>
          <w:pPr>
            <w:outlineLvl w:val="9"/>
            <w:rPr>
              <w:rFonts w:cs="Cambria"/>
            </w:rPr>
          </w:pPr>
          <w:r>
            <w:rPr>
              <w:rFonts w:cs="Cambria"/>
            </w:rPr>
            <w:fldChar w:fldCharType="begin"/>
          </w:r>
          <w:r>
            <w:rPr>
              <w:rFonts w:hint="eastAsia" w:cs="Cambria"/>
              <w:lang w:eastAsia="zh-CN"/>
            </w:rPr>
            <w:instrText xml:space="preserve">MACROBUTTON  SnrToggleCheckbox □适用 </w:instrText>
          </w:r>
          <w:r>
            <w:rPr>
              <w:rFonts w:cs="Cambria"/>
            </w:rPr>
            <w:fldChar w:fldCharType="end"/>
          </w:r>
          <w:r>
            <w:rPr>
              <w:rFonts w:cs="Cambria"/>
            </w:rPr>
            <w:fldChar w:fldCharType="begin"/>
          </w:r>
          <w:r>
            <w:rPr>
              <w:rFonts w:hint="eastAsia" w:cs="Cambria"/>
              <w:lang w:eastAsia="zh-CN"/>
            </w:rPr>
            <w:instrText xml:space="preserve"> MACROBUTTON  SnrToggleCheckbox √不适用 </w:instrText>
          </w:r>
          <w:r>
            <w:rPr>
              <w:rFonts w:cs="Cambria"/>
            </w:rPr>
            <w:fldChar w:fldCharType="end"/>
          </w:r>
        </w:p>
        <w:p>
          <w:pPr>
            <w:outlineLvl w:val="9"/>
            <w:rPr>
              <w:rFonts w:ascii="Cambria" w:hAnsi="Cambria" w:cs="Cambria"/>
              <w:sz w:val="20"/>
              <w:szCs w:val="20"/>
            </w:rPr>
          </w:pPr>
        </w:p>
      </w:sdtContent>
    </w:sdt>
    <w:p>
      <w:pPr>
        <w:pStyle w:val="5"/>
        <w:numPr>
          <w:ilvl w:val="3"/>
          <w:numId w:val="122"/>
        </w:numPr>
        <w:ind w:left="424" w:hanging="426" w:hangingChars="202"/>
      </w:pPr>
      <w:r>
        <w:rPr>
          <w:rFonts w:hint="eastAsia"/>
        </w:rPr>
        <w:t>关联方资金拆借</w:t>
      </w:r>
    </w:p>
    <w:sdt>
      <w:sdtPr>
        <w:alias w:val="是否适用：关联方资金拆借[双击切换]"/>
        <w:tag w:val="_GBC_9b5630a86e1e452494249106e2600b15"/>
        <w:id w:val="27980"/>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outlineLvl w:val="9"/>
            <w:rPr>
              <w:szCs w:val="21"/>
            </w:rPr>
          </w:pPr>
        </w:p>
      </w:sdtContent>
    </w:sdt>
    <w:p>
      <w:pPr>
        <w:pStyle w:val="5"/>
        <w:numPr>
          <w:ilvl w:val="3"/>
          <w:numId w:val="122"/>
        </w:numPr>
        <w:ind w:left="424" w:hanging="426" w:hangingChars="202"/>
      </w:pPr>
      <w:r>
        <w:rPr>
          <w:rFonts w:hint="eastAsia"/>
        </w:rPr>
        <w:t>关联方资产转让、债务重组情况</w:t>
      </w:r>
    </w:p>
    <w:sdt>
      <w:sdtPr>
        <w:alias w:val="是否适用：关联方资产转让、债务重组情况[双击切换]"/>
        <w:tag w:val="_GBC_6f8fce72ce784c23aba8af28c51de336"/>
        <w:id w:val="27981"/>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pStyle w:val="5"/>
        <w:numPr>
          <w:ilvl w:val="3"/>
          <w:numId w:val="122"/>
        </w:numPr>
        <w:ind w:left="424" w:hanging="426" w:hangingChars="202"/>
      </w:pPr>
      <w:r>
        <w:rPr>
          <w:rFonts w:hint="eastAsia"/>
        </w:rPr>
        <w:t>关键管理人员报酬</w:t>
      </w:r>
    </w:p>
    <w:sdt>
      <w:sdtPr>
        <w:alias w:val="是否适用：关键管理人员报酬[双击切换]"/>
        <w:tag w:val="_GBC_4768ccd806f845f4b6f5f0ec038ec747"/>
        <w:id w:val="27982"/>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279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 xml:space="preserve">  币种：</w:t>
      </w:r>
      <w:sdt>
        <w:sdtPr>
          <w:rPr>
            <w:rFonts w:hint="eastAsia" w:ascii="Cambria" w:hAnsi="Cambria" w:cs="Cambria"/>
          </w:rPr>
          <w:alias w:val="币种：财务附注：关键管理人员报酬"/>
          <w:tag w:val="_GBC_9bf846a4da0046829fd7baa3fd1fe348"/>
          <w:id w:val="279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38745be5c64397b1dab92289838da1"/>
            <w:id w:val="27985"/>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项目</w:t>
                </w:r>
              </w:p>
            </w:tc>
          </w:sdtContent>
        </w:sdt>
        <w:sdt>
          <w:sdtPr>
            <w:tag w:val="_PLD_31133ff59dcf4a7b93a7991d1f435b05"/>
            <w:id w:val="27986"/>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本期发生额</w:t>
                </w:r>
              </w:p>
            </w:tc>
          </w:sdtContent>
        </w:sdt>
        <w:sdt>
          <w:sdtPr>
            <w:tag w:val="_PLD_e08658a238f7419ca0d4ce3386ff565e"/>
            <w:id w:val="27987"/>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rPr>
            </w:pPr>
            <w:r>
              <w:rPr>
                <w:rFonts w:hint="default" w:ascii="Times New Roman" w:hAnsi="Times New Roman" w:cs="Times New Roman"/>
              </w:rPr>
              <w:t>关键管理人员报酬</w:t>
            </w:r>
          </w:p>
        </w:tc>
        <w:tc>
          <w:tcPr>
            <w:tcW w:w="1809"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233.61</w:t>
            </w:r>
          </w:p>
        </w:tc>
        <w:tc>
          <w:tcPr>
            <w:tcW w:w="1382" w:type="pct"/>
            <w:tcBorders>
              <w:top w:val="single" w:color="auto" w:sz="4" w:space="0"/>
              <w:left w:val="single" w:color="auto" w:sz="4" w:space="0"/>
              <w:bottom w:val="single" w:color="auto" w:sz="4" w:space="0"/>
              <w:right w:val="single" w:color="auto" w:sz="4" w:space="0"/>
            </w:tcBorders>
            <w:shd w:val="clear" w:color="auto" w:fill="auto"/>
          </w:tcPr>
          <w:p>
            <w:pPr>
              <w:jc w:val="right"/>
              <w:rPr>
                <w:rFonts w:hint="default" w:ascii="Times New Roman" w:hAnsi="Times New Roman" w:cs="Times New Roman"/>
              </w:rPr>
            </w:pPr>
            <w:r>
              <w:rPr>
                <w:rFonts w:hint="default" w:ascii="Times New Roman" w:hAnsi="Times New Roman" w:cs="Times New Roman"/>
              </w:rPr>
              <w:t>257.33</w:t>
            </w:r>
          </w:p>
        </w:tc>
      </w:tr>
    </w:tbl>
    <w:p/>
    <w:p>
      <w:pPr>
        <w:pStyle w:val="5"/>
        <w:numPr>
          <w:ilvl w:val="3"/>
          <w:numId w:val="122"/>
        </w:numPr>
        <w:ind w:left="424" w:hanging="426" w:hangingChars="202"/>
      </w:pPr>
      <w:r>
        <w:rPr>
          <w:rFonts w:hint="eastAsia"/>
        </w:rPr>
        <w:t>其他关联交易</w:t>
      </w:r>
    </w:p>
    <w:sdt>
      <w:sdtPr>
        <w:rPr>
          <w:rFonts w:hint="eastAsia"/>
          <w:szCs w:val="21"/>
        </w:rPr>
        <w:alias w:val="是否适用：其他关联交易[双击切换]"/>
        <w:tag w:val="_GBC_a1203a07d7684e08bdc2f1959f1cb9ae"/>
        <w:id w:val="27988"/>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121"/>
        </w:numPr>
        <w:ind w:left="450" w:hanging="450"/>
        <w:rPr>
          <w:rFonts w:ascii="宋体" w:hAnsi="宋体" w:cs="Arial"/>
          <w:szCs w:val="21"/>
        </w:rPr>
      </w:pPr>
      <w:r>
        <w:rPr>
          <w:rFonts w:hint="eastAsia" w:ascii="宋体" w:hAnsi="宋体" w:cs="Arial"/>
          <w:szCs w:val="21"/>
        </w:rPr>
        <w:t>应收、应付关联方等未结算项目情况</w:t>
      </w:r>
    </w:p>
    <w:p>
      <w:pPr>
        <w:pStyle w:val="5"/>
        <w:numPr>
          <w:ilvl w:val="3"/>
          <w:numId w:val="123"/>
        </w:numPr>
        <w:ind w:left="424" w:hanging="426" w:hangingChars="202"/>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7989"/>
        <w:placeholder>
          <w:docPart w:val="GBC22222222222222222222222222222"/>
        </w:placeholder>
      </w:sdtPr>
      <w:sdtEndPr>
        <w:rPr>
          <w:rFonts w:hint="eastAsia"/>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收关联方款项"/>
          <w:tag w:val="_GBC_83968b233566404db428b085bcb695b8"/>
          <w:id w:val="279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279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868"/>
        <w:gridCol w:w="1554"/>
        <w:gridCol w:w="1320"/>
        <w:gridCol w:w="1458"/>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c0c6dc2d23f94f929199b42c584f57ca"/>
            <w:id w:val="27992"/>
          </w:sdtPr>
          <w:sdtEndPr>
            <w:rPr>
              <w:rFonts w:hint="default" w:ascii="Times New Roman" w:hAnsi="Times New Roman" w:cs="Times New Roman"/>
            </w:rPr>
          </w:sdtEndPr>
          <w:sdtContent>
            <w:tc>
              <w:tcPr>
                <w:tcW w:w="752"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项目名称</w:t>
                </w:r>
              </w:p>
            </w:tc>
          </w:sdtContent>
        </w:sdt>
        <w:sdt>
          <w:sdtPr>
            <w:rPr>
              <w:rFonts w:hint="default" w:ascii="Times New Roman" w:hAnsi="Times New Roman" w:cs="Times New Roman"/>
            </w:rPr>
            <w:tag w:val="_PLD_56aedf077d5c4d3b814d04d193f71af7"/>
            <w:id w:val="27993"/>
          </w:sdtPr>
          <w:sdtEndPr>
            <w:rPr>
              <w:rFonts w:hint="default" w:ascii="Times New Roman" w:hAnsi="Times New Roman" w:cs="Times New Roman"/>
            </w:rPr>
          </w:sdtEndPr>
          <w:sdtContent>
            <w:tc>
              <w:tcPr>
                <w:tcW w:w="1032"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关联方</w:t>
                </w:r>
              </w:p>
            </w:tc>
          </w:sdtContent>
        </w:sdt>
        <w:sdt>
          <w:sdtPr>
            <w:rPr>
              <w:rFonts w:hint="default" w:ascii="Times New Roman" w:hAnsi="Times New Roman" w:cs="Times New Roman"/>
            </w:rPr>
            <w:tag w:val="_PLD_e8867e7b52fb42f4b447e445a20beebc"/>
            <w:id w:val="27994"/>
          </w:sdtPr>
          <w:sdtEndPr>
            <w:rPr>
              <w:rFonts w:hint="default" w:ascii="Times New Roman" w:hAnsi="Times New Roman" w:cs="Times New Roman"/>
            </w:rPr>
          </w:sdtEndPr>
          <w:sdtContent>
            <w:tc>
              <w:tcPr>
                <w:tcW w:w="1588"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sdt>
          <w:sdtPr>
            <w:rPr>
              <w:rFonts w:hint="default" w:ascii="Times New Roman" w:hAnsi="Times New Roman" w:cs="Times New Roman"/>
            </w:rPr>
            <w:tag w:val="_PLD_6a4888e558004037a5faac678bea523c"/>
            <w:id w:val="27995"/>
          </w:sdtPr>
          <w:sdtEndPr>
            <w:rPr>
              <w:rFonts w:hint="default" w:ascii="Times New Roman" w:hAnsi="Times New Roman" w:cs="Times New Roman"/>
            </w:rPr>
          </w:sdtEndPr>
          <w:sdtContent>
            <w:tc>
              <w:tcPr>
                <w:tcW w:w="1627"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p>
        </w:tc>
        <w:tc>
          <w:tcPr>
            <w:tcW w:w="1032"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p>
        </w:tc>
        <w:sdt>
          <w:sdtPr>
            <w:rPr>
              <w:rFonts w:hint="default" w:ascii="Times New Roman" w:hAnsi="Times New Roman" w:cs="Times New Roman"/>
            </w:rPr>
            <w:tag w:val="_PLD_0545f54235344f978e1e8356e1b05042"/>
            <w:id w:val="27996"/>
          </w:sdtPr>
          <w:sdtEndPr>
            <w:rPr>
              <w:rFonts w:hint="default" w:ascii="Times New Roman" w:hAnsi="Times New Roman" w:cs="Times New Roman"/>
            </w:rPr>
          </w:sdtEndPr>
          <w:sdtContent>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账面余额</w:t>
                </w:r>
              </w:p>
            </w:tc>
          </w:sdtContent>
        </w:sdt>
        <w:sdt>
          <w:sdtPr>
            <w:rPr>
              <w:rFonts w:hint="default" w:ascii="Times New Roman" w:hAnsi="Times New Roman" w:cs="Times New Roman"/>
            </w:rPr>
            <w:tag w:val="_PLD_9e6982f3b5cd46e9b3be23eda364cd7a"/>
            <w:id w:val="27997"/>
          </w:sdtPr>
          <w:sdtEndPr>
            <w:rPr>
              <w:rFonts w:hint="default" w:ascii="Times New Roman" w:hAnsi="Times New Roman" w:cs="Times New Roman"/>
            </w:rPr>
          </w:sdtEndPr>
          <w:sdtContent>
            <w:tc>
              <w:tcPr>
                <w:tcW w:w="72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w:t>
                </w:r>
              </w:p>
            </w:tc>
          </w:sdtContent>
        </w:sdt>
        <w:sdt>
          <w:sdtPr>
            <w:rPr>
              <w:rFonts w:hint="default" w:ascii="Times New Roman" w:hAnsi="Times New Roman" w:cs="Times New Roman"/>
            </w:rPr>
            <w:tag w:val="_PLD_5c8e0a4ac99e4539bea932f77317d8de"/>
            <w:id w:val="27998"/>
          </w:sdtPr>
          <w:sdtEndPr>
            <w:rPr>
              <w:rFonts w:hint="default" w:ascii="Times New Roman" w:hAnsi="Times New Roman" w:cs="Times New Roman"/>
            </w:rPr>
          </w:sdtEndPr>
          <w:sdtContent>
            <w:tc>
              <w:tcPr>
                <w:tcW w:w="80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账面余额</w:t>
                </w:r>
              </w:p>
            </w:tc>
          </w:sdtContent>
        </w:sdt>
        <w:sdt>
          <w:sdtPr>
            <w:rPr>
              <w:rFonts w:hint="default" w:ascii="Times New Roman" w:hAnsi="Times New Roman" w:cs="Times New Roman"/>
            </w:rPr>
            <w:tag w:val="_PLD_c5afa9908d794831a4bc715802a1061d"/>
            <w:id w:val="27999"/>
          </w:sdtPr>
          <w:sdtEndPr>
            <w:rPr>
              <w:rFonts w:hint="default" w:ascii="Times New Roman" w:hAnsi="Times New Roman" w:cs="Times New Roman"/>
            </w:rPr>
          </w:sdtEndPr>
          <w:sdtContent>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rPr>
              <w:t>应收账款</w:t>
            </w:r>
          </w:p>
        </w:tc>
        <w:tc>
          <w:tcPr>
            <w:tcW w:w="1032"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rPr>
              <w:t>成都同基医药有限公司</w:t>
            </w:r>
          </w:p>
        </w:tc>
        <w:tc>
          <w:tcPr>
            <w:tcW w:w="85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c>
          <w:tcPr>
            <w:tcW w:w="72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c>
          <w:tcPr>
            <w:tcW w:w="8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472,231.68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rPr>
              <w:t>其他应收款</w:t>
            </w:r>
          </w:p>
        </w:tc>
        <w:tc>
          <w:tcPr>
            <w:tcW w:w="1032"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rPr>
              <w:t>广西亿康南药药业种植有限责任公司</w:t>
            </w:r>
          </w:p>
        </w:tc>
        <w:tc>
          <w:tcPr>
            <w:tcW w:w="85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c>
          <w:tcPr>
            <w:tcW w:w="72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c>
          <w:tcPr>
            <w:tcW w:w="8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3,801,452.43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rPr>
              <w:t>其他应收款</w:t>
            </w:r>
          </w:p>
        </w:tc>
        <w:tc>
          <w:tcPr>
            <w:tcW w:w="1032"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rPr>
              <w:t>柳州市玉洁口腔卫生用品有限责任公司</w:t>
            </w:r>
          </w:p>
        </w:tc>
        <w:tc>
          <w:tcPr>
            <w:tcW w:w="85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c>
          <w:tcPr>
            <w:tcW w:w="72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c>
          <w:tcPr>
            <w:tcW w:w="8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c>
          <w:tcPr>
            <w:tcW w:w="8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379,755.30</w:t>
            </w:r>
          </w:p>
        </w:tc>
      </w:tr>
    </w:tbl>
    <w:p/>
    <w:p>
      <w:pPr>
        <w:rPr>
          <w:rFonts w:ascii="仿宋_GB2312" w:eastAsia="仿宋_GB2312"/>
          <w:szCs w:val="21"/>
        </w:rPr>
      </w:pPr>
    </w:p>
    <w:p>
      <w:pPr>
        <w:pStyle w:val="5"/>
        <w:numPr>
          <w:ilvl w:val="3"/>
          <w:numId w:val="123"/>
        </w:numPr>
        <w:ind w:left="424" w:hanging="426" w:hangingChars="202"/>
      </w:pPr>
      <w:r>
        <w:rPr>
          <w:rFonts w:hint="eastAsia"/>
        </w:rPr>
        <w:t>应付项目</w:t>
      </w:r>
    </w:p>
    <w:sdt>
      <w:sdtPr>
        <w:rPr>
          <w:rFonts w:hint="eastAsia"/>
          <w:szCs w:val="21"/>
        </w:rPr>
        <w:alias w:val="是否适用：应付项目[双击切换]"/>
        <w:tag w:val="_GBC_41bc31a1fefb4e25918c1ece7c27be62"/>
        <w:id w:val="28000"/>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付关联方款项"/>
          <w:tag w:val="_GBC_dda5edeadff34e4f829b49a813d869a1"/>
          <w:id w:val="28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280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2770"/>
        <w:gridCol w:w="1977"/>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06617d378f48ec942565c9488249ee"/>
            <w:id w:val="28003"/>
          </w:sdtPr>
          <w:sdtContent>
            <w:tc>
              <w:tcPr>
                <w:tcW w:w="1195" w:type="pct"/>
                <w:tcBorders>
                  <w:top w:val="single" w:color="auto" w:sz="4" w:space="0"/>
                  <w:left w:val="single" w:color="auto" w:sz="4" w:space="0"/>
                  <w:right w:val="single" w:color="auto" w:sz="4" w:space="0"/>
                </w:tcBorders>
              </w:tcPr>
              <w:p>
                <w:pPr>
                  <w:jc w:val="center"/>
                  <w:rPr>
                    <w:szCs w:val="21"/>
                  </w:rPr>
                </w:pPr>
                <w:r>
                  <w:rPr>
                    <w:rFonts w:hint="eastAsia"/>
                    <w:szCs w:val="21"/>
                  </w:rPr>
                  <w:t>项目名称</w:t>
                </w:r>
              </w:p>
            </w:tc>
          </w:sdtContent>
        </w:sdt>
        <w:sdt>
          <w:sdtPr>
            <w:tag w:val="_PLD_8c0f65fb9987497db9d8cb750665f14a"/>
            <w:id w:val="28004"/>
          </w:sdtPr>
          <w:sdtContent>
            <w:tc>
              <w:tcPr>
                <w:tcW w:w="1530" w:type="pct"/>
                <w:tcBorders>
                  <w:top w:val="single" w:color="auto" w:sz="4" w:space="0"/>
                  <w:left w:val="single" w:color="auto" w:sz="4" w:space="0"/>
                  <w:right w:val="single" w:color="auto" w:sz="4" w:space="0"/>
                </w:tcBorders>
              </w:tcPr>
              <w:p>
                <w:pPr>
                  <w:jc w:val="center"/>
                  <w:rPr>
                    <w:szCs w:val="21"/>
                  </w:rPr>
                </w:pPr>
                <w:r>
                  <w:rPr>
                    <w:rFonts w:hint="eastAsia"/>
                    <w:szCs w:val="21"/>
                  </w:rPr>
                  <w:t>关联方</w:t>
                </w:r>
              </w:p>
            </w:tc>
          </w:sdtContent>
        </w:sdt>
        <w:sdt>
          <w:sdtPr>
            <w:tag w:val="_PLD_6abb3a201708442494b9fede0eddf518"/>
            <w:id w:val="28005"/>
          </w:sdtPr>
          <w:sdtContent>
            <w:tc>
              <w:tcPr>
                <w:tcW w:w="1092"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期末账面余额</w:t>
                </w:r>
              </w:p>
            </w:tc>
          </w:sdtContent>
        </w:sdt>
        <w:sdt>
          <w:sdtPr>
            <w:tag w:val="_PLD_55efe2bab54445818fecaf16ed9366f9"/>
            <w:id w:val="28006"/>
          </w:sdtPr>
          <w:sdtContent>
            <w:tc>
              <w:tcPr>
                <w:tcW w:w="1181"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hint="eastAsia"/>
                <w:szCs w:val="21"/>
              </w:rPr>
            </w:pPr>
            <w:r>
              <w:t>应付账款</w:t>
            </w:r>
          </w:p>
        </w:tc>
        <w:tc>
          <w:tcPr>
            <w:tcW w:w="153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szCs w:val="21"/>
              </w:rPr>
            </w:pPr>
            <w:r>
              <w:t>柳州两面针洗涤用品厂</w:t>
            </w:r>
          </w:p>
        </w:tc>
        <w:tc>
          <w:tcPr>
            <w:tcW w:w="109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699,080.06</w:t>
            </w:r>
          </w:p>
        </w:tc>
        <w:tc>
          <w:tcPr>
            <w:tcW w:w="118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hint="default" w:ascii="Times New Roman" w:hAnsi="Times New Roman" w:cs="Times New Roman"/>
                <w:szCs w:val="21"/>
              </w:rPr>
            </w:pPr>
            <w:r>
              <w:rPr>
                <w:rFonts w:hint="default" w:ascii="Times New Roman" w:hAnsi="Times New Roman" w:cs="Times New Roman"/>
              </w:rPr>
              <w:t>699,080.06</w:t>
            </w:r>
          </w:p>
        </w:tc>
      </w:tr>
    </w:tbl>
    <w:p/>
    <w:p>
      <w:pPr>
        <w:pStyle w:val="5"/>
        <w:numPr>
          <w:ilvl w:val="3"/>
          <w:numId w:val="123"/>
        </w:numPr>
        <w:ind w:left="424" w:hanging="426" w:hangingChars="202"/>
      </w:pPr>
      <w:r>
        <w:rPr>
          <w:rFonts w:hint="eastAsia"/>
        </w:rPr>
        <w:t>其他项目</w:t>
      </w:r>
    </w:p>
    <w:sdt>
      <w:sdtPr>
        <w:rPr>
          <w:szCs w:val="21"/>
        </w:rPr>
        <w:alias w:val="是否适用：关联方其他未结算项目情况[双击切换]"/>
        <w:tag w:val="_GBC_61142f5ee3c54a58901e03781b59f5db"/>
        <w:id w:val="28007"/>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rPr>
              <w:szCs w:val="21"/>
            </w:rPr>
          </w:pPr>
        </w:p>
      </w:sdtContent>
    </w:sdt>
    <w:p>
      <w:pPr>
        <w:pStyle w:val="4"/>
        <w:numPr>
          <w:ilvl w:val="0"/>
          <w:numId w:val="121"/>
        </w:numPr>
      </w:pPr>
      <w:r>
        <w:rPr>
          <w:rFonts w:hint="eastAsia"/>
        </w:rPr>
        <w:t>关联方</w:t>
      </w:r>
      <w:r>
        <w:rPr>
          <w:rFonts w:hint="eastAsia" w:ascii="宋体" w:hAnsi="宋体" w:cs="Arial"/>
          <w:szCs w:val="21"/>
        </w:rPr>
        <w:t>承诺</w:t>
      </w:r>
    </w:p>
    <w:sdt>
      <w:sdtPr>
        <w:rPr>
          <w:rFonts w:hint="eastAsia"/>
          <w:szCs w:val="21"/>
        </w:rPr>
        <w:alias w:val="是否适用：关联方承诺[双击切换]"/>
        <w:tag w:val="_GBC_cf52a7b0760b4670b5fc5ea8d7363a6c"/>
        <w:id w:val="28008"/>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tabs>
          <w:tab w:val="left" w:pos="1134"/>
        </w:tabs>
        <w:rPr>
          <w:rFonts w:ascii="Cambria" w:hAnsi="Cambria" w:cs="Cambria" w:eastAsiaTheme="minorEastAsia"/>
          <w:sz w:val="20"/>
          <w:szCs w:val="20"/>
        </w:rPr>
      </w:pPr>
    </w:p>
    <w:p>
      <w:pPr>
        <w:pStyle w:val="4"/>
        <w:numPr>
          <w:ilvl w:val="0"/>
          <w:numId w:val="121"/>
        </w:numPr>
        <w:rPr>
          <w:rFonts w:ascii="Cambria" w:hAnsi="Cambria" w:cs="Cambria" w:eastAsiaTheme="minorEastAsia"/>
          <w:sz w:val="20"/>
          <w:szCs w:val="20"/>
        </w:rPr>
      </w:pPr>
      <w:r>
        <w:rPr>
          <w:rFonts w:hint="eastAsia" w:ascii="宋体" w:hAnsi="宋体" w:cs="Arial"/>
          <w:szCs w:val="21"/>
        </w:rPr>
        <w:t>其他</w:t>
      </w:r>
    </w:p>
    <w:sdt>
      <w:sdtPr>
        <w:rPr>
          <w:rFonts w:hint="eastAsia"/>
        </w:rPr>
        <w:alias w:val="是否适用：关联方及关联情况的其他说明[双击切换]"/>
        <w:tag w:val="_GBC_0fbd096440c645128adaffccb05f4e2f"/>
        <w:id w:val="28009"/>
        <w:placeholder>
          <w:docPart w:val="GBC22222222222222222222222222222"/>
        </w:placeholder>
      </w:sdtPr>
      <w:sdtEndPr>
        <w:rPr>
          <w:rFonts w:hint="eastAsia"/>
        </w:rPr>
      </w:sdtEndPr>
      <w:sdtContent>
        <w:p>
          <w:pPr>
            <w:tabs>
              <w:tab w:val="left" w:pos="1134"/>
            </w:tabs>
            <w:outlineLvl w:val="9"/>
            <w:rPr>
              <w:rFonts w:ascii="Cambria" w:hAnsi="Cambria" w:cs="Cambria"/>
              <w:b/>
              <w:sz w:val="20"/>
              <w:szCs w:val="20"/>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tabs>
          <w:tab w:val="left" w:pos="1134"/>
        </w:tabs>
        <w:rPr>
          <w:rFonts w:cs="Cambria"/>
          <w:szCs w:val="21"/>
        </w:rPr>
      </w:pPr>
    </w:p>
    <w:p>
      <w:pPr>
        <w:pStyle w:val="3"/>
        <w:numPr>
          <w:ilvl w:val="0"/>
          <w:numId w:val="60"/>
        </w:numPr>
      </w:pPr>
      <w:r>
        <w:rPr>
          <w:rFonts w:hint="eastAsia"/>
        </w:rPr>
        <w:t>股份支付</w:t>
      </w:r>
    </w:p>
    <w:p>
      <w:pPr>
        <w:pStyle w:val="4"/>
        <w:numPr>
          <w:ilvl w:val="0"/>
          <w:numId w:val="124"/>
        </w:numPr>
        <w:ind w:left="450" w:hanging="450"/>
      </w:pPr>
      <w:bookmarkStart w:id="318" w:name="_Hlk40787153"/>
      <w:bookmarkStart w:id="319" w:name="_Hlk151135509"/>
      <w:r>
        <w:rPr>
          <w:rFonts w:hint="eastAsia"/>
        </w:rPr>
        <w:t>各项权益工具</w:t>
      </w:r>
    </w:p>
    <w:sdt>
      <w:sdtPr>
        <w:alias w:val="是否适用：各项权益工具[双击切换]"/>
        <w:tag w:val="_GBC_0398e620ff9243c39df09ccd571d2387"/>
        <w:id w:val="2801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r>
        <w:rPr>
          <w:rFonts w:hint="eastAsia"/>
        </w:rPr>
        <w:t>期末发行在外的股票期权或其他权益工具</w:t>
      </w:r>
    </w:p>
    <w:sdt>
      <w:sdtPr>
        <w:alias w:val="是否适用：期末发行在外的股票期权或其他权益工具[双击切换]"/>
        <w:tag w:val="_GBC_2e4df3ddd5a5427f9a9de654e2e35eb0"/>
        <w:id w:val="28011"/>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outlineLvl w:val="9"/>
            <w:rPr>
              <w:color w:val="333399"/>
              <w:szCs w:val="21"/>
            </w:rPr>
          </w:pPr>
        </w:p>
      </w:sdtContent>
    </w:sdt>
    <w:bookmarkEnd w:id="318"/>
    <w:p>
      <w:pPr>
        <w:pStyle w:val="4"/>
        <w:numPr>
          <w:ilvl w:val="0"/>
          <w:numId w:val="124"/>
        </w:numPr>
        <w:ind w:left="420" w:hanging="420"/>
        <w:rPr>
          <w:rFonts w:ascii="宋体" w:hAnsi="宋体"/>
        </w:rPr>
      </w:pPr>
      <w:bookmarkStart w:id="320" w:name="_Hlk40787255"/>
      <w:r>
        <w:rPr>
          <w:rFonts w:hint="eastAsia" w:ascii="宋体" w:hAnsi="宋体"/>
        </w:rPr>
        <w:t>以权益结算的股份支付情况</w:t>
      </w:r>
    </w:p>
    <w:sdt>
      <w:sdtPr>
        <w:alias w:val="是否适用：以权益结算的股份支付情况[双击切换]"/>
        <w:tag w:val="_GBC_180733cce6b5415097c0582f27918a4f"/>
        <w:id w:val="28012"/>
        <w:placeholder>
          <w:docPart w:val="GBC22222222222222222222222222222"/>
        </w:placeholder>
      </w:sdtPr>
      <w:sdtContent>
        <w:p>
          <w:pPr>
            <w:outlineLvl w:val="9"/>
            <w:rPr>
              <w:rFonts w:cstheme="minorBidi"/>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319"/>
    <w:bookmarkEnd w:id="320"/>
    <w:p>
      <w:pPr>
        <w:pStyle w:val="4"/>
        <w:numPr>
          <w:ilvl w:val="0"/>
          <w:numId w:val="124"/>
        </w:numPr>
      </w:pPr>
      <w:bookmarkStart w:id="321" w:name="_Hlk40787299"/>
      <w:bookmarkEnd w:id="321"/>
      <w:r>
        <w:rPr>
          <w:rFonts w:hint="eastAsia"/>
        </w:rPr>
        <w:t>以现金结算的股份支付情况</w:t>
      </w:r>
    </w:p>
    <w:sdt>
      <w:sdtPr>
        <w:alias w:val="是否适用：以现金结算的股份支付情况[双击切换]"/>
        <w:tag w:val="_GBC_aa134f611909486bb3a2d6258058f88d"/>
        <w:id w:val="28013"/>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pStyle w:val="4"/>
        <w:numPr>
          <w:ilvl w:val="0"/>
          <w:numId w:val="124"/>
        </w:numPr>
      </w:pPr>
      <w:r>
        <w:t>本期</w:t>
      </w:r>
      <w:r>
        <w:rPr>
          <w:rFonts w:hint="eastAsia"/>
        </w:rPr>
        <w:t>股份支付费用</w:t>
      </w:r>
    </w:p>
    <w:sdt>
      <w:sdtPr>
        <w:alias w:val="是否适用：股份支付费用[双击切换]"/>
        <w:tag w:val="_GBC_13f52df697614645a77ebd37316f419c"/>
        <w:id w:val="28014"/>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
        <w:numPr>
          <w:ilvl w:val="0"/>
          <w:numId w:val="124"/>
        </w:numPr>
      </w:pPr>
      <w:r>
        <w:rPr>
          <w:rFonts w:hint="eastAsia"/>
        </w:rPr>
        <w:t>股份支付的修改、终止情况</w:t>
      </w:r>
    </w:p>
    <w:sdt>
      <w:sdtPr>
        <w:rPr>
          <w:rFonts w:hint="eastAsia"/>
          <w:szCs w:val="21"/>
        </w:rPr>
        <w:alias w:val="是否适用：股份支付的修改、终止情况[双击切换]"/>
        <w:tag w:val="_GBC_6da986e9834d42b9bb7548673f325962"/>
        <w:id w:val="28015"/>
        <w:placeholder>
          <w:docPart w:val="GBC22222222222222222222222222222"/>
        </w:placeholder>
      </w:sdtPr>
      <w:sdtEndPr>
        <w:rPr>
          <w:rFonts w:hint="eastAsia"/>
          <w:szCs w:val="21"/>
        </w:rPr>
      </w:sdtEndPr>
      <w:sdtContent>
        <w:p>
          <w:pPr>
            <w:outlineLvl w:val="9"/>
            <w:rPr>
              <w:rFonts w:asciiTheme="minorHAnsi" w:hAnsiTheme="minorHAnsi" w:eastAsiaTheme="minorEastAsia" w:cstheme="minorBidi"/>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ind w:firstLine="210" w:firstLineChars="100"/>
        <w:rPr>
          <w:szCs w:val="21"/>
        </w:rPr>
      </w:pPr>
    </w:p>
    <w:p>
      <w:pPr>
        <w:pStyle w:val="4"/>
        <w:numPr>
          <w:ilvl w:val="0"/>
          <w:numId w:val="124"/>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28016"/>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3"/>
        <w:numPr>
          <w:ilvl w:val="0"/>
          <w:numId w:val="60"/>
        </w:numPr>
      </w:pPr>
      <w:r>
        <w:rPr>
          <w:rFonts w:hint="eastAsia"/>
        </w:rPr>
        <w:t>承诺及或有事项</w:t>
      </w:r>
    </w:p>
    <w:p>
      <w:pPr>
        <w:pStyle w:val="4"/>
        <w:numPr>
          <w:ilvl w:val="0"/>
          <w:numId w:val="125"/>
        </w:numPr>
        <w:rPr>
          <w:rFonts w:ascii="宋体" w:hAnsi="宋体"/>
        </w:rPr>
      </w:pPr>
      <w:r>
        <w:rPr>
          <w:rFonts w:hint="eastAsia" w:ascii="宋体" w:hAnsi="宋体"/>
        </w:rPr>
        <w:t>重要承诺事项</w:t>
      </w:r>
    </w:p>
    <w:sdt>
      <w:sdtPr>
        <w:alias w:val="是否适用：重要承诺事项[双击切换]"/>
        <w:tag w:val="_GBC_568be9a6805040a8b9fbd5c5d07b45dd"/>
        <w:id w:val="28017"/>
        <w:placeholder>
          <w:docPart w:val="GBC22222222222222222222222222222"/>
        </w:placeholder>
      </w:sdtPr>
      <w:sdtContent>
        <w:p>
          <w:pPr>
            <w:outlineLvl w:val="9"/>
            <w:rPr>
              <w:rFonts w:cs="Cambria"/>
              <w:bCs/>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4"/>
        <w:numPr>
          <w:ilvl w:val="0"/>
          <w:numId w:val="125"/>
        </w:numPr>
      </w:pPr>
      <w:r>
        <w:rPr>
          <w:rFonts w:hint="eastAsia"/>
        </w:rPr>
        <w:t>或有事项</w:t>
      </w:r>
    </w:p>
    <w:p>
      <w:pPr>
        <w:pStyle w:val="5"/>
        <w:numPr>
          <w:ilvl w:val="3"/>
          <w:numId w:val="126"/>
        </w:numPr>
        <w:ind w:left="424" w:hanging="426" w:hangingChars="202"/>
      </w:pPr>
      <w:r>
        <w:rPr>
          <w:rFonts w:hint="eastAsia"/>
        </w:rPr>
        <w:t>资产负债表日存在的重要或有事项</w:t>
      </w:r>
    </w:p>
    <w:sdt>
      <w:sdtPr>
        <w:rPr>
          <w:rFonts w:hint="eastAsia"/>
        </w:rPr>
        <w:alias w:val="是否适用：资产负债表日存在的重要或有事项[双击切换]"/>
        <w:tag w:val="_GBC_d987504ad98e408986b4fc6f62089ffe"/>
        <w:id w:val="28018"/>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pPr>
        <w:pStyle w:val="5"/>
        <w:numPr>
          <w:ilvl w:val="3"/>
          <w:numId w:val="126"/>
        </w:numPr>
        <w:ind w:left="424" w:hanging="426" w:hangingChars="202"/>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28019"/>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Theme="minorHAnsi" w:hAnsiTheme="minorHAnsi" w:cstheme="minorBidi"/>
        </w:rPr>
      </w:pPr>
    </w:p>
    <w:p>
      <w:pPr>
        <w:pStyle w:val="4"/>
        <w:numPr>
          <w:ilvl w:val="0"/>
          <w:numId w:val="125"/>
        </w:numPr>
      </w:pPr>
      <w:r>
        <w:rPr>
          <w:rFonts w:hint="eastAsia"/>
        </w:rPr>
        <w:t>其他</w:t>
      </w:r>
    </w:p>
    <w:sdt>
      <w:sdtPr>
        <w:rPr>
          <w:rFonts w:hint="eastAsia"/>
        </w:rPr>
        <w:alias w:val="是否适用：承诺及或有事项的其他情况说明[双击切换]"/>
        <w:tag w:val="_GBC_cf5b3c02da904b4ea27843983d9a6248"/>
        <w:id w:val="28020"/>
        <w:placeholder>
          <w:docPart w:val="GBC22222222222222222222222222222"/>
        </w:placeholder>
      </w:sdtPr>
      <w:sdtEndPr>
        <w:rPr>
          <w:rFonts w:hint="eastAsia"/>
        </w:rPr>
      </w:sdtEnd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3"/>
        <w:numPr>
          <w:ilvl w:val="0"/>
          <w:numId w:val="60"/>
        </w:numPr>
      </w:pPr>
      <w:r>
        <w:rPr>
          <w:rFonts w:hint="eastAsia"/>
        </w:rPr>
        <w:t>资产负债表日后事项</w:t>
      </w:r>
    </w:p>
    <w:p>
      <w:pPr>
        <w:pStyle w:val="4"/>
        <w:numPr>
          <w:ilvl w:val="0"/>
          <w:numId w:val="127"/>
        </w:numPr>
      </w:pPr>
      <w:r>
        <w:rPr>
          <w:rFonts w:hint="eastAsia"/>
        </w:rPr>
        <w:t>重要的非调整事项</w:t>
      </w:r>
    </w:p>
    <w:sdt>
      <w:sdtPr>
        <w:alias w:val="是否适用：重要的非调整事项[双击切换]"/>
        <w:tag w:val="_GBC_5d94a9ce52454687be716014c1894fef"/>
        <w:id w:val="28021"/>
        <w:placeholder>
          <w:docPart w:val="GBC22222222222222222222222222222"/>
        </w:placeholder>
      </w:sdtPr>
      <w:sdtContent>
        <w:p>
          <w:r>
            <w:fldChar w:fldCharType="begin"/>
          </w:r>
          <w:r>
            <w:rPr>
              <w:rFonts w:hint="default"/>
              <w:lang w:val="en-US"/>
            </w:rPr>
            <w:instrText xml:space="preserve">MACROBUTTON  SnrToggleCheckbox □适用 </w:instrText>
          </w:r>
          <w:r>
            <w:fldChar w:fldCharType="end"/>
          </w:r>
          <w:r>
            <w:fldChar w:fldCharType="begin"/>
          </w:r>
          <w:r>
            <w:rPr>
              <w:lang w:val="en-US"/>
            </w:rPr>
            <w:instrText xml:space="preserve"> MACROBUTTON  SnrToggleCheckbox √不适用 </w:instrText>
          </w:r>
          <w:r>
            <w:fldChar w:fldCharType="end"/>
          </w:r>
        </w:p>
        <w:p/>
      </w:sdtContent>
    </w:sdt>
    <w:p>
      <w:pPr>
        <w:pStyle w:val="4"/>
        <w:numPr>
          <w:ilvl w:val="0"/>
          <w:numId w:val="127"/>
        </w:numPr>
      </w:pPr>
      <w:r>
        <w:rPr>
          <w:rFonts w:hint="eastAsia"/>
        </w:rPr>
        <w:t>利润分配情况</w:t>
      </w:r>
    </w:p>
    <w:sdt>
      <w:sdtPr>
        <w:alias w:val="是否适用：利润分配情况[双击切换]"/>
        <w:tag w:val="_GBC_9a91fb54a6c146e5b9ee1ecff3141237"/>
        <w:id w:val="28022"/>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280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280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5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62968d8f642798440b0d07b3a1dda"/>
            <w:id w:val="28025"/>
          </w:sdtPr>
          <w:sdtContent>
            <w:tc>
              <w:tcPr>
                <w:tcW w:w="2057"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28026"/>
          </w:sdtPr>
          <w:sdtEndPr>
            <w:rPr>
              <w:rFonts w:hint="default" w:ascii="Times New Roman" w:hAnsi="Times New Roman" w:cs="Times New Roman"/>
              <w:szCs w:val="21"/>
            </w:rPr>
          </w:sdtEndPr>
          <w:sdtContent>
            <w:tc>
              <w:tcPr>
                <w:tcW w:w="2943" w:type="pct"/>
                <w:tcBorders>
                  <w:top w:val="single" w:color="auto" w:sz="4" w:space="0"/>
                  <w:left w:val="single" w:color="auto" w:sz="4" w:space="0"/>
                  <w:bottom w:val="single" w:color="auto" w:sz="4" w:space="0"/>
                  <w:right w:val="single" w:color="auto" w:sz="4" w:space="0"/>
                </w:tcBorders>
              </w:tcPr>
              <w:p>
                <w:pPr>
                  <w:jc w:val="right"/>
                  <w:rPr>
                    <w:szCs w:val="21"/>
                  </w:rPr>
                </w:pPr>
                <w:r>
                  <w:rPr>
                    <w:rFonts w:hint="default" w:ascii="Times New Roman" w:hAnsi="Times New Roman" w:cs="Times New Roman"/>
                    <w:szCs w:val="21"/>
                  </w:rPr>
                  <w:t>16,500,000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经审议批准宣告发放的利润或股利</w:t>
            </w:r>
          </w:p>
        </w:tc>
        <w:tc>
          <w:tcPr>
            <w:tcW w:w="2943" w:type="pct"/>
            <w:tcBorders>
              <w:top w:val="single" w:color="auto" w:sz="4" w:space="0"/>
              <w:left w:val="single" w:color="auto" w:sz="4" w:space="0"/>
              <w:bottom w:val="single" w:color="auto" w:sz="4" w:space="0"/>
              <w:right w:val="single" w:color="auto" w:sz="4" w:space="0"/>
            </w:tcBorders>
          </w:tcPr>
          <w:p>
            <w:pPr>
              <w:jc w:val="right"/>
              <w:rPr>
                <w:szCs w:val="21"/>
              </w:rPr>
            </w:pPr>
          </w:p>
        </w:tc>
      </w:tr>
    </w:tbl>
    <w:p>
      <w:pPr>
        <w:rPr>
          <w:rFonts w:ascii="Times New Roman" w:hAnsi="Times New Roman"/>
          <w:sz w:val="21"/>
        </w:rPr>
      </w:pPr>
    </w:p>
    <w:p>
      <w:pPr>
        <w:pStyle w:val="4"/>
        <w:numPr>
          <w:ilvl w:val="0"/>
          <w:numId w:val="127"/>
        </w:numPr>
      </w:pPr>
      <w:r>
        <w:rPr>
          <w:rFonts w:hint="eastAsia"/>
          <w:szCs w:val="21"/>
        </w:rPr>
        <w:t>销售</w:t>
      </w:r>
      <w:r>
        <w:rPr>
          <w:rFonts w:hint="eastAsia"/>
        </w:rPr>
        <w:t>退回</w:t>
      </w:r>
    </w:p>
    <w:sdt>
      <w:sdtPr>
        <w:alias w:val="是否适用：销售退回[双击切换]"/>
        <w:tag w:val="_GBC_7fb2ecaa1ffb494486f4a8b2e94240d2"/>
        <w:id w:val="28027"/>
        <w:placeholder>
          <w:docPart w:val="GBC22222222222222222222222222222"/>
        </w:placeholder>
      </w:sdtPr>
      <w:sdtContent>
        <w:p>
          <w:pPr>
            <w:outlineLvl w:val="9"/>
            <w:rPr>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4"/>
        <w:numPr>
          <w:ilvl w:val="0"/>
          <w:numId w:val="127"/>
        </w:numPr>
      </w:pPr>
      <w:r>
        <w:rPr>
          <w:rFonts w:hint="eastAsia"/>
        </w:rPr>
        <w:t>其他资产负债表日后事项说明</w:t>
      </w:r>
    </w:p>
    <w:sdt>
      <w:sdtPr>
        <w:rPr>
          <w:rFonts w:hint="eastAsia"/>
        </w:rPr>
        <w:alias w:val="是否适用：其他资产负债表日后事项说明[双击切换]"/>
        <w:tag w:val="_GBC_4fc0f824aaea4ed096cae3b9f97ff314"/>
        <w:id w:val="28028"/>
        <w:placeholder>
          <w:docPart w:val="GBC22222222222222222222222222222"/>
        </w:placeholder>
      </w:sdtPr>
      <w:sdtEndPr>
        <w:rPr>
          <w:rFonts w:hint="eastAsia"/>
        </w:rPr>
      </w:sdtEndPr>
      <w:sdtContent>
        <w:p>
          <w:pPr>
            <w:outlineLvl w:val="9"/>
            <w:rPr>
              <w:rFonts w:hint="eastAsia"/>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dt>
      <w:sdtPr>
        <w:alias w:val="资产负债表日后事项的说明"/>
        <w:tag w:val="_GBC_b4faff3f61de47eebe30bc0094d05a2f"/>
        <w:id w:val="928080615"/>
        <w:placeholder>
          <w:docPart w:val="{ae970869-defc-49ea-9ff8-4a7a06e1eb3b}"/>
        </w:placeholder>
      </w:sdtPr>
      <w:sdtEndPr>
        <w:rPr>
          <w:rFonts w:hint="default" w:ascii="Times New Roman" w:hAnsi="Times New Roman" w:cs="Times New Roman"/>
        </w:rPr>
      </w:sdtEndPr>
      <w:sdtContent>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rPr>
          </w:pPr>
          <w:r>
            <w:rPr>
              <w:rFonts w:hint="default" w:ascii="Times New Roman" w:hAnsi="Times New Roman" w:cs="Times New Roman"/>
            </w:rPr>
            <w:t>于2024年3月27日，根据董事会建议的利润分配方案预案，以分红派息股权登记日股本总数为基数，向全体股东每10股派发0.30元人民币现金（含税）。公司剩余未分配利润结转以后年度，本年度不送股，也不进行资本公积金转增股本。上述事项需提交股东大会审议批准。</w:t>
          </w:r>
        </w:p>
      </w:sdtContent>
    </w:sdt>
    <w:p>
      <w:pPr>
        <w:outlineLvl w:val="9"/>
        <w:rPr>
          <w:rFonts w:hint="eastAsia"/>
        </w:rPr>
      </w:pPr>
    </w:p>
    <w:p>
      <w:pPr>
        <w:rPr>
          <w:szCs w:val="21"/>
        </w:rPr>
      </w:pPr>
    </w:p>
    <w:p>
      <w:pPr>
        <w:pStyle w:val="3"/>
        <w:numPr>
          <w:ilvl w:val="0"/>
          <w:numId w:val="60"/>
        </w:numPr>
      </w:pPr>
      <w:r>
        <w:rPr>
          <w:rFonts w:hint="eastAsia"/>
        </w:rPr>
        <w:t>其他重要事项</w:t>
      </w:r>
    </w:p>
    <w:p>
      <w:pPr>
        <w:pStyle w:val="4"/>
        <w:numPr>
          <w:ilvl w:val="0"/>
          <w:numId w:val="128"/>
        </w:numPr>
      </w:pPr>
      <w:r>
        <w:rPr>
          <w:rFonts w:hint="eastAsia"/>
        </w:rPr>
        <w:t>前期会计差错更正</w:t>
      </w:r>
    </w:p>
    <w:p>
      <w:pPr>
        <w:pStyle w:val="5"/>
        <w:numPr>
          <w:ilvl w:val="3"/>
          <w:numId w:val="129"/>
        </w:numPr>
        <w:ind w:left="424" w:hanging="426" w:hangingChars="202"/>
      </w:pPr>
      <w:r>
        <w:rPr>
          <w:rFonts w:hint="eastAsia"/>
        </w:rPr>
        <w:t>追溯重述法</w:t>
      </w:r>
    </w:p>
    <w:sdt>
      <w:sdtPr>
        <w:rPr>
          <w:rFonts w:hint="eastAsia"/>
          <w:szCs w:val="21"/>
        </w:rPr>
        <w:alias w:val="是否适用：追溯重述法[双击切换]"/>
        <w:tag w:val="_GBC_19d462bfe01047cd87b083dddf885193"/>
        <w:id w:val="28029"/>
        <w:placeholder>
          <w:docPart w:val="GBC22222222222222222222222222222"/>
        </w:placeholder>
      </w:sdtPr>
      <w:sdtEndPr>
        <w:rPr>
          <w:rFonts w:hint="eastAsia"/>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rPr>
              <w:rFonts w:hint="eastAsia"/>
              <w:szCs w:val="21"/>
            </w:rPr>
          </w:pPr>
        </w:p>
      </w:sdtContent>
    </w:sdt>
    <w:p>
      <w:pPr>
        <w:pStyle w:val="5"/>
        <w:numPr>
          <w:ilvl w:val="3"/>
          <w:numId w:val="129"/>
        </w:numPr>
        <w:ind w:left="424" w:hanging="426" w:hangingChars="202"/>
      </w:pPr>
      <w:r>
        <w:rPr>
          <w:rFonts w:hint="eastAsia"/>
        </w:rPr>
        <w:t>未来适用法</w:t>
      </w:r>
    </w:p>
    <w:sdt>
      <w:sdtPr>
        <w:alias w:val="是否适用：未来适用法[双击切换]"/>
        <w:tag w:val="_GBC_6fd6421ddf524335aa8fac02bc322e70"/>
        <w:id w:val="28030"/>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pStyle w:val="4"/>
        <w:numPr>
          <w:ilvl w:val="0"/>
          <w:numId w:val="128"/>
        </w:numPr>
      </w:pPr>
      <w:r>
        <w:rPr>
          <w:rFonts w:hint="eastAsia" w:ascii="宋体" w:hAnsi="宋体" w:cs="宋体"/>
          <w:kern w:val="0"/>
          <w:szCs w:val="24"/>
        </w:rPr>
        <w:t>重要</w:t>
      </w:r>
      <w:r>
        <w:rPr>
          <w:rFonts w:hint="eastAsia"/>
        </w:rPr>
        <w:t>债务重组</w:t>
      </w:r>
    </w:p>
    <w:sdt>
      <w:sdtPr>
        <w:alias w:val="是否适用：重要债务重组[双击切换]"/>
        <w:tag w:val="_GBC_6b3631222f074ee0b23297cdcd94685f"/>
        <w:id w:val="28031"/>
        <w:placeholder>
          <w:docPart w:val="GBC22222222222222222222222222222"/>
        </w:placeholder>
      </w:sdtPr>
      <w:sdtContent>
        <w:p>
          <w:pPr>
            <w:spacing w:line="360" w:lineRule="exact"/>
            <w:ind w:right="5"/>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4"/>
        <w:numPr>
          <w:ilvl w:val="0"/>
          <w:numId w:val="128"/>
        </w:numPr>
      </w:pPr>
      <w:r>
        <w:rPr>
          <w:rFonts w:hint="eastAsia"/>
        </w:rPr>
        <w:t>资产置换</w:t>
      </w:r>
    </w:p>
    <w:p>
      <w:pPr>
        <w:pStyle w:val="5"/>
        <w:numPr>
          <w:ilvl w:val="3"/>
          <w:numId w:val="130"/>
        </w:numPr>
        <w:ind w:left="424" w:hanging="426" w:hangingChars="202"/>
      </w:pPr>
      <w:r>
        <w:rPr>
          <w:rFonts w:hint="eastAsia"/>
        </w:rPr>
        <w:t>非货币性资产交换</w:t>
      </w:r>
    </w:p>
    <w:sdt>
      <w:sdtPr>
        <w:rPr>
          <w:rFonts w:hint="eastAsia"/>
          <w:szCs w:val="21"/>
        </w:rPr>
        <w:alias w:val="是否适用：非货币性资产交换[双击切换]"/>
        <w:tag w:val="_GBC_480975ada702478dae8a1468d6e0c3cd"/>
        <w:id w:val="28032"/>
        <w:placeholder>
          <w:docPart w:val="GBC22222222222222222222222222222"/>
        </w:placeholder>
      </w:sdtPr>
      <w:sdtEndPr>
        <w:rPr>
          <w:rFonts w:hint="eastAsia"/>
          <w:szCs w:val="21"/>
        </w:rPr>
      </w:sdtEndPr>
      <w:sdtContent>
        <w:p>
          <w:pPr>
            <w:spacing w:line="360" w:lineRule="exact"/>
            <w:ind w:right="5"/>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spacing w:line="360" w:lineRule="exact"/>
            <w:ind w:right="5"/>
            <w:outlineLvl w:val="9"/>
            <w:rPr>
              <w:szCs w:val="21"/>
            </w:rPr>
          </w:pPr>
        </w:p>
      </w:sdtContent>
    </w:sdt>
    <w:p>
      <w:pPr>
        <w:pStyle w:val="5"/>
        <w:numPr>
          <w:ilvl w:val="3"/>
          <w:numId w:val="130"/>
        </w:numPr>
        <w:ind w:left="424" w:hanging="426" w:hangingChars="202"/>
      </w:pPr>
      <w:r>
        <w:rPr>
          <w:rFonts w:hint="eastAsia"/>
        </w:rPr>
        <w:t>其他资产置换</w:t>
      </w:r>
    </w:p>
    <w:sdt>
      <w:sdtPr>
        <w:rPr>
          <w:rFonts w:hint="eastAsia"/>
          <w:szCs w:val="21"/>
        </w:rPr>
        <w:alias w:val="是否适用：其他资产置换[双击切换]"/>
        <w:tag w:val="_GBC_d4d75cf02549483681739e6eb10910ff"/>
        <w:id w:val="28033"/>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rPr>
              <w:szCs w:val="21"/>
            </w:rPr>
          </w:pPr>
        </w:p>
      </w:sdtContent>
    </w:sdt>
    <w:p>
      <w:pPr>
        <w:pStyle w:val="4"/>
        <w:numPr>
          <w:ilvl w:val="0"/>
          <w:numId w:val="128"/>
        </w:numPr>
      </w:pPr>
      <w:r>
        <w:rPr>
          <w:rFonts w:hint="eastAsia"/>
        </w:rPr>
        <w:t>年金计划</w:t>
      </w:r>
    </w:p>
    <w:sdt>
      <w:sdtPr>
        <w:alias w:val="是否适用：年金计划[双击切换]"/>
        <w:tag w:val="_GBC_7abcd6901bc848d8b58391e0ddd63034"/>
        <w:id w:val="28034"/>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outlineLvl w:val="9"/>
            <w:rPr>
              <w:rFonts w:asciiTheme="minorHAnsi" w:hAnsiTheme="minorHAnsi" w:eastAsiaTheme="minorEastAsia" w:cstheme="minorBidi"/>
              <w:szCs w:val="21"/>
            </w:rPr>
          </w:pPr>
        </w:p>
      </w:sdtContent>
    </w:sdt>
    <w:p>
      <w:pPr>
        <w:pStyle w:val="4"/>
        <w:numPr>
          <w:ilvl w:val="0"/>
          <w:numId w:val="128"/>
        </w:numPr>
        <w:rPr>
          <w:rFonts w:ascii="宋体" w:hAnsi="宋体"/>
          <w:szCs w:val="21"/>
        </w:rPr>
      </w:pPr>
      <w:r>
        <w:rPr>
          <w:rFonts w:hint="eastAsia" w:ascii="宋体" w:hAnsi="宋体"/>
          <w:szCs w:val="21"/>
        </w:rPr>
        <w:t>终止经营</w:t>
      </w:r>
    </w:p>
    <w:sdt>
      <w:sdtPr>
        <w:alias w:val="是否适用：终止经营[双击切换]"/>
        <w:tag w:val="_GBC_667e81a5639a48488e957a55e45c7763"/>
        <w:id w:val="28035"/>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outlineLvl w:val="9"/>
            <w:rPr>
              <w:rFonts w:cstheme="minorBidi"/>
              <w:kern w:val="2"/>
              <w:szCs w:val="21"/>
            </w:rPr>
          </w:pPr>
        </w:p>
      </w:sdtContent>
    </w:sdt>
    <w:p>
      <w:pPr>
        <w:pStyle w:val="4"/>
        <w:numPr>
          <w:ilvl w:val="0"/>
          <w:numId w:val="128"/>
        </w:numPr>
        <w:rPr>
          <w:rFonts w:ascii="宋体" w:hAnsi="宋体"/>
          <w:szCs w:val="21"/>
        </w:rPr>
      </w:pPr>
      <w:r>
        <w:rPr>
          <w:rFonts w:hint="eastAsia" w:ascii="宋体" w:hAnsi="宋体"/>
          <w:szCs w:val="21"/>
        </w:rPr>
        <w:t>分部信息</w:t>
      </w:r>
    </w:p>
    <w:p>
      <w:pPr>
        <w:pStyle w:val="5"/>
        <w:numPr>
          <w:ilvl w:val="3"/>
          <w:numId w:val="131"/>
        </w:numPr>
        <w:ind w:left="424" w:hanging="426" w:hangingChars="202"/>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8036"/>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rPr>
              <w:szCs w:val="21"/>
            </w:rPr>
          </w:pPr>
        </w:p>
      </w:sdtContent>
    </w:sdt>
    <w:p>
      <w:pPr>
        <w:pStyle w:val="5"/>
        <w:numPr>
          <w:ilvl w:val="3"/>
          <w:numId w:val="131"/>
        </w:numPr>
        <w:ind w:left="424" w:hanging="426" w:hangingChars="202"/>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28037"/>
        <w:placeholder>
          <w:docPart w:val="GBC22222222222222222222222222222"/>
        </w:placeholder>
      </w:sdtPr>
      <w:sdtEndPr>
        <w:rPr>
          <w:rFonts w:hint="eastAsia" w:ascii="宋体" w:hAnsi="宋体"/>
          <w:szCs w:val="21"/>
        </w:rPr>
      </w:sdtEndPr>
      <w:sdtContent>
        <w:p>
          <w:pPr>
            <w:rPr>
              <w:rFonts w:ascii="宋体" w:hAnsi="宋体"/>
              <w:szCs w:val="21"/>
            </w:rPr>
          </w:pPr>
          <w:r>
            <w:rPr>
              <w:rFonts w:ascii="宋体" w:hAnsi="宋体"/>
              <w:szCs w:val="21"/>
            </w:rPr>
            <w:fldChar w:fldCharType="begin"/>
          </w:r>
          <w:r>
            <w:rPr>
              <w:rFonts w:hint="eastAsia" w:ascii="宋体" w:hAnsi="宋体"/>
              <w:szCs w:val="21"/>
              <w:lang w:eastAsia="zh-CN"/>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ascii="宋体" w:hAnsi="宋体"/>
              <w:szCs w:val="21"/>
              <w:lang w:eastAsia="zh-CN"/>
            </w:rPr>
            <w:instrText xml:space="preserve"> MACROBUTTON  SnrToggleCheckbox √不适用 </w:instrText>
          </w:r>
          <w:r>
            <w:rPr>
              <w:rFonts w:ascii="宋体" w:hAnsi="宋体"/>
              <w:szCs w:val="21"/>
            </w:rPr>
            <w:fldChar w:fldCharType="end"/>
          </w:r>
        </w:p>
        <w:p>
          <w:pPr>
            <w:rPr>
              <w:rFonts w:hint="eastAsia" w:ascii="宋体" w:hAnsi="宋体"/>
              <w:szCs w:val="21"/>
            </w:rPr>
          </w:pPr>
        </w:p>
      </w:sdtContent>
    </w:sdt>
    <w:p>
      <w:pPr>
        <w:pStyle w:val="5"/>
        <w:numPr>
          <w:ilvl w:val="3"/>
          <w:numId w:val="131"/>
        </w:numPr>
        <w:ind w:left="424" w:hanging="426" w:hangingChars="202"/>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8038"/>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5"/>
        <w:numPr>
          <w:ilvl w:val="3"/>
          <w:numId w:val="131"/>
        </w:numPr>
        <w:ind w:left="424" w:hanging="426" w:hangingChars="202"/>
      </w:pPr>
      <w:r>
        <w:rPr>
          <w:rFonts w:hint="eastAsia"/>
        </w:rPr>
        <w:t>其他说明</w:t>
      </w:r>
    </w:p>
    <w:sdt>
      <w:sdtPr>
        <w:rPr>
          <w:rFonts w:hint="eastAsia"/>
          <w:szCs w:val="21"/>
        </w:rPr>
        <w:alias w:val="是否适用：分部信息的其他说明[双击切换]"/>
        <w:tag w:val="_GBC_a7173613038248df8d31b8ffe91e1e27"/>
        <w:id w:val="28039"/>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128"/>
        </w:numPr>
      </w:pPr>
      <w:r>
        <w:rPr>
          <w:rFonts w:hint="eastAsia" w:ascii="宋体" w:hAnsi="宋体" w:cs="宋体"/>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28040"/>
        <w:placeholder>
          <w:docPart w:val="GBC22222222222222222222222222222"/>
        </w:placeholder>
      </w:sdtPr>
      <w:sdtEndPr>
        <w:rPr>
          <w:rFonts w:hint="eastAsia"/>
          <w:szCs w:val="21"/>
        </w:rPr>
      </w:sdtEndPr>
      <w:sdtContent>
        <w:p>
          <w:pPr>
            <w:spacing w:line="360" w:lineRule="exact"/>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128"/>
        </w:numPr>
        <w:rPr>
          <w:szCs w:val="21"/>
        </w:rPr>
      </w:pPr>
      <w:r>
        <w:rPr>
          <w:rFonts w:hint="eastAsia" w:ascii="宋体" w:hAnsi="宋体"/>
          <w:szCs w:val="21"/>
        </w:rPr>
        <w:t>其他</w:t>
      </w:r>
    </w:p>
    <w:sdt>
      <w:sdtPr>
        <w:rPr>
          <w:rFonts w:hint="eastAsia"/>
          <w:szCs w:val="21"/>
        </w:rPr>
        <w:alias w:val="是否适用：其他重要事项的说明[双击切换]"/>
        <w:tag w:val="_GBC_fb43f52ac5bc49a4b33e34d6b1758f09"/>
        <w:id w:val="28041"/>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r>
        <w:rPr>
          <w:szCs w:val="21"/>
        </w:rPr>
        <w:br w:type="page"/>
      </w:r>
    </w:p>
    <w:p>
      <w:pPr>
        <w:pStyle w:val="36"/>
        <w:rPr>
          <w:szCs w:val="21"/>
        </w:rPr>
        <w:sectPr>
          <w:pgSz w:w="11906" w:h="16838"/>
          <w:pgMar w:top="1525" w:right="1276" w:bottom="1440" w:left="1797" w:header="856" w:footer="992" w:gutter="0"/>
          <w:cols w:space="425" w:num="1"/>
          <w:docGrid w:linePitch="312" w:charSpace="0"/>
        </w:sectPr>
      </w:pPr>
    </w:p>
    <w:p>
      <w:pPr>
        <w:pStyle w:val="3"/>
        <w:numPr>
          <w:ilvl w:val="0"/>
          <w:numId w:val="60"/>
        </w:numPr>
        <w:rPr>
          <w:rFonts w:ascii="宋体" w:hAnsi="宋体"/>
        </w:rPr>
      </w:pPr>
      <w:r>
        <w:rPr>
          <w:rFonts w:hint="eastAsia" w:ascii="宋体" w:hAnsi="宋体"/>
        </w:rPr>
        <w:t>母公司财务报表主要项目注释</w:t>
      </w:r>
    </w:p>
    <w:p>
      <w:pPr>
        <w:pStyle w:val="4"/>
        <w:numPr>
          <w:ilvl w:val="0"/>
          <w:numId w:val="132"/>
        </w:numPr>
      </w:pPr>
      <w:r>
        <w:rPr>
          <w:rFonts w:hint="eastAsia" w:ascii="宋体" w:hAnsi="宋体"/>
          <w:szCs w:val="21"/>
        </w:rPr>
        <w:t>应收账款</w:t>
      </w:r>
    </w:p>
    <w:p>
      <w:pPr>
        <w:pStyle w:val="5"/>
        <w:numPr>
          <w:ilvl w:val="3"/>
          <w:numId w:val="133"/>
        </w:numPr>
        <w:ind w:left="424" w:hanging="426" w:hangingChars="202"/>
      </w:pPr>
      <w:bookmarkStart w:id="322" w:name="_Hlk533796665"/>
      <w:r>
        <w:rPr>
          <w:rFonts w:hint="eastAsia"/>
        </w:rPr>
        <w:t>按账龄披露</w:t>
      </w:r>
    </w:p>
    <w:sdt>
      <w:sdtPr>
        <w:alias w:val="是否适用：母公司应收账款按账龄披露[双击切换]"/>
        <w:tag w:val="_GBC_dafcd7d733014c4a8aaa9a9a4b6c92f1"/>
        <w:id w:val="28042"/>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应收账款按账龄披露"/>
          <w:tag w:val="_GBC_6f3238355b1f4a02b89a4d1aa10b0026"/>
          <w:id w:val="280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280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4748"/>
        <w:gridCol w:w="4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91f1d8bffa9649c89e109fe838d32207"/>
            <w:id w:val="28045"/>
          </w:sdtPr>
          <w:sdtEndPr>
            <w:rPr>
              <w:rFonts w:hint="default" w:ascii="Times New Roman" w:hAnsi="Times New Roman" w:cs="Times New Roman"/>
            </w:rPr>
          </w:sdtEndPr>
          <w:sdtContent>
            <w:tc>
              <w:tcPr>
                <w:tcW w:w="16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账龄</w:t>
                </w:r>
              </w:p>
            </w:tc>
          </w:sdtContent>
        </w:sdt>
        <w:sdt>
          <w:sdtPr>
            <w:rPr>
              <w:rFonts w:hint="default" w:ascii="Times New Roman" w:hAnsi="Times New Roman" w:cs="Times New Roman"/>
            </w:rPr>
            <w:tag w:val="_PLD_6b7aa27e99b34e1eb61af3bd12c578d2"/>
            <w:id w:val="28046"/>
          </w:sdtPr>
          <w:sdtEndPr>
            <w:rPr>
              <w:rFonts w:hint="default" w:ascii="Times New Roman" w:hAnsi="Times New Roman" w:cs="Times New Roman"/>
            </w:rPr>
          </w:sdtEndPr>
          <w:sdtContent>
            <w:tc>
              <w:tcPr>
                <w:tcW w:w="168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期末账面余额</w:t>
                </w:r>
              </w:p>
            </w:tc>
          </w:sdtContent>
        </w:sdt>
        <w:sdt>
          <w:sdtPr>
            <w:rPr>
              <w:rFonts w:hint="default" w:ascii="Times New Roman" w:hAnsi="Times New Roman" w:cs="Times New Roman"/>
            </w:rPr>
            <w:tag w:val="_PLD_0e2d3c046f184578857e4606189d40ef"/>
            <w:id w:val="28047"/>
          </w:sdtPr>
          <w:sdtEndPr>
            <w:rPr>
              <w:rFonts w:hint="default" w:ascii="Times New Roman" w:hAnsi="Times New Roman" w:cs="Times New Roman"/>
            </w:rPr>
          </w:sdtEndPr>
          <w:sdtContent>
            <w:tc>
              <w:tcPr>
                <w:tcW w:w="1688"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rPr>
                </w:pPr>
                <w:r>
                  <w:rPr>
                    <w:rFonts w:hint="default" w:ascii="Times New Roman" w:hAnsi="Times New Roman" w:cs="Times New Roman"/>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8b2cd7286fc64ae28d76518258aa2e12"/>
            <w:id w:val="28048"/>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FF0000"/>
                    <w:szCs w:val="21"/>
                  </w:rPr>
                </w:pPr>
                <w:r>
                  <w:rPr>
                    <w:rFonts w:hint="default" w:ascii="Times New Roman" w:hAnsi="Times New Roman" w:cs="Times New Roman"/>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3cb2a8de19134a869aaf24eb903d37b4"/>
            <w:id w:val="28049"/>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0.5年以内</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35,285,342.62</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46,152,919.12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0.5年至1年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666,827.66</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5,546,703.98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1年以内小计</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35,952,170.28</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51,699,623.10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1至2年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3,834,585.51</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3,186,900.02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2至3年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1,317,613.25</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436,461.16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cs="Times New Roman"/>
                <w:szCs w:val="21"/>
                <w:lang w:val="en-US" w:eastAsia="zh-CN"/>
              </w:rPr>
            </w:pPr>
            <w:r>
              <w:rPr>
                <w:rFonts w:hint="default" w:ascii="Times New Roman" w:hAnsi="Times New Roman" w:cs="Times New Roman"/>
                <w:szCs w:val="21"/>
              </w:rPr>
              <w:t>3</w:t>
            </w:r>
            <w:r>
              <w:rPr>
                <w:rFonts w:hint="eastAsia" w:ascii="Times New Roman" w:hAnsi="Times New Roman" w:cs="Times New Roman"/>
                <w:szCs w:val="21"/>
                <w:lang w:val="en-US" w:eastAsia="zh-CN"/>
              </w:rPr>
              <w:t>至5年</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209,119.54</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409,950.45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5年以上</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30,797,429.35</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30,559,915.63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减：坏账准备</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31,520,855.79</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31,407,213.25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1685"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40,590,062.14</w:t>
            </w:r>
          </w:p>
        </w:tc>
        <w:tc>
          <w:tcPr>
            <w:tcW w:w="1688"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54,885,637.11</w:t>
            </w:r>
          </w:p>
        </w:tc>
      </w:tr>
    </w:tbl>
    <w:p/>
    <w:bookmarkEnd w:id="322"/>
    <w:p>
      <w:pPr>
        <w:pStyle w:val="5"/>
        <w:numPr>
          <w:ilvl w:val="3"/>
          <w:numId w:val="133"/>
        </w:numPr>
        <w:ind w:left="424" w:hanging="426" w:hangingChars="202"/>
      </w:pPr>
      <w:bookmarkStart w:id="323" w:name="_Hlk533796703"/>
      <w:r>
        <w:rPr>
          <w:rFonts w:hint="eastAsia"/>
        </w:rPr>
        <w:t>按坏账计提方法分类披露</w:t>
      </w:r>
    </w:p>
    <w:sdt>
      <w:sdtPr>
        <w:alias w:val="是否适用：母公司应收账款按坏账计提方法分类披露[双击切换]"/>
        <w:tag w:val="_GBC_7881b37ba62844928bb3a0f84fa1312c"/>
        <w:id w:val="28050"/>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63"/>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280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坏账计提方法分类披露"/>
          <w:tag w:val="_GBC_b8d2fec8e15e43c8b9a141c04cb5fea0"/>
          <w:id w:val="28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487"/>
        <w:gridCol w:w="750"/>
        <w:gridCol w:w="1541"/>
        <w:gridCol w:w="886"/>
        <w:gridCol w:w="1554"/>
        <w:gridCol w:w="1460"/>
        <w:gridCol w:w="695"/>
        <w:gridCol w:w="1350"/>
        <w:gridCol w:w="77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hint="default" w:ascii="Times New Roman" w:hAnsi="Times New Roman" w:cs="Times New Roman"/>
              <w:sz w:val="18"/>
              <w:szCs w:val="18"/>
            </w:rPr>
            <w:tag w:val="_PLD_0b6f94bf734a49f28ff9eb2211eccc4e"/>
            <w:id w:val="28053"/>
          </w:sdtPr>
          <w:sdtEndPr>
            <w:rPr>
              <w:rFonts w:hint="default" w:ascii="Times New Roman" w:hAnsi="Times New Roman" w:cs="Times New Roman"/>
              <w:sz w:val="18"/>
              <w:szCs w:val="18"/>
            </w:rPr>
          </w:sdtEndPr>
          <w:sdtContent>
            <w:tc>
              <w:tcPr>
                <w:tcW w:w="811"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类别</w:t>
                </w:r>
              </w:p>
            </w:tc>
          </w:sdtContent>
        </w:sdt>
        <w:sdt>
          <w:sdtPr>
            <w:rPr>
              <w:rFonts w:hint="default" w:ascii="Times New Roman" w:hAnsi="Times New Roman" w:cs="Times New Roman"/>
              <w:sz w:val="18"/>
              <w:szCs w:val="18"/>
            </w:rPr>
            <w:tag w:val="_PLD_cadda055920649559b4578dc73b6f05e"/>
            <w:id w:val="28054"/>
          </w:sdtPr>
          <w:sdtEndPr>
            <w:rPr>
              <w:rFonts w:hint="default" w:ascii="Times New Roman" w:hAnsi="Times New Roman" w:cs="Times New Roman"/>
              <w:sz w:val="18"/>
              <w:szCs w:val="18"/>
            </w:rPr>
          </w:sdtEndPr>
          <w:sdtContent>
            <w:tc>
              <w:tcPr>
                <w:tcW w:w="220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期末余额</w:t>
                </w:r>
              </w:p>
            </w:tc>
          </w:sdtContent>
        </w:sdt>
        <w:sdt>
          <w:sdtPr>
            <w:rPr>
              <w:rFonts w:hint="default" w:ascii="Times New Roman" w:hAnsi="Times New Roman" w:cs="Times New Roman"/>
              <w:sz w:val="18"/>
              <w:szCs w:val="18"/>
            </w:rPr>
            <w:tag w:val="_PLD_28a8aaa48276458aa987282704951cc5"/>
            <w:id w:val="28055"/>
          </w:sdtPr>
          <w:sdtEndPr>
            <w:rPr>
              <w:rFonts w:hint="default" w:ascii="Times New Roman" w:hAnsi="Times New Roman" w:cs="Times New Roman"/>
              <w:sz w:val="18"/>
              <w:szCs w:val="18"/>
            </w:rPr>
          </w:sdtEndPr>
          <w:sdtContent>
            <w:tc>
              <w:tcPr>
                <w:tcW w:w="1981"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811" w:type="pct"/>
            <w:vMerge w:val="continue"/>
            <w:tcBorders>
              <w:left w:val="single" w:color="auto" w:sz="4" w:space="0"/>
              <w:right w:val="single" w:color="auto" w:sz="4" w:space="0"/>
            </w:tcBorders>
            <w:vAlign w:val="center"/>
          </w:tcPr>
          <w:p>
            <w:pPr>
              <w:rPr>
                <w:rFonts w:hint="default" w:ascii="Times New Roman" w:hAnsi="Times New Roman" w:cs="Times New Roman"/>
                <w:sz w:val="18"/>
                <w:szCs w:val="18"/>
              </w:rPr>
            </w:pPr>
          </w:p>
        </w:tc>
        <w:sdt>
          <w:sdtPr>
            <w:rPr>
              <w:rFonts w:hint="default" w:ascii="Times New Roman" w:hAnsi="Times New Roman" w:cs="Times New Roman"/>
              <w:sz w:val="18"/>
              <w:szCs w:val="18"/>
            </w:rPr>
            <w:tag w:val="_PLD_b6e4cad360f948d68bd5af2c3f52e83a"/>
            <w:id w:val="28056"/>
          </w:sdtPr>
          <w:sdtEndPr>
            <w:rPr>
              <w:rFonts w:hint="default" w:ascii="Times New Roman" w:hAnsi="Times New Roman" w:cs="Times New Roman"/>
              <w:sz w:val="18"/>
              <w:szCs w:val="18"/>
            </w:rPr>
          </w:sdtEndPr>
          <w:sdtContent>
            <w:tc>
              <w:tcPr>
                <w:tcW w:w="793"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账面余额</w:t>
                </w:r>
              </w:p>
            </w:tc>
          </w:sdtContent>
        </w:sdt>
        <w:sdt>
          <w:sdtPr>
            <w:rPr>
              <w:rFonts w:hint="default" w:ascii="Times New Roman" w:hAnsi="Times New Roman" w:cs="Times New Roman"/>
              <w:sz w:val="18"/>
              <w:szCs w:val="18"/>
            </w:rPr>
            <w:tag w:val="_PLD_1812a70770914fa4b8145f493ad4c468"/>
            <w:id w:val="28057"/>
          </w:sdtPr>
          <w:sdtEndPr>
            <w:rPr>
              <w:rFonts w:hint="default" w:ascii="Times New Roman" w:hAnsi="Times New Roman" w:cs="Times New Roman"/>
              <w:sz w:val="18"/>
              <w:szCs w:val="18"/>
            </w:rPr>
          </w:sdtEndPr>
          <w:sdtContent>
            <w:tc>
              <w:tcPr>
                <w:tcW w:w="861"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坏账准备</w:t>
                </w:r>
              </w:p>
            </w:tc>
          </w:sdtContent>
        </w:sdt>
        <w:sdt>
          <w:sdtPr>
            <w:rPr>
              <w:rFonts w:hint="default" w:ascii="Times New Roman" w:hAnsi="Times New Roman" w:cs="Times New Roman"/>
              <w:sz w:val="18"/>
              <w:szCs w:val="18"/>
            </w:rPr>
            <w:tag w:val="_PLD_970be2ae3a84456bb0feb4eb360d2b2f"/>
            <w:id w:val="28058"/>
          </w:sdtPr>
          <w:sdtEndPr>
            <w:rPr>
              <w:rFonts w:hint="default" w:ascii="Times New Roman" w:hAnsi="Times New Roman" w:cs="Times New Roman"/>
              <w:sz w:val="18"/>
              <w:szCs w:val="18"/>
            </w:rPr>
          </w:sdtEndPr>
          <w:sdtContent>
            <w:tc>
              <w:tcPr>
                <w:tcW w:w="551"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w:t>
                </w:r>
              </w:p>
              <w:p>
                <w:pPr>
                  <w:jc w:val="center"/>
                  <w:rPr>
                    <w:rFonts w:hint="default" w:ascii="Times New Roman" w:hAnsi="Times New Roman" w:cs="Times New Roman"/>
                    <w:sz w:val="18"/>
                    <w:szCs w:val="18"/>
                  </w:rPr>
                </w:pPr>
                <w:r>
                  <w:rPr>
                    <w:rFonts w:hint="default" w:ascii="Times New Roman" w:hAnsi="Times New Roman" w:cs="Times New Roman"/>
                    <w:sz w:val="18"/>
                    <w:szCs w:val="18"/>
                  </w:rPr>
                  <w:t>价值</w:t>
                </w:r>
              </w:p>
            </w:tc>
          </w:sdtContent>
        </w:sdt>
        <w:sdt>
          <w:sdtPr>
            <w:rPr>
              <w:rFonts w:hint="default" w:ascii="Times New Roman" w:hAnsi="Times New Roman" w:cs="Times New Roman"/>
              <w:sz w:val="18"/>
              <w:szCs w:val="18"/>
            </w:rPr>
            <w:tag w:val="_PLD_be04f05fbfa341e1a7546ee304164c92"/>
            <w:id w:val="28059"/>
          </w:sdtPr>
          <w:sdtEndPr>
            <w:rPr>
              <w:rFonts w:hint="default" w:ascii="Times New Roman" w:hAnsi="Times New Roman" w:cs="Times New Roman"/>
              <w:sz w:val="18"/>
              <w:szCs w:val="18"/>
            </w:rPr>
          </w:sdtEndPr>
          <w:sdtContent>
            <w:tc>
              <w:tcPr>
                <w:tcW w:w="764" w:type="pct"/>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账面余额</w:t>
                </w:r>
              </w:p>
            </w:tc>
          </w:sdtContent>
        </w:sdt>
        <w:sdt>
          <w:sdtPr>
            <w:rPr>
              <w:rFonts w:hint="default" w:ascii="Times New Roman" w:hAnsi="Times New Roman" w:cs="Times New Roman"/>
              <w:sz w:val="18"/>
              <w:szCs w:val="18"/>
            </w:rPr>
            <w:tag w:val="_PLD_708baf88b6ab4f6ca208582ef2033d3e"/>
            <w:id w:val="28060"/>
          </w:sdtPr>
          <w:sdtEndPr>
            <w:rPr>
              <w:rFonts w:hint="default" w:ascii="Times New Roman" w:hAnsi="Times New Roman" w:cs="Times New Roman"/>
              <w:sz w:val="18"/>
              <w:szCs w:val="18"/>
            </w:rPr>
          </w:sdtEndPr>
          <w:sdtContent>
            <w:tc>
              <w:tcPr>
                <w:tcW w:w="754" w:type="pct"/>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坏账准备</w:t>
                </w:r>
              </w:p>
            </w:tc>
          </w:sdtContent>
        </w:sdt>
        <w:sdt>
          <w:sdtPr>
            <w:rPr>
              <w:rFonts w:hint="default" w:ascii="Times New Roman" w:hAnsi="Times New Roman" w:cs="Times New Roman"/>
              <w:sz w:val="18"/>
              <w:szCs w:val="18"/>
            </w:rPr>
            <w:tag w:val="_PLD_7c2453d3d43547428eaaafae8df8b7d0"/>
            <w:id w:val="28061"/>
          </w:sdtPr>
          <w:sdtEndPr>
            <w:rPr>
              <w:rFonts w:hint="default" w:ascii="Times New Roman" w:hAnsi="Times New Roman" w:cs="Times New Roman"/>
              <w:sz w:val="18"/>
              <w:szCs w:val="18"/>
            </w:rPr>
          </w:sdtEndPr>
          <w:sdtContent>
            <w:tc>
              <w:tcPr>
                <w:tcW w:w="462"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w:t>
                </w:r>
              </w:p>
              <w:p>
                <w:pPr>
                  <w:jc w:val="center"/>
                  <w:rPr>
                    <w:rFonts w:hint="default" w:ascii="Times New Roman" w:hAnsi="Times New Roman" w:cs="Times New Roman"/>
                    <w:sz w:val="18"/>
                    <w:szCs w:val="18"/>
                  </w:rPr>
                </w:pPr>
                <w:r>
                  <w:rPr>
                    <w:rFonts w:hint="default" w:ascii="Times New Roman" w:hAnsi="Times New Roman" w:cs="Times New Roman"/>
                    <w:sz w:val="18"/>
                    <w:szCs w:val="18"/>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811" w:type="pct"/>
            <w:vMerge w:val="continue"/>
            <w:tcBorders>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rPr>
            </w:pPr>
          </w:p>
        </w:tc>
        <w:sdt>
          <w:sdtPr>
            <w:rPr>
              <w:rFonts w:hint="default" w:ascii="Times New Roman" w:hAnsi="Times New Roman" w:cs="Times New Roman"/>
              <w:sz w:val="18"/>
              <w:szCs w:val="18"/>
            </w:rPr>
            <w:tag w:val="_PLD_c5c981ae53b144af90139d228c5285af"/>
            <w:id w:val="28062"/>
          </w:sdtPr>
          <w:sdtEndPr>
            <w:rPr>
              <w:rFonts w:hint="default" w:ascii="Times New Roman" w:hAnsi="Times New Roman" w:cs="Times New Roman"/>
              <w:sz w:val="18"/>
              <w:szCs w:val="18"/>
            </w:rPr>
          </w:sdtEndPr>
          <w:sdtContent>
            <w:tc>
              <w:tcPr>
                <w:tcW w:w="527"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金额</w:t>
                </w:r>
              </w:p>
            </w:tc>
          </w:sdtContent>
        </w:sdt>
        <w:sdt>
          <w:sdtPr>
            <w:rPr>
              <w:rFonts w:hint="default" w:ascii="Times New Roman" w:hAnsi="Times New Roman" w:cs="Times New Roman"/>
              <w:sz w:val="18"/>
              <w:szCs w:val="18"/>
            </w:rPr>
            <w:tag w:val="_PLD_c62cdb22fba648808acfebda9f29289b"/>
            <w:id w:val="28063"/>
          </w:sdtPr>
          <w:sdtEndPr>
            <w:rPr>
              <w:rFonts w:hint="default" w:ascii="Times New Roman" w:hAnsi="Times New Roman" w:cs="Times New Roman"/>
              <w:sz w:val="18"/>
              <w:szCs w:val="18"/>
            </w:rPr>
          </w:sdtEndPr>
          <w:sdtContent>
            <w:tc>
              <w:tcPr>
                <w:tcW w:w="266"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比例(%)</w:t>
                </w:r>
              </w:p>
            </w:tc>
          </w:sdtContent>
        </w:sdt>
        <w:sdt>
          <w:sdtPr>
            <w:rPr>
              <w:rFonts w:hint="default" w:ascii="Times New Roman" w:hAnsi="Times New Roman" w:cs="Times New Roman"/>
              <w:sz w:val="18"/>
              <w:szCs w:val="18"/>
            </w:rPr>
            <w:tag w:val="_PLD_d259a31756a946a6a441328cc78413fc"/>
            <w:id w:val="28064"/>
          </w:sdtPr>
          <w:sdtEndPr>
            <w:rPr>
              <w:rFonts w:hint="default" w:ascii="Times New Roman" w:hAnsi="Times New Roman" w:cs="Times New Roman"/>
              <w:sz w:val="18"/>
              <w:szCs w:val="18"/>
            </w:rPr>
          </w:sdtEndPr>
          <w:sdtContent>
            <w:tc>
              <w:tcPr>
                <w:tcW w:w="546"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金额</w:t>
                </w:r>
              </w:p>
            </w:tc>
          </w:sdtContent>
        </w:sdt>
        <w:sdt>
          <w:sdtPr>
            <w:rPr>
              <w:rFonts w:hint="default" w:ascii="Times New Roman" w:hAnsi="Times New Roman" w:cs="Times New Roman"/>
              <w:sz w:val="18"/>
              <w:szCs w:val="18"/>
            </w:rPr>
            <w:tag w:val="_PLD_f74078100e7348efb6fa93b2ac934809"/>
            <w:id w:val="28065"/>
          </w:sdtPr>
          <w:sdtEndPr>
            <w:rPr>
              <w:rFonts w:hint="default" w:ascii="Times New Roman" w:hAnsi="Times New Roman" w:cs="Times New Roman"/>
              <w:sz w:val="18"/>
              <w:szCs w:val="18"/>
            </w:rPr>
          </w:sdtEndPr>
          <w:sdtContent>
            <w:tc>
              <w:tcPr>
                <w:tcW w:w="314"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计提比例(%)</w:t>
                </w:r>
              </w:p>
            </w:tc>
          </w:sdtContent>
        </w:sdt>
        <w:tc>
          <w:tcPr>
            <w:tcW w:w="551"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sdt>
          <w:sdtPr>
            <w:rPr>
              <w:rFonts w:hint="default" w:ascii="Times New Roman" w:hAnsi="Times New Roman" w:cs="Times New Roman"/>
              <w:sz w:val="18"/>
              <w:szCs w:val="18"/>
            </w:rPr>
            <w:tag w:val="_PLD_4b188b463cd04b5f935c04bb97091ad7"/>
            <w:id w:val="28066"/>
          </w:sdtPr>
          <w:sdtEndPr>
            <w:rPr>
              <w:rFonts w:hint="default" w:ascii="Times New Roman" w:hAnsi="Times New Roman" w:cs="Times New Roman"/>
              <w:sz w:val="18"/>
              <w:szCs w:val="18"/>
            </w:rPr>
          </w:sdtEndPr>
          <w:sdtContent>
            <w:tc>
              <w:tcPr>
                <w:tcW w:w="518"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金额</w:t>
                </w:r>
              </w:p>
            </w:tc>
          </w:sdtContent>
        </w:sdt>
        <w:sdt>
          <w:sdtPr>
            <w:rPr>
              <w:rFonts w:hint="default" w:ascii="Times New Roman" w:hAnsi="Times New Roman" w:cs="Times New Roman"/>
              <w:sz w:val="18"/>
              <w:szCs w:val="18"/>
            </w:rPr>
            <w:tag w:val="_PLD_0eb49b8077f24050b883fe1c83156c6a"/>
            <w:id w:val="28067"/>
          </w:sdtPr>
          <w:sdtEndPr>
            <w:rPr>
              <w:rFonts w:hint="default" w:ascii="Times New Roman" w:hAnsi="Times New Roman" w:cs="Times New Roman"/>
              <w:sz w:val="18"/>
              <w:szCs w:val="18"/>
            </w:rPr>
          </w:sdtEndPr>
          <w:sdtContent>
            <w:tc>
              <w:tcPr>
                <w:tcW w:w="246"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比例(%)</w:t>
                </w:r>
              </w:p>
            </w:tc>
          </w:sdtContent>
        </w:sdt>
        <w:sdt>
          <w:sdtPr>
            <w:rPr>
              <w:rFonts w:hint="default" w:ascii="Times New Roman" w:hAnsi="Times New Roman" w:cs="Times New Roman"/>
              <w:sz w:val="18"/>
              <w:szCs w:val="18"/>
            </w:rPr>
            <w:tag w:val="_PLD_97b959dafb2649fe9097ba91d4d77a2f"/>
            <w:id w:val="28068"/>
          </w:sdtPr>
          <w:sdtEndPr>
            <w:rPr>
              <w:rFonts w:hint="default" w:ascii="Times New Roman" w:hAnsi="Times New Roman" w:cs="Times New Roman"/>
              <w:sz w:val="18"/>
              <w:szCs w:val="18"/>
            </w:rPr>
          </w:sdtEndPr>
          <w:sdtContent>
            <w:tc>
              <w:tcPr>
                <w:tcW w:w="479"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金额</w:t>
                </w:r>
              </w:p>
            </w:tc>
          </w:sdtContent>
        </w:sdt>
        <w:sdt>
          <w:sdtPr>
            <w:rPr>
              <w:rFonts w:hint="default" w:ascii="Times New Roman" w:hAnsi="Times New Roman" w:cs="Times New Roman"/>
              <w:sz w:val="18"/>
              <w:szCs w:val="18"/>
            </w:rPr>
            <w:tag w:val="_PLD_99dda048c2a04725a5d8bfac8b356378"/>
            <w:id w:val="28069"/>
          </w:sdtPr>
          <w:sdtEndPr>
            <w:rPr>
              <w:rFonts w:hint="default" w:ascii="Times New Roman" w:hAnsi="Times New Roman" w:cs="Times New Roman"/>
              <w:sz w:val="18"/>
              <w:szCs w:val="18"/>
            </w:rPr>
          </w:sdtEndPr>
          <w:sdtContent>
            <w:tc>
              <w:tcPr>
                <w:tcW w:w="275" w:type="pct"/>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计提比例(%)</w:t>
                </w:r>
              </w:p>
            </w:tc>
          </w:sdtContent>
        </w:sdt>
        <w:tc>
          <w:tcPr>
            <w:tcW w:w="462" w:type="pct"/>
            <w:vMerge w:val="continue"/>
            <w:tcBorders>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18"/>
                <w:szCs w:val="18"/>
              </w:rPr>
            </w:pPr>
            <w:r>
              <w:rPr>
                <w:rFonts w:hint="default" w:ascii="Times New Roman" w:hAnsi="Times New Roman" w:cs="Times New Roman"/>
                <w:sz w:val="18"/>
                <w:szCs w:val="18"/>
              </w:rPr>
              <w:t>按单项计提坏账准备</w:t>
            </w:r>
          </w:p>
        </w:tc>
        <w:tc>
          <w:tcPr>
            <w:tcW w:w="52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21,255,466.33</w:t>
            </w:r>
          </w:p>
        </w:tc>
        <w:tc>
          <w:tcPr>
            <w:tcW w:w="26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29.48</w:t>
            </w:r>
          </w:p>
        </w:tc>
        <w:tc>
          <w:tcPr>
            <w:tcW w:w="5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21,255,466.33</w:t>
            </w:r>
          </w:p>
        </w:tc>
        <w:tc>
          <w:tcPr>
            <w:tcW w:w="31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100.00</w:t>
            </w:r>
          </w:p>
        </w:tc>
        <w:tc>
          <w:tcPr>
            <w:tcW w:w="5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 w:val="18"/>
                <w:szCs w:val="18"/>
                <w:lang w:val="en-US" w:eastAsia="zh-CN"/>
              </w:rPr>
            </w:pPr>
          </w:p>
        </w:tc>
        <w:tc>
          <w:tcPr>
            <w:tcW w:w="518"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19,770,146.05</w:t>
            </w:r>
          </w:p>
        </w:tc>
        <w:tc>
          <w:tcPr>
            <w:tcW w:w="2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22.91</w:t>
            </w:r>
          </w:p>
        </w:tc>
        <w:tc>
          <w:tcPr>
            <w:tcW w:w="47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19,770,146.05</w:t>
            </w:r>
          </w:p>
        </w:tc>
        <w:tc>
          <w:tcPr>
            <w:tcW w:w="27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100.00</w:t>
            </w:r>
          </w:p>
        </w:tc>
        <w:tc>
          <w:tcPr>
            <w:tcW w:w="46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1"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18"/>
                <w:szCs w:val="18"/>
              </w:rPr>
            </w:pPr>
            <w:r>
              <w:rPr>
                <w:rFonts w:hint="default" w:ascii="Times New Roman" w:hAnsi="Times New Roman" w:cs="Times New Roman"/>
                <w:sz w:val="18"/>
                <w:szCs w:val="18"/>
              </w:rPr>
              <w:t>按组合计提坏账准备</w:t>
            </w:r>
          </w:p>
        </w:tc>
        <w:tc>
          <w:tcPr>
            <w:tcW w:w="52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50,855,451.60</w:t>
            </w:r>
          </w:p>
        </w:tc>
        <w:tc>
          <w:tcPr>
            <w:tcW w:w="26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70.52</w:t>
            </w:r>
          </w:p>
        </w:tc>
        <w:tc>
          <w:tcPr>
            <w:tcW w:w="5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10,265,389.46</w:t>
            </w:r>
          </w:p>
        </w:tc>
        <w:tc>
          <w:tcPr>
            <w:tcW w:w="31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20.19</w:t>
            </w:r>
          </w:p>
        </w:tc>
        <w:tc>
          <w:tcPr>
            <w:tcW w:w="5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40,590,062.14</w:t>
            </w:r>
          </w:p>
        </w:tc>
        <w:tc>
          <w:tcPr>
            <w:tcW w:w="518"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66,522,704.31</w:t>
            </w:r>
          </w:p>
        </w:tc>
        <w:tc>
          <w:tcPr>
            <w:tcW w:w="2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77.09</w:t>
            </w:r>
          </w:p>
        </w:tc>
        <w:tc>
          <w:tcPr>
            <w:tcW w:w="47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11,637,067.20</w:t>
            </w:r>
          </w:p>
        </w:tc>
        <w:tc>
          <w:tcPr>
            <w:tcW w:w="27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17.49</w:t>
            </w:r>
          </w:p>
        </w:tc>
        <w:tc>
          <w:tcPr>
            <w:tcW w:w="46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54,885,637.11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18"/>
              <w:szCs w:val="18"/>
            </w:rPr>
            <w:tag w:val="_PLD_3e90aa50b20c494dafda2d9726e46570"/>
            <w:id w:val="28070"/>
          </w:sdtPr>
          <w:sdtEndPr>
            <w:rPr>
              <w:rFonts w:hint="default" w:ascii="Times New Roman" w:hAnsi="Times New Roman" w:cs="Times New Roman"/>
              <w:sz w:val="18"/>
              <w:szCs w:val="18"/>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18"/>
                    <w:szCs w:val="18"/>
                  </w:rPr>
                </w:pPr>
                <w:r>
                  <w:rPr>
                    <w:rFonts w:hint="default" w:ascii="Times New Roman" w:hAnsi="Times New Roman" w:cs="Times New Roman"/>
                    <w:sz w:val="18"/>
                    <w:szCs w:val="18"/>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18"/>
              <w:szCs w:val="18"/>
            </w:rPr>
            <w:alias w:val="按组合计提坏账准备的应收账款明细-组合名称"/>
            <w:tag w:val="_GBC_bb95ca191c6548418732405aecc5c303"/>
            <w:id w:val="28071"/>
          </w:sdtPr>
          <w:sdtEndPr>
            <w:rPr>
              <w:rFonts w:hint="default" w:ascii="Times New Roman" w:hAnsi="Times New Roman" w:cs="Times New Roman"/>
              <w:sz w:val="18"/>
              <w:szCs w:val="18"/>
            </w:rPr>
          </w:sdtEndPr>
          <w:sdtContent>
            <w:tc>
              <w:tcPr>
                <w:tcW w:w="811" w:type="pct"/>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18"/>
                    <w:szCs w:val="18"/>
                  </w:rPr>
                </w:pPr>
                <w:r>
                  <w:rPr>
                    <w:rFonts w:hint="default" w:ascii="Times New Roman" w:hAnsi="Times New Roman" w:cs="Times New Roman"/>
                    <w:color w:val="auto"/>
                    <w:sz w:val="18"/>
                    <w:szCs w:val="18"/>
                  </w:rPr>
                  <w:t>[组合1]账龄组合</w:t>
                </w:r>
              </w:p>
            </w:tc>
          </w:sdtContent>
        </w:sdt>
        <w:tc>
          <w:tcPr>
            <w:tcW w:w="52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28,954,849.61</w:t>
            </w:r>
          </w:p>
        </w:tc>
        <w:tc>
          <w:tcPr>
            <w:tcW w:w="26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40.15</w:t>
            </w:r>
          </w:p>
        </w:tc>
        <w:tc>
          <w:tcPr>
            <w:tcW w:w="5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10,265,389.46</w:t>
            </w:r>
          </w:p>
        </w:tc>
        <w:tc>
          <w:tcPr>
            <w:tcW w:w="31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35.45</w:t>
            </w:r>
          </w:p>
        </w:tc>
        <w:tc>
          <w:tcPr>
            <w:tcW w:w="5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18,689,460.15</w:t>
            </w:r>
          </w:p>
        </w:tc>
        <w:tc>
          <w:tcPr>
            <w:tcW w:w="518"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34,458,236.24</w:t>
            </w:r>
          </w:p>
        </w:tc>
        <w:tc>
          <w:tcPr>
            <w:tcW w:w="2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39.93</w:t>
            </w:r>
          </w:p>
        </w:tc>
        <w:tc>
          <w:tcPr>
            <w:tcW w:w="47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11,637,067.20</w:t>
            </w:r>
          </w:p>
        </w:tc>
        <w:tc>
          <w:tcPr>
            <w:tcW w:w="27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33.77</w:t>
            </w:r>
          </w:p>
        </w:tc>
        <w:tc>
          <w:tcPr>
            <w:tcW w:w="46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22,821,169.04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18"/>
              <w:szCs w:val="18"/>
            </w:rPr>
            <w:alias w:val="按组合计提坏账准备的应收账款明细-组合名称"/>
            <w:tag w:val="_GBC_bb95ca191c6548418732405aecc5c303"/>
            <w:id w:val="28072"/>
          </w:sdtPr>
          <w:sdtEndPr>
            <w:rPr>
              <w:rFonts w:hint="default" w:ascii="Times New Roman" w:hAnsi="Times New Roman" w:cs="Times New Roman"/>
              <w:sz w:val="18"/>
              <w:szCs w:val="18"/>
            </w:rPr>
          </w:sdtEndPr>
          <w:sdtContent>
            <w:tc>
              <w:tcPr>
                <w:tcW w:w="811" w:type="pct"/>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18"/>
                    <w:szCs w:val="18"/>
                  </w:rPr>
                </w:pPr>
                <w:r>
                  <w:rPr>
                    <w:rFonts w:hint="default" w:ascii="Times New Roman" w:hAnsi="Times New Roman" w:cs="Times New Roman"/>
                    <w:color w:val="auto"/>
                    <w:sz w:val="18"/>
                    <w:szCs w:val="18"/>
                  </w:rPr>
                  <w:t>[组合2]关联方组合</w:t>
                </w:r>
              </w:p>
            </w:tc>
          </w:sdtContent>
        </w:sdt>
        <w:tc>
          <w:tcPr>
            <w:tcW w:w="527"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21,900,601.99</w:t>
            </w:r>
          </w:p>
        </w:tc>
        <w:tc>
          <w:tcPr>
            <w:tcW w:w="26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30.37</w:t>
            </w:r>
          </w:p>
        </w:tc>
        <w:tc>
          <w:tcPr>
            <w:tcW w:w="5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p>
        </w:tc>
        <w:tc>
          <w:tcPr>
            <w:tcW w:w="314"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551"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21,900,601.99</w:t>
            </w:r>
          </w:p>
        </w:tc>
        <w:tc>
          <w:tcPr>
            <w:tcW w:w="518"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32,064,468.07</w:t>
            </w:r>
          </w:p>
        </w:tc>
        <w:tc>
          <w:tcPr>
            <w:tcW w:w="246"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37.16</w:t>
            </w:r>
          </w:p>
        </w:tc>
        <w:tc>
          <w:tcPr>
            <w:tcW w:w="47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p>
        </w:tc>
        <w:tc>
          <w:tcPr>
            <w:tcW w:w="275"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p>
        </w:tc>
        <w:tc>
          <w:tcPr>
            <w:tcW w:w="46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32,064,468.07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cs="Times New Roman"/>
                <w:sz w:val="18"/>
                <w:szCs w:val="18"/>
              </w:rPr>
            </w:pPr>
            <w:r>
              <w:rPr>
                <w:rFonts w:hint="default" w:ascii="Times New Roman" w:hAnsi="Times New Roman" w:cs="Times New Roman"/>
                <w:sz w:val="18"/>
                <w:szCs w:val="18"/>
              </w:rPr>
              <w:t>合计</w:t>
            </w:r>
          </w:p>
        </w:tc>
        <w:tc>
          <w:tcPr>
            <w:tcW w:w="5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right"/>
              <w:rPr>
                <w:rFonts w:hint="default" w:ascii="Times New Roman" w:hAnsi="Times New Roman" w:cs="Times New Roman"/>
                <w:sz w:val="18"/>
                <w:szCs w:val="18"/>
              </w:rPr>
            </w:pPr>
            <w:r>
              <w:rPr>
                <w:rFonts w:hint="default" w:ascii="Times New Roman" w:hAnsi="Times New Roman" w:cs="Times New Roman"/>
                <w:sz w:val="18"/>
                <w:szCs w:val="18"/>
              </w:rPr>
              <w:t xml:space="preserve"> 72,110,917.93 </w:t>
            </w:r>
          </w:p>
        </w:tc>
        <w:tc>
          <w:tcPr>
            <w:tcW w:w="266" w:type="pct"/>
            <w:tcBorders>
              <w:top w:val="single" w:color="auto" w:sz="4" w:space="0"/>
              <w:left w:val="single" w:color="auto" w:sz="4" w:space="0"/>
              <w:bottom w:val="single" w:color="auto" w:sz="4" w:space="0"/>
              <w:right w:val="single" w:color="auto" w:sz="4" w:space="0"/>
            </w:tcBorders>
            <w:vAlign w:val="top"/>
          </w:tcPr>
          <w:p>
            <w:pPr>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w:t>
            </w:r>
          </w:p>
        </w:tc>
        <w:tc>
          <w:tcPr>
            <w:tcW w:w="5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right"/>
              <w:textAlignment w:val="center"/>
              <w:rPr>
                <w:rFonts w:hint="default" w:ascii="Times New Roman" w:hAnsi="Times New Roman" w:cs="Times New Roman"/>
                <w:sz w:val="18"/>
                <w:szCs w:val="18"/>
              </w:rPr>
            </w:pPr>
            <w:r>
              <w:rPr>
                <w:rFonts w:hint="default" w:ascii="Times New Roman" w:hAnsi="Times New Roman" w:cs="Times New Roman"/>
                <w:sz w:val="18"/>
                <w:szCs w:val="18"/>
              </w:rPr>
              <w:t xml:space="preserve"> 31,520,855.79 </w:t>
            </w:r>
          </w:p>
        </w:tc>
        <w:tc>
          <w:tcPr>
            <w:tcW w:w="314" w:type="pct"/>
            <w:tcBorders>
              <w:top w:val="single" w:color="auto" w:sz="4" w:space="0"/>
              <w:left w:val="single" w:color="auto" w:sz="4" w:space="0"/>
              <w:bottom w:val="single" w:color="auto" w:sz="4" w:space="0"/>
              <w:right w:val="single" w:color="auto" w:sz="4" w:space="0"/>
            </w:tcBorders>
            <w:vAlign w:val="top"/>
          </w:tcPr>
          <w:p>
            <w:pPr>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w:t>
            </w:r>
          </w:p>
        </w:tc>
        <w:tc>
          <w:tcPr>
            <w:tcW w:w="55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right"/>
              <w:textAlignment w:val="center"/>
              <w:rPr>
                <w:rFonts w:hint="default" w:ascii="Times New Roman" w:hAnsi="Times New Roman" w:cs="Times New Roman"/>
                <w:sz w:val="18"/>
                <w:szCs w:val="18"/>
              </w:rPr>
            </w:pPr>
            <w:r>
              <w:rPr>
                <w:rFonts w:hint="default" w:ascii="Times New Roman" w:hAnsi="Times New Roman" w:cs="Times New Roman"/>
                <w:sz w:val="18"/>
                <w:szCs w:val="18"/>
              </w:rPr>
              <w:t xml:space="preserve"> 40,590,062.14 </w:t>
            </w:r>
          </w:p>
        </w:tc>
        <w:tc>
          <w:tcPr>
            <w:tcW w:w="518"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86,292,850.36</w:t>
            </w:r>
          </w:p>
        </w:tc>
        <w:tc>
          <w:tcPr>
            <w:tcW w:w="246"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79"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cs="Times New Roman"/>
                <w:sz w:val="18"/>
                <w:szCs w:val="18"/>
              </w:rPr>
            </w:pPr>
            <w:r>
              <w:rPr>
                <w:rFonts w:hint="default" w:ascii="Times New Roman" w:hAnsi="Times New Roman" w:cs="Times New Roman"/>
                <w:sz w:val="18"/>
                <w:szCs w:val="18"/>
              </w:rPr>
              <w:t>31,407,213.25</w:t>
            </w:r>
          </w:p>
        </w:tc>
        <w:tc>
          <w:tcPr>
            <w:tcW w:w="275"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62" w:type="pct"/>
            <w:tcBorders>
              <w:top w:val="single" w:color="auto" w:sz="4" w:space="0"/>
              <w:left w:val="single" w:color="auto" w:sz="4" w:space="0"/>
              <w:bottom w:val="single" w:color="auto" w:sz="4" w:space="0"/>
              <w:right w:val="single" w:color="auto" w:sz="4" w:space="0"/>
            </w:tcBorders>
          </w:tcPr>
          <w:p>
            <w:pPr>
              <w:jc w:val="righ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54,885,637.11</w:t>
            </w:r>
          </w:p>
        </w:tc>
      </w:tr>
    </w:tbl>
    <w:p>
      <w:pPr>
        <w:sectPr>
          <w:pgSz w:w="16838" w:h="11906" w:orient="landscape"/>
          <w:pgMar w:top="1797" w:right="1525" w:bottom="1276" w:left="1440" w:header="856" w:footer="992" w:gutter="0"/>
          <w:cols w:space="425" w:num="1"/>
          <w:docGrid w:linePitch="312" w:charSpace="0"/>
        </w:sectPr>
      </w:pPr>
    </w:p>
    <w:p/>
    <w:bookmarkEnd w:id="323"/>
    <w:p>
      <w:pPr>
        <w:rPr>
          <w:szCs w:val="21"/>
        </w:rPr>
      </w:pPr>
      <w:r>
        <w:rPr>
          <w:rFonts w:hint="eastAsia"/>
          <w:szCs w:val="21"/>
        </w:rPr>
        <w:t>按单项计提坏账准备：</w:t>
      </w:r>
    </w:p>
    <w:sdt>
      <w:sdtPr>
        <w:alias w:val="是否适用：母公司应收账款按单项计提坏账准备[双击切换]"/>
        <w:tag w:val="_GBC_1cd34dae0bf14ebba3d99534844e7d95"/>
        <w:id w:val="28073"/>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bookmarkStart w:id="324" w:name="_Hlk533796752"/>
      <w:r>
        <w:rPr>
          <w:rFonts w:hint="eastAsia"/>
          <w:szCs w:val="21"/>
        </w:rPr>
        <w:t>位：</w:t>
      </w:r>
      <w:sdt>
        <w:sdtPr>
          <w:rPr>
            <w:rFonts w:hint="eastAsia"/>
            <w:szCs w:val="21"/>
          </w:rPr>
          <w:alias w:val="单位：母公司应收账款按单项计提坏账准备"/>
          <w:tag w:val="_GBC_92bc20ad98a2451daf91a5a49b199fd6"/>
          <w:id w:val="280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80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1698"/>
        <w:gridCol w:w="1700"/>
        <w:gridCol w:w="1430"/>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bf06f48741cf4f8683629bc86fe4253a"/>
            <w:id w:val="23134"/>
          </w:sdtPr>
          <w:sdtEndPr>
            <w:rPr>
              <w:rFonts w:hint="default" w:ascii="Times New Roman" w:hAnsi="Times New Roman" w:cs="Times New Roman"/>
            </w:rPr>
          </w:sdtEndPr>
          <w:sdtContent>
            <w:tc>
              <w:tcPr>
                <w:tcW w:w="1159"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sdtContent>
        </w:sdt>
        <w:sdt>
          <w:sdtPr>
            <w:rPr>
              <w:rFonts w:hint="default" w:ascii="Times New Roman" w:hAnsi="Times New Roman" w:cs="Times New Roman"/>
            </w:rPr>
            <w:tag w:val="_PLD_e8eabae632cb4a738dba30bece28c3a8"/>
            <w:id w:val="23135"/>
          </w:sdtPr>
          <w:sdtEndPr>
            <w:rPr>
              <w:rFonts w:hint="default" w:ascii="Times New Roman" w:hAnsi="Times New Roman" w:cs="Times New Roman"/>
            </w:rPr>
          </w:sdtEndPr>
          <w:sdtContent>
            <w:tc>
              <w:tcPr>
                <w:tcW w:w="3840" w:type="pct"/>
                <w:gridSpan w:val="4"/>
                <w:vAlign w:val="center"/>
              </w:tcPr>
              <w:p>
                <w:pPr>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Merge w:val="continue"/>
          </w:tcPr>
          <w:p>
            <w:pPr>
              <w:jc w:val="center"/>
              <w:rPr>
                <w:rFonts w:hint="default" w:ascii="Times New Roman" w:hAnsi="Times New Roman" w:cs="Times New Roman"/>
                <w:szCs w:val="21"/>
              </w:rPr>
            </w:pPr>
          </w:p>
        </w:tc>
        <w:sdt>
          <w:sdtPr>
            <w:rPr>
              <w:rFonts w:hint="default" w:ascii="Times New Roman" w:hAnsi="Times New Roman" w:cs="Times New Roman"/>
            </w:rPr>
            <w:tag w:val="_PLD_0ea49c9284ac4750b9c5ffe19ec4732c"/>
            <w:id w:val="23136"/>
          </w:sdtPr>
          <w:sdtEndPr>
            <w:rPr>
              <w:rFonts w:hint="default" w:ascii="Times New Roman" w:hAnsi="Times New Roman" w:cs="Times New Roman"/>
            </w:rPr>
          </w:sdtEndPr>
          <w:sdtContent>
            <w:tc>
              <w:tcPr>
                <w:tcW w:w="93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账面余额</w:t>
                </w:r>
              </w:p>
            </w:tc>
          </w:sdtContent>
        </w:sdt>
        <w:sdt>
          <w:sdtPr>
            <w:rPr>
              <w:rFonts w:hint="default" w:ascii="Times New Roman" w:hAnsi="Times New Roman" w:cs="Times New Roman"/>
            </w:rPr>
            <w:tag w:val="_PLD_4e5b035254d34ab286177f908a392849"/>
            <w:id w:val="23137"/>
          </w:sdtPr>
          <w:sdtEndPr>
            <w:rPr>
              <w:rFonts w:hint="default" w:ascii="Times New Roman" w:hAnsi="Times New Roman" w:cs="Times New Roman"/>
            </w:rPr>
          </w:sdtEndPr>
          <w:sdtContent>
            <w:tc>
              <w:tcPr>
                <w:tcW w:w="939"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w:t>
                </w:r>
              </w:p>
            </w:tc>
          </w:sdtContent>
        </w:sdt>
        <w:sdt>
          <w:sdtPr>
            <w:rPr>
              <w:rFonts w:hint="default" w:ascii="Times New Roman" w:hAnsi="Times New Roman" w:cs="Times New Roman"/>
            </w:rPr>
            <w:tag w:val="_PLD_9316156bac3c45f593fc5f35e8e28833"/>
            <w:id w:val="23138"/>
          </w:sdtPr>
          <w:sdtEndPr>
            <w:rPr>
              <w:rFonts w:hint="default" w:ascii="Times New Roman" w:hAnsi="Times New Roman" w:cs="Times New Roman"/>
            </w:rPr>
          </w:sdtEndPr>
          <w:sdtContent>
            <w:tc>
              <w:tcPr>
                <w:tcW w:w="79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计提比例（%）</w:t>
                </w:r>
              </w:p>
            </w:tc>
          </w:sdtContent>
        </w:sdt>
        <w:sdt>
          <w:sdtPr>
            <w:rPr>
              <w:rFonts w:hint="default" w:ascii="Times New Roman" w:hAnsi="Times New Roman" w:cs="Times New Roman"/>
            </w:rPr>
            <w:tag w:val="_PLD_20dce80930bd4c9eb9bd96af960a880b"/>
            <w:id w:val="23139"/>
          </w:sdtPr>
          <w:sdtEndPr>
            <w:rPr>
              <w:rFonts w:hint="default" w:ascii="Times New Roman" w:hAnsi="Times New Roman" w:cs="Times New Roman"/>
            </w:rPr>
          </w:sdtEndPr>
          <w:sdtContent>
            <w:tc>
              <w:tcPr>
                <w:tcW w:w="117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计提理由</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tcPr>
          <w:p>
            <w:pPr>
              <w:rPr>
                <w:rFonts w:hint="default" w:ascii="Times New Roman" w:hAnsi="Times New Roman" w:cs="Times New Roman"/>
                <w:szCs w:val="21"/>
              </w:rPr>
            </w:pPr>
            <w:r>
              <w:rPr>
                <w:rFonts w:hint="default" w:ascii="Times New Roman" w:hAnsi="Times New Roman" w:cs="Times New Roman"/>
              </w:rPr>
              <w:t>客户1</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 15,609,244.47</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15,609,244.47</w:t>
            </w:r>
          </w:p>
        </w:tc>
        <w:tc>
          <w:tcPr>
            <w:tcW w:w="790"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172" w:type="pct"/>
          </w:tcPr>
          <w:p>
            <w:pPr>
              <w:jc w:val="center"/>
              <w:rPr>
                <w:rFonts w:hint="default" w:ascii="Times New Roman" w:hAnsi="Times New Roman" w:cs="Times New Roman"/>
                <w:szCs w:val="21"/>
                <w:highlight w:val="yellow"/>
              </w:rPr>
            </w:pPr>
            <w:r>
              <w:rPr>
                <w:rFonts w:hint="default" w:ascii="Times New Roman" w:hAnsi="Times New Roman" w:cs="Times New Roman"/>
                <w:color w:val="auto"/>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tcPr>
          <w:p>
            <w:pPr>
              <w:rPr>
                <w:rFonts w:hint="default" w:ascii="Times New Roman" w:hAnsi="Times New Roman" w:cs="Times New Roman"/>
                <w:szCs w:val="21"/>
              </w:rPr>
            </w:pPr>
            <w:r>
              <w:rPr>
                <w:rFonts w:hint="default" w:ascii="Times New Roman" w:hAnsi="Times New Roman" w:cs="Times New Roman"/>
              </w:rPr>
              <w:t>客户2</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 2,079,197.55</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2,079,197.55</w:t>
            </w:r>
          </w:p>
        </w:tc>
        <w:tc>
          <w:tcPr>
            <w:tcW w:w="790"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172" w:type="pct"/>
          </w:tcPr>
          <w:p>
            <w:pPr>
              <w:jc w:val="center"/>
              <w:rPr>
                <w:rFonts w:hint="default" w:ascii="Times New Roman" w:hAnsi="Times New Roman" w:cs="Times New Roman"/>
                <w:szCs w:val="21"/>
                <w:highlight w:val="yellow"/>
              </w:rPr>
            </w:pPr>
            <w:r>
              <w:rPr>
                <w:rFonts w:hint="default" w:ascii="Times New Roman" w:hAnsi="Times New Roman" w:cs="Times New Roman"/>
                <w:color w:val="auto"/>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tcPr>
          <w:p>
            <w:pPr>
              <w:rPr>
                <w:rFonts w:hint="default" w:ascii="Times New Roman" w:hAnsi="Times New Roman" w:cs="Times New Roman"/>
                <w:szCs w:val="21"/>
              </w:rPr>
            </w:pPr>
            <w:r>
              <w:rPr>
                <w:rFonts w:hint="default" w:ascii="Times New Roman" w:hAnsi="Times New Roman" w:cs="Times New Roman"/>
              </w:rPr>
              <w:t>客户3</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 734,898.87</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734,898.87</w:t>
            </w:r>
          </w:p>
        </w:tc>
        <w:tc>
          <w:tcPr>
            <w:tcW w:w="790"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172" w:type="pct"/>
          </w:tcPr>
          <w:p>
            <w:pPr>
              <w:jc w:val="center"/>
              <w:rPr>
                <w:rFonts w:hint="default" w:ascii="Times New Roman" w:hAnsi="Times New Roman" w:cs="Times New Roman"/>
                <w:szCs w:val="21"/>
                <w:highlight w:val="yellow"/>
              </w:rPr>
            </w:pPr>
            <w:r>
              <w:rPr>
                <w:rFonts w:hint="default" w:ascii="Times New Roman" w:hAnsi="Times New Roman" w:cs="Times New Roman"/>
                <w:color w:val="auto"/>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tcPr>
          <w:p>
            <w:pPr>
              <w:rPr>
                <w:rFonts w:hint="default" w:ascii="Times New Roman" w:hAnsi="Times New Roman" w:cs="Times New Roman"/>
                <w:szCs w:val="21"/>
              </w:rPr>
            </w:pPr>
            <w:r>
              <w:rPr>
                <w:rFonts w:hint="default" w:ascii="Times New Roman" w:hAnsi="Times New Roman" w:cs="Times New Roman"/>
              </w:rPr>
              <w:t>客户4</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 616,115.30</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616,115.30</w:t>
            </w:r>
          </w:p>
        </w:tc>
        <w:tc>
          <w:tcPr>
            <w:tcW w:w="790"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172" w:type="pct"/>
          </w:tcPr>
          <w:p>
            <w:pPr>
              <w:jc w:val="center"/>
              <w:rPr>
                <w:rFonts w:hint="default" w:ascii="Times New Roman" w:hAnsi="Times New Roman" w:cs="Times New Roman"/>
                <w:szCs w:val="21"/>
                <w:highlight w:val="yellow"/>
              </w:rPr>
            </w:pPr>
            <w:r>
              <w:rPr>
                <w:rFonts w:hint="default" w:ascii="Times New Roman" w:hAnsi="Times New Roman" w:cs="Times New Roman"/>
                <w:color w:val="auto"/>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tcPr>
          <w:p>
            <w:pPr>
              <w:rPr>
                <w:rFonts w:hint="default" w:ascii="Times New Roman" w:hAnsi="Times New Roman" w:cs="Times New Roman"/>
                <w:szCs w:val="21"/>
              </w:rPr>
            </w:pPr>
            <w:r>
              <w:rPr>
                <w:rFonts w:hint="default" w:ascii="Times New Roman" w:hAnsi="Times New Roman" w:cs="Times New Roman"/>
              </w:rPr>
              <w:t>客户5</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 554,277.71</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554,277.71</w:t>
            </w:r>
          </w:p>
        </w:tc>
        <w:tc>
          <w:tcPr>
            <w:tcW w:w="790"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172" w:type="pct"/>
          </w:tcPr>
          <w:p>
            <w:pPr>
              <w:jc w:val="center"/>
              <w:rPr>
                <w:rFonts w:hint="default" w:ascii="Times New Roman" w:hAnsi="Times New Roman" w:cs="Times New Roman"/>
                <w:szCs w:val="21"/>
                <w:highlight w:val="yellow"/>
              </w:rPr>
            </w:pPr>
            <w:r>
              <w:rPr>
                <w:rFonts w:hint="default" w:ascii="Times New Roman" w:hAnsi="Times New Roman" w:cs="Times New Roman"/>
                <w:color w:val="auto"/>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tcPr>
          <w:p>
            <w:pPr>
              <w:rPr>
                <w:rFonts w:hint="default" w:ascii="Times New Roman" w:hAnsi="Times New Roman" w:cs="Times New Roman"/>
                <w:szCs w:val="21"/>
              </w:rPr>
            </w:pPr>
            <w:r>
              <w:rPr>
                <w:rFonts w:hint="default" w:ascii="Times New Roman" w:hAnsi="Times New Roman" w:cs="Times New Roman"/>
              </w:rPr>
              <w:t>其他客户汇总</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1,661,732.43  </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1,661,732.43</w:t>
            </w:r>
          </w:p>
        </w:tc>
        <w:tc>
          <w:tcPr>
            <w:tcW w:w="790" w:type="pct"/>
          </w:tcPr>
          <w:p>
            <w:pPr>
              <w:jc w:val="right"/>
              <w:rPr>
                <w:rFonts w:hint="default" w:ascii="Times New Roman" w:hAnsi="Times New Roman" w:cs="Times New Roman"/>
                <w:szCs w:val="21"/>
              </w:rPr>
            </w:pPr>
            <w:r>
              <w:rPr>
                <w:rFonts w:hint="default" w:ascii="Times New Roman" w:hAnsi="Times New Roman" w:cs="Times New Roman"/>
              </w:rPr>
              <w:t>100</w:t>
            </w:r>
          </w:p>
        </w:tc>
        <w:tc>
          <w:tcPr>
            <w:tcW w:w="1172" w:type="pct"/>
          </w:tcPr>
          <w:p>
            <w:pPr>
              <w:jc w:val="center"/>
              <w:rPr>
                <w:rFonts w:hint="default" w:ascii="Times New Roman" w:hAnsi="Times New Roman" w:cs="Times New Roman"/>
                <w:szCs w:val="21"/>
                <w:highlight w:val="yellow"/>
              </w:rPr>
            </w:pPr>
            <w:r>
              <w:rPr>
                <w:rFonts w:hint="default" w:ascii="Times New Roman" w:hAnsi="Times New Roman" w:cs="Times New Roman"/>
                <w:color w:val="auto"/>
              </w:rPr>
              <w:t>预计收回可能性较小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pct"/>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合计</w:t>
            </w:r>
          </w:p>
        </w:tc>
        <w:tc>
          <w:tcPr>
            <w:tcW w:w="938" w:type="pct"/>
          </w:tcPr>
          <w:p>
            <w:pPr>
              <w:jc w:val="right"/>
              <w:rPr>
                <w:rFonts w:hint="default" w:ascii="Times New Roman" w:hAnsi="Times New Roman" w:cs="Times New Roman"/>
                <w:szCs w:val="21"/>
              </w:rPr>
            </w:pPr>
            <w:r>
              <w:rPr>
                <w:rFonts w:hint="default" w:ascii="Times New Roman" w:hAnsi="Times New Roman" w:cs="Times New Roman"/>
              </w:rPr>
              <w:t> 21,255,466.33</w:t>
            </w:r>
          </w:p>
        </w:tc>
        <w:tc>
          <w:tcPr>
            <w:tcW w:w="939" w:type="pct"/>
          </w:tcPr>
          <w:p>
            <w:pPr>
              <w:jc w:val="right"/>
              <w:rPr>
                <w:rFonts w:hint="default" w:ascii="Times New Roman" w:hAnsi="Times New Roman" w:cs="Times New Roman"/>
                <w:szCs w:val="21"/>
              </w:rPr>
            </w:pPr>
            <w:r>
              <w:rPr>
                <w:rFonts w:hint="default" w:ascii="Times New Roman" w:hAnsi="Times New Roman" w:cs="Times New Roman"/>
              </w:rPr>
              <w:t> 21,255,466.33</w:t>
            </w:r>
          </w:p>
        </w:tc>
        <w:tc>
          <w:tcPr>
            <w:tcW w:w="790" w:type="pct"/>
          </w:tcPr>
          <w:p>
            <w:pPr>
              <w:jc w:val="right"/>
              <w:rPr>
                <w:rFonts w:hint="default" w:ascii="Times New Roman" w:hAnsi="Times New Roman" w:cs="Times New Roman"/>
                <w:szCs w:val="21"/>
              </w:rPr>
            </w:pPr>
            <w:r>
              <w:rPr>
                <w:rFonts w:hint="eastAsia" w:ascii="Times New Roman" w:hAnsi="Times New Roman" w:cs="Times New Roman"/>
                <w:lang w:val="en-US" w:eastAsia="zh-CN"/>
              </w:rPr>
              <w:t>/</w:t>
            </w:r>
            <w:r>
              <w:rPr>
                <w:rFonts w:hint="default" w:ascii="Times New Roman" w:hAnsi="Times New Roman" w:cs="Times New Roman"/>
              </w:rPr>
              <w:t> </w:t>
            </w:r>
          </w:p>
        </w:tc>
        <w:tc>
          <w:tcPr>
            <w:tcW w:w="117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bl>
    <w:p/>
    <w:p/>
    <w:p>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2808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bookmarkEnd w:id="324"/>
    <w:sdt>
      <w:sdtPr>
        <w:rPr>
          <w:rFonts w:hint="eastAsia"/>
          <w:szCs w:val="21"/>
        </w:rPr>
        <w:tag w:val="_PLD_23aec57fe4b34ac2aa7d42cb52467101"/>
        <w:id w:val="28083"/>
        <w:placeholder>
          <w:docPart w:val="GBC22222222222222222222222222222"/>
        </w:placeholder>
      </w:sdtPr>
      <w:sdtEndPr>
        <w:rPr>
          <w:rFonts w:hint="eastAsia"/>
          <w:szCs w:val="21"/>
        </w:rPr>
      </w:sdtEndPr>
      <w:sdtContent>
        <w:p>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28084"/>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Start w:id="325" w:name="_Hlk533796778"/>
        </w:p>
      </w:sdtContent>
    </w:sdt>
    <w:p/>
    <w:bookmarkEnd w:id="325"/>
    <w:p>
      <w:bookmarkStart w:id="326" w:name="_Hlk534616017"/>
      <w:r>
        <w:rPr>
          <w:rFonts w:hint="eastAsia"/>
        </w:rPr>
        <w:t>按预期信用损失一般模型计提坏账准备</w:t>
      </w:r>
    </w:p>
    <w:sdt>
      <w:sdtPr>
        <w:alias w:val="是否适用：母公司应收账款按一般预计信用损失模型计提坏账[双击切换]"/>
        <w:tag w:val="_GBC_681a6428f5004327ac9c72b5eb632f13"/>
        <w:id w:val="28085"/>
        <w:placeholder>
          <w:docPart w:val="GBC22222222222222222222222222222"/>
        </w:placeholder>
      </w:sdtPr>
      <w:sdtContent>
        <w:p>
          <w:pPr>
            <w:autoSpaceDE w:val="0"/>
            <w:autoSpaceDN w:val="0"/>
            <w:adjustRightInd w:val="0"/>
            <w:ind w:right="105" w:rightChars="5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ind w:right="105" w:rightChars="50"/>
        <w:rPr>
          <w:rFonts w:hint="eastAsia"/>
          <w:szCs w:val="21"/>
          <w:highlight w:val="yellow"/>
        </w:rPr>
      </w:pPr>
    </w:p>
    <w:p>
      <w:pPr>
        <w:autoSpaceDE w:val="0"/>
        <w:autoSpaceDN w:val="0"/>
        <w:adjustRightInd w:val="0"/>
        <w:ind w:right="105" w:rightChars="50"/>
        <w:rPr>
          <w:szCs w:val="21"/>
          <w:highlight w:val="none"/>
        </w:rPr>
      </w:pPr>
      <w:r>
        <w:rPr>
          <w:rFonts w:hint="eastAsia"/>
          <w:szCs w:val="21"/>
          <w:highlight w:val="none"/>
        </w:rPr>
        <w:t>各阶段划分依据和坏账准备计提比例</w:t>
      </w:r>
    </w:p>
    <w:sdt>
      <w:sdtPr>
        <w:rPr>
          <w:rFonts w:cs="Times New Roman"/>
          <w:bCs/>
          <w:szCs w:val="22"/>
        </w:rPr>
        <w:alias w:val="各阶段划分依据和坏账准备计提比例"/>
        <w:tag w:val="_GBC_715f45f6066e4ba295d3973a2eed903b"/>
        <w:id w:val="28086"/>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val="en-US" w:eastAsia="zh-CN"/>
            </w:rPr>
            <w:t>无</w:t>
          </w:r>
        </w:p>
      </w:sdtContent>
    </w:sdt>
    <w:p/>
    <w:p>
      <w:pPr>
        <w:pStyle w:val="87"/>
        <w:rPr>
          <w:highlight w:val="none"/>
        </w:rPr>
      </w:pPr>
      <w:r>
        <w:rPr>
          <w:rFonts w:hint="eastAsia"/>
          <w:highlight w:val="none"/>
        </w:rPr>
        <w:t>对本期发生损失准备变动的应收账款账面余额显著变动的情况说明：</w:t>
      </w:r>
    </w:p>
    <w:sdt>
      <w:sdtPr>
        <w:rPr>
          <w:szCs w:val="21"/>
          <w:highlight w:val="none"/>
        </w:rPr>
        <w:alias w:val="是否适用：母公司对本期发生损失准备变动的账面余额显著变动的情况说明[双击切换]"/>
        <w:tag w:val="_GBC_2624b4d5ae5d4288ad7c6f9bcbcff810"/>
        <w:id w:val="28087"/>
        <w:placeholder>
          <w:docPart w:val="GBC22222222222222222222222222222"/>
        </w:placeholder>
      </w:sdtPr>
      <w:sdtEndPr>
        <w:rPr>
          <w:szCs w:val="21"/>
          <w:highlight w:val="none"/>
        </w:rPr>
      </w:sdtEndPr>
      <w:sdtContent>
        <w:p>
          <w:pPr>
            <w:autoSpaceDE w:val="0"/>
            <w:autoSpaceDN w:val="0"/>
            <w:adjustRightInd w:val="0"/>
            <w:ind w:right="105" w:rightChars="50"/>
            <w:outlineLvl w:val="9"/>
            <w:rPr>
              <w:szCs w:val="21"/>
              <w:highlight w:val="none"/>
            </w:rPr>
          </w:pPr>
          <w:r>
            <w:rPr>
              <w:szCs w:val="21"/>
              <w:highlight w:val="none"/>
            </w:rPr>
            <w:fldChar w:fldCharType="begin"/>
          </w:r>
          <w:r>
            <w:rPr>
              <w:rFonts w:hint="eastAsia"/>
              <w:szCs w:val="21"/>
              <w:highlight w:val="none"/>
              <w:lang w:eastAsia="zh-CN"/>
            </w:rPr>
            <w:instrText xml:space="preserve"> MACROBUTTON  SnrToggleCheckbox □适用 </w:instrText>
          </w:r>
          <w:r>
            <w:rPr>
              <w:szCs w:val="21"/>
              <w:highlight w:val="none"/>
            </w:rPr>
            <w:fldChar w:fldCharType="end"/>
          </w:r>
          <w:r>
            <w:rPr>
              <w:szCs w:val="21"/>
              <w:highlight w:val="none"/>
            </w:rPr>
            <w:fldChar w:fldCharType="begin"/>
          </w:r>
          <w:r>
            <w:rPr>
              <w:rFonts w:hint="eastAsia"/>
              <w:szCs w:val="21"/>
              <w:highlight w:val="none"/>
              <w:lang w:eastAsia="zh-CN"/>
            </w:rPr>
            <w:instrText xml:space="preserve"> MACROBUTTON  SnrToggleCheckbox √不适用 </w:instrText>
          </w:r>
          <w:r>
            <w:rPr>
              <w:szCs w:val="21"/>
              <w:highlight w:val="none"/>
            </w:rPr>
            <w:fldChar w:fldCharType="end"/>
          </w:r>
        </w:p>
      </w:sdtContent>
    </w:sdt>
    <w:p/>
    <w:bookmarkEnd w:id="326"/>
    <w:p>
      <w:pPr>
        <w:pStyle w:val="5"/>
        <w:numPr>
          <w:ilvl w:val="3"/>
          <w:numId w:val="133"/>
        </w:numPr>
        <w:ind w:left="424" w:hanging="426" w:hangingChars="202"/>
      </w:pPr>
      <w:bookmarkStart w:id="327" w:name="_Hlk534890665"/>
      <w:r>
        <w:rPr>
          <w:rFonts w:hint="eastAsia"/>
        </w:rPr>
        <w:t>坏账准备的情况</w:t>
      </w:r>
    </w:p>
    <w:sdt>
      <w:sdtPr>
        <w:alias w:val="是否适用：母公司应收账款坏账准备情况[双击切换]"/>
        <w:tag w:val="_GBC_c4b273c4d86b423ea0abe5794b3a9a07"/>
        <w:id w:val="28088"/>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63"/>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应收账款坏账准备情况"/>
          <w:tag w:val="_GBC_297876b5a195460cabc3796e317c400c"/>
          <w:id w:val="280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坏账准备情况"/>
          <w:tag w:val="_GBC_e88786d88c2b4853820fef447c6f542a"/>
          <w:id w:val="280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394"/>
        <w:gridCol w:w="1500"/>
        <w:gridCol w:w="1350"/>
        <w:gridCol w:w="1388"/>
        <w:gridCol w:w="1137"/>
        <w:gridCol w:w="763"/>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rPr>
              <w:rFonts w:hint="default" w:ascii="Times New Roman" w:hAnsi="Times New Roman" w:cs="Times New Roman"/>
            </w:rPr>
            <w:tag w:val="_PLD_98300d230c0347eb87a2635ad51c1d00"/>
            <w:id w:val="23148"/>
          </w:sdtPr>
          <w:sdtEndPr>
            <w:rPr>
              <w:rFonts w:hint="default" w:ascii="Times New Roman" w:hAnsi="Times New Roman" w:cs="Times New Roman"/>
            </w:rPr>
          </w:sdtEndPr>
          <w:sdtContent>
            <w:tc>
              <w:tcPr>
                <w:tcW w:w="769"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类别</w:t>
                </w:r>
              </w:p>
            </w:tc>
          </w:sdtContent>
        </w:sdt>
        <w:sdt>
          <w:sdtPr>
            <w:rPr>
              <w:rFonts w:hint="default" w:ascii="Times New Roman" w:hAnsi="Times New Roman" w:cs="Times New Roman"/>
            </w:rPr>
            <w:tag w:val="_PLD_7769f2b383ef45cea01b90026bb353c2"/>
            <w:id w:val="23149"/>
          </w:sdtPr>
          <w:sdtEndPr>
            <w:rPr>
              <w:rFonts w:hint="default" w:ascii="Times New Roman" w:hAnsi="Times New Roman" w:cs="Times New Roman"/>
            </w:rPr>
          </w:sdtEndPr>
          <w:sdtContent>
            <w:tc>
              <w:tcPr>
                <w:tcW w:w="827"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期初余额</w:t>
                </w:r>
              </w:p>
            </w:tc>
          </w:sdtContent>
        </w:sdt>
        <w:sdt>
          <w:sdtPr>
            <w:rPr>
              <w:rFonts w:hint="default" w:ascii="Times New Roman" w:hAnsi="Times New Roman" w:cs="Times New Roman"/>
            </w:rPr>
            <w:tag w:val="_PLD_cd024d723ca84c77aded9d7b7313563b"/>
            <w:id w:val="23150"/>
          </w:sdtPr>
          <w:sdtEndPr>
            <w:rPr>
              <w:rFonts w:hint="default" w:ascii="Times New Roman" w:hAnsi="Times New Roman" w:cs="Times New Roman"/>
            </w:rPr>
          </w:sdtEndPr>
          <w:sdtContent>
            <w:tc>
              <w:tcPr>
                <w:tcW w:w="2559" w:type="pct"/>
                <w:gridSpan w:val="4"/>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本期变动金额</w:t>
                </w:r>
              </w:p>
            </w:tc>
          </w:sdtContent>
        </w:sdt>
        <w:sdt>
          <w:sdtPr>
            <w:rPr>
              <w:rFonts w:hint="default" w:ascii="Times New Roman" w:hAnsi="Times New Roman" w:cs="Times New Roman"/>
            </w:rPr>
            <w:tag w:val="_PLD_1225558b3fd34599bc2c3f9eb23fba1e"/>
            <w:id w:val="23151"/>
          </w:sdtPr>
          <w:sdtEndPr>
            <w:rPr>
              <w:rFonts w:hint="default" w:ascii="Times New Roman" w:hAnsi="Times New Roman" w:cs="Times New Roman"/>
            </w:rPr>
          </w:sdtEndPr>
          <w:sdtContent>
            <w:tc>
              <w:tcPr>
                <w:tcW w:w="842" w:type="pct"/>
                <w:vMerge w:val="restar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69" w:type="pct"/>
            <w:vMerge w:val="continue"/>
            <w:shd w:val="clear" w:color="auto" w:fill="FFFFFF"/>
          </w:tcPr>
          <w:p>
            <w:pPr>
              <w:widowControl w:val="0"/>
              <w:jc w:val="center"/>
              <w:rPr>
                <w:rFonts w:hint="default" w:ascii="Times New Roman" w:hAnsi="Times New Roman" w:cs="Times New Roman"/>
              </w:rPr>
            </w:pPr>
          </w:p>
        </w:tc>
        <w:tc>
          <w:tcPr>
            <w:tcW w:w="827" w:type="pct"/>
            <w:vMerge w:val="continue"/>
            <w:shd w:val="clear" w:color="auto" w:fill="FFFFFF"/>
          </w:tcPr>
          <w:p>
            <w:pPr>
              <w:widowControl w:val="0"/>
              <w:jc w:val="center"/>
              <w:rPr>
                <w:rFonts w:hint="default" w:ascii="Times New Roman" w:hAnsi="Times New Roman" w:cs="Times New Roman"/>
              </w:rPr>
            </w:pPr>
          </w:p>
        </w:tc>
        <w:sdt>
          <w:sdtPr>
            <w:rPr>
              <w:rFonts w:hint="default" w:ascii="Times New Roman" w:hAnsi="Times New Roman" w:cs="Times New Roman"/>
            </w:rPr>
            <w:tag w:val="_PLD_3e1ba6e4785f430c89e70b3081ee1f0a"/>
            <w:id w:val="23152"/>
          </w:sdtPr>
          <w:sdtEndPr>
            <w:rPr>
              <w:rFonts w:hint="default" w:ascii="Times New Roman" w:hAnsi="Times New Roman" w:cs="Times New Roman"/>
            </w:rPr>
          </w:sdtEndPr>
          <w:sdtContent>
            <w:tc>
              <w:tcPr>
                <w:tcW w:w="745"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计提</w:t>
                </w:r>
              </w:p>
            </w:tc>
          </w:sdtContent>
        </w:sdt>
        <w:sdt>
          <w:sdtPr>
            <w:rPr>
              <w:rFonts w:hint="default" w:ascii="Times New Roman" w:hAnsi="Times New Roman" w:cs="Times New Roman"/>
            </w:rPr>
            <w:tag w:val="_PLD_e1238ab8ec634edb975aa51e169f4488"/>
            <w:id w:val="23153"/>
          </w:sdtPr>
          <w:sdtEndPr>
            <w:rPr>
              <w:rFonts w:hint="default" w:ascii="Times New Roman" w:hAnsi="Times New Roman" w:cs="Times New Roman"/>
            </w:rPr>
          </w:sdtEndPr>
          <w:sdtContent>
            <w:tc>
              <w:tcPr>
                <w:tcW w:w="766" w:type="pct"/>
                <w:shd w:val="clear" w:color="auto" w:fill="FFFFFF"/>
                <w:vAlign w:val="center"/>
              </w:tcPr>
              <w:p>
                <w:pPr>
                  <w:widowControl w:val="0"/>
                  <w:jc w:val="center"/>
                  <w:rPr>
                    <w:rFonts w:hint="default" w:ascii="Times New Roman" w:hAnsi="Times New Roman" w:cs="Times New Roman"/>
                  </w:rPr>
                </w:pPr>
                <w:r>
                  <w:rPr>
                    <w:rFonts w:hint="default" w:ascii="Times New Roman" w:hAnsi="Times New Roman" w:cs="Times New Roman"/>
                  </w:rPr>
                  <w:t>收回或转回</w:t>
                </w:r>
              </w:p>
            </w:tc>
          </w:sdtContent>
        </w:sdt>
        <w:tc>
          <w:tcPr>
            <w:tcW w:w="627" w:type="pct"/>
            <w:shd w:val="clear" w:color="auto" w:fill="FFFFFF"/>
            <w:vAlign w:val="center"/>
          </w:tcPr>
          <w:sdt>
            <w:sdtPr>
              <w:rPr>
                <w:rFonts w:hint="default" w:ascii="Times New Roman" w:hAnsi="Times New Roman" w:cs="Times New Roman"/>
              </w:rPr>
              <w:tag w:val="_PLD_4909ee6a3062412caf5e93a150ca2e23"/>
              <w:id w:val="23154"/>
            </w:sdtPr>
            <w:sdtEndPr>
              <w:rPr>
                <w:rFonts w:hint="default" w:ascii="Times New Roman" w:hAnsi="Times New Roman" w:cs="Times New Roman"/>
              </w:rPr>
            </w:sdtEndPr>
            <w:sdtContent>
              <w:p>
                <w:pPr>
                  <w:widowControl w:val="0"/>
                  <w:jc w:val="center"/>
                  <w:rPr>
                    <w:rFonts w:hint="default" w:ascii="Times New Roman" w:hAnsi="Times New Roman" w:cs="Times New Roman"/>
                  </w:rPr>
                </w:pPr>
                <w:r>
                  <w:rPr>
                    <w:rFonts w:hint="default" w:ascii="Times New Roman" w:hAnsi="Times New Roman" w:cs="Times New Roman"/>
                  </w:rPr>
                  <w:t>转销或核销</w:t>
                </w:r>
              </w:p>
            </w:sdtContent>
          </w:sdt>
        </w:tc>
        <w:tc>
          <w:tcPr>
            <w:tcW w:w="421" w:type="pct"/>
            <w:shd w:val="clear" w:color="auto" w:fill="FFFFFF"/>
            <w:vAlign w:val="center"/>
          </w:tcPr>
          <w:sdt>
            <w:sdtPr>
              <w:rPr>
                <w:rFonts w:hint="default" w:ascii="Times New Roman" w:hAnsi="Times New Roman" w:cs="Times New Roman"/>
              </w:rPr>
              <w:tag w:val="_PLD_b95e9591908443ef8eef29a18814ebfa"/>
              <w:id w:val="23155"/>
            </w:sdtPr>
            <w:sdtEndPr>
              <w:rPr>
                <w:rFonts w:hint="default" w:ascii="Times New Roman" w:hAnsi="Times New Roman" w:cs="Times New Roman"/>
              </w:rPr>
            </w:sdtEndPr>
            <w:sdtContent>
              <w:p>
                <w:pPr>
                  <w:widowControl w:val="0"/>
                  <w:jc w:val="right"/>
                  <w:rPr>
                    <w:rFonts w:hint="default" w:ascii="Times New Roman" w:hAnsi="Times New Roman" w:cs="Times New Roman"/>
                  </w:rPr>
                </w:pPr>
                <w:r>
                  <w:rPr>
                    <w:rFonts w:hint="default" w:ascii="Times New Roman" w:hAnsi="Times New Roman" w:cs="Times New Roman"/>
                  </w:rPr>
                  <w:t>其他变动</w:t>
                </w:r>
              </w:p>
            </w:sdtContent>
          </w:sdt>
        </w:tc>
        <w:tc>
          <w:tcPr>
            <w:tcW w:w="842" w:type="pct"/>
            <w:vMerge w:val="continue"/>
            <w:shd w:val="clear" w:color="auto" w:fill="FFFFFF"/>
          </w:tcPr>
          <w:p>
            <w:pPr>
              <w:widowControl w:val="0"/>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69" w:type="pct"/>
            <w:shd w:val="clear" w:color="auto" w:fill="auto"/>
          </w:tcPr>
          <w:p>
            <w:pPr>
              <w:widowControl w:val="0"/>
              <w:rPr>
                <w:rFonts w:hint="default" w:ascii="Times New Roman" w:hAnsi="Times New Roman" w:cs="Times New Roman"/>
              </w:rPr>
            </w:pPr>
            <w:r>
              <w:rPr>
                <w:rFonts w:hint="default" w:ascii="Times New Roman" w:hAnsi="Times New Roman" w:cs="Times New Roman"/>
              </w:rPr>
              <w:t>单项计提预期信用损失的应收账款</w:t>
            </w:r>
          </w:p>
        </w:tc>
        <w:tc>
          <w:tcPr>
            <w:tcW w:w="827"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19,770,146.05</w:t>
            </w:r>
          </w:p>
        </w:tc>
        <w:tc>
          <w:tcPr>
            <w:tcW w:w="745"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1,485,320.28</w:t>
            </w:r>
          </w:p>
        </w:tc>
        <w:tc>
          <w:tcPr>
            <w:tcW w:w="766" w:type="pct"/>
            <w:shd w:val="clear" w:color="auto" w:fill="auto"/>
            <w:vAlign w:val="center"/>
          </w:tcPr>
          <w:p>
            <w:pPr>
              <w:widowControl w:val="0"/>
              <w:jc w:val="right"/>
              <w:rPr>
                <w:rFonts w:hint="default" w:ascii="Times New Roman" w:hAnsi="Times New Roman" w:cs="Times New Roman"/>
              </w:rPr>
            </w:pPr>
            <w:r>
              <w:t> </w:t>
            </w:r>
          </w:p>
        </w:tc>
        <w:tc>
          <w:tcPr>
            <w:tcW w:w="627" w:type="pct"/>
            <w:vAlign w:val="center"/>
          </w:tcPr>
          <w:p>
            <w:pPr>
              <w:widowControl w:val="0"/>
              <w:jc w:val="right"/>
              <w:rPr>
                <w:rFonts w:hint="default" w:ascii="Times New Roman" w:hAnsi="Times New Roman" w:cs="Times New Roman"/>
              </w:rPr>
            </w:pPr>
            <w:r>
              <w:t> </w:t>
            </w:r>
          </w:p>
        </w:tc>
        <w:tc>
          <w:tcPr>
            <w:tcW w:w="421" w:type="pct"/>
            <w:vAlign w:val="center"/>
          </w:tcPr>
          <w:p>
            <w:pPr>
              <w:widowControl w:val="0"/>
              <w:jc w:val="right"/>
              <w:rPr>
                <w:rFonts w:hint="default" w:ascii="Times New Roman" w:hAnsi="Times New Roman" w:cs="Times New Roman"/>
              </w:rPr>
            </w:pPr>
            <w:r>
              <w:t> </w:t>
            </w:r>
          </w:p>
        </w:tc>
        <w:tc>
          <w:tcPr>
            <w:tcW w:w="84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21,255,466.33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9" w:type="pct"/>
            <w:shd w:val="clear" w:color="auto" w:fill="auto"/>
          </w:tcPr>
          <w:p>
            <w:pPr>
              <w:widowControl w:val="0"/>
              <w:rPr>
                <w:rFonts w:hint="default" w:ascii="Times New Roman" w:hAnsi="Times New Roman" w:cs="Times New Roman"/>
              </w:rPr>
            </w:pPr>
            <w:r>
              <w:rPr>
                <w:rFonts w:hint="default" w:ascii="Times New Roman" w:hAnsi="Times New Roman" w:cs="Times New Roman"/>
              </w:rPr>
              <w:t>按组合计提预期信用损失的应收账款</w:t>
            </w:r>
          </w:p>
        </w:tc>
        <w:tc>
          <w:tcPr>
            <w:tcW w:w="827"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11,637,067.20</w:t>
            </w:r>
          </w:p>
        </w:tc>
        <w:tc>
          <w:tcPr>
            <w:tcW w:w="745"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766" w:type="pct"/>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1,311,772.75</w:t>
            </w:r>
          </w:p>
        </w:tc>
        <w:tc>
          <w:tcPr>
            <w:tcW w:w="627"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59,904.99</w:t>
            </w:r>
          </w:p>
        </w:tc>
        <w:tc>
          <w:tcPr>
            <w:tcW w:w="421" w:type="pct"/>
            <w:vAlign w:val="center"/>
          </w:tcPr>
          <w:p>
            <w:pPr>
              <w:widowControl w:val="0"/>
              <w:jc w:val="right"/>
              <w:rPr>
                <w:rFonts w:hint="default" w:ascii="Times New Roman" w:hAnsi="Times New Roman" w:cs="Times New Roman"/>
              </w:rPr>
            </w:pPr>
            <w:r>
              <w:t> </w:t>
            </w:r>
          </w:p>
        </w:tc>
        <w:tc>
          <w:tcPr>
            <w:tcW w:w="84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10,265,389.46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69" w:type="pct"/>
            <w:shd w:val="clear" w:color="auto" w:fill="auto"/>
          </w:tcPr>
          <w:p>
            <w:pPr>
              <w:widowControl w:val="0"/>
              <w:rPr>
                <w:rFonts w:hint="default" w:ascii="Times New Roman" w:hAnsi="Times New Roman" w:cs="Times New Roman"/>
              </w:rPr>
            </w:pPr>
            <w:r>
              <w:rPr>
                <w:rFonts w:hint="default" w:ascii="Times New Roman" w:hAnsi="Times New Roman" w:cs="Times New Roman"/>
              </w:rPr>
              <w:t>其中：按账龄组合计提坏账准备的应收账款</w:t>
            </w:r>
          </w:p>
        </w:tc>
        <w:tc>
          <w:tcPr>
            <w:tcW w:w="827"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11,637,067.20</w:t>
            </w:r>
          </w:p>
        </w:tc>
        <w:tc>
          <w:tcPr>
            <w:tcW w:w="745"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w:t>
            </w:r>
          </w:p>
        </w:tc>
        <w:tc>
          <w:tcPr>
            <w:tcW w:w="766" w:type="pct"/>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1,311,772.75</w:t>
            </w:r>
          </w:p>
        </w:tc>
        <w:tc>
          <w:tcPr>
            <w:tcW w:w="627"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59,904.99</w:t>
            </w:r>
          </w:p>
        </w:tc>
        <w:tc>
          <w:tcPr>
            <w:tcW w:w="421" w:type="pct"/>
            <w:vAlign w:val="center"/>
          </w:tcPr>
          <w:p>
            <w:pPr>
              <w:widowControl w:val="0"/>
              <w:jc w:val="right"/>
              <w:rPr>
                <w:rFonts w:hint="default" w:ascii="Times New Roman" w:hAnsi="Times New Roman" w:cs="Times New Roman"/>
              </w:rPr>
            </w:pPr>
            <w:r>
              <w:t> </w:t>
            </w:r>
          </w:p>
        </w:tc>
        <w:tc>
          <w:tcPr>
            <w:tcW w:w="84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10,265,389.46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69" w:type="pct"/>
            <w:shd w:val="clear" w:color="auto" w:fill="auto"/>
          </w:tcPr>
          <w:p>
            <w:pPr>
              <w:widowControl w:val="0"/>
              <w:jc w:val="center"/>
              <w:rPr>
                <w:rFonts w:hint="default" w:ascii="Times New Roman" w:hAnsi="Times New Roman" w:cs="Times New Roman"/>
              </w:rPr>
            </w:pPr>
            <w:r>
              <w:rPr>
                <w:rFonts w:hint="default" w:ascii="Times New Roman" w:hAnsi="Times New Roman" w:cs="Times New Roman"/>
                <w:color w:val="auto"/>
              </w:rPr>
              <w:t>合计</w:t>
            </w:r>
          </w:p>
        </w:tc>
        <w:tc>
          <w:tcPr>
            <w:tcW w:w="827"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31,407,213.25</w:t>
            </w:r>
          </w:p>
        </w:tc>
        <w:tc>
          <w:tcPr>
            <w:tcW w:w="745"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1,485,320.28</w:t>
            </w:r>
          </w:p>
        </w:tc>
        <w:tc>
          <w:tcPr>
            <w:tcW w:w="766" w:type="pct"/>
            <w:shd w:val="clear" w:color="auto" w:fill="auto"/>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1,311,772.75</w:t>
            </w:r>
          </w:p>
        </w:tc>
        <w:tc>
          <w:tcPr>
            <w:tcW w:w="627" w:type="pct"/>
            <w:vAlign w:val="center"/>
          </w:tcPr>
          <w:p>
            <w:pPr>
              <w:widowControl w:val="0"/>
              <w:jc w:val="right"/>
              <w:rPr>
                <w:rFonts w:hint="default" w:ascii="Times New Roman" w:hAnsi="Times New Roman" w:cs="Times New Roman"/>
                <w:color w:val="auto"/>
              </w:rPr>
            </w:pPr>
            <w:r>
              <w:rPr>
                <w:rFonts w:hint="default" w:ascii="Times New Roman" w:hAnsi="Times New Roman" w:cs="Times New Roman"/>
                <w:color w:val="auto"/>
              </w:rPr>
              <w:t>59,904.99</w:t>
            </w:r>
          </w:p>
        </w:tc>
        <w:tc>
          <w:tcPr>
            <w:tcW w:w="421" w:type="pct"/>
            <w:vAlign w:val="center"/>
          </w:tcPr>
          <w:p>
            <w:pPr>
              <w:widowControl w:val="0"/>
              <w:jc w:val="right"/>
              <w:rPr>
                <w:rFonts w:hint="default" w:ascii="Times New Roman" w:hAnsi="Times New Roman" w:cs="Times New Roman"/>
              </w:rPr>
            </w:pPr>
            <w:r>
              <w:t> </w:t>
            </w:r>
          </w:p>
        </w:tc>
        <w:tc>
          <w:tcPr>
            <w:tcW w:w="842" w:type="pct"/>
            <w:shd w:val="clear" w:color="auto" w:fill="auto"/>
            <w:vAlign w:val="center"/>
          </w:tcPr>
          <w:p>
            <w:pPr>
              <w:widowControl w:val="0"/>
              <w:jc w:val="right"/>
              <w:rPr>
                <w:rFonts w:hint="default" w:ascii="Times New Roman" w:hAnsi="Times New Roman" w:cs="Times New Roman"/>
              </w:rPr>
            </w:pPr>
            <w:r>
              <w:rPr>
                <w:rFonts w:hint="default" w:ascii="Times New Roman" w:hAnsi="Times New Roman" w:cs="Times New Roman"/>
                <w:color w:val="auto"/>
              </w:rPr>
              <w:t> 31,520,855.79</w:t>
            </w:r>
          </w:p>
        </w:tc>
      </w:tr>
    </w:tbl>
    <w:p/>
    <w:p/>
    <w:p>
      <w:pPr>
        <w:pStyle w:val="87"/>
      </w:pPr>
    </w:p>
    <w:bookmarkEnd w:id="327"/>
    <w:p>
      <w:bookmarkStart w:id="328" w:name="_Hlk153789356"/>
      <w:r>
        <w:rPr>
          <w:rFonts w:hint="eastAsia"/>
        </w:rPr>
        <w:t>其中本期坏账准备收回或转回金额重要的：</w:t>
      </w:r>
    </w:p>
    <w:sdt>
      <w:sdtPr>
        <w:alias w:val="是否适用：母公司其中本期坏账准备收回或转回金额重要的[双击切换]"/>
        <w:tag w:val="_GBC_5f9ff028d97f4757bc779516f257bedd"/>
        <w:id w:val="28099"/>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p>
    <w:p>
      <w:r>
        <w:rPr>
          <w:rFonts w:hint="eastAsia"/>
        </w:rPr>
        <w:t>其他说明</w:t>
      </w:r>
    </w:p>
    <w:sdt>
      <w:sdtPr>
        <w:rPr>
          <w:szCs w:val="21"/>
        </w:rPr>
        <w:alias w:val="应收账款坏账准备情况的说明"/>
        <w:tag w:val="_GBC_cff8cbc4c64e413fadcc7d21dcb34fc7"/>
        <w:id w:val="28100"/>
        <w:placeholder>
          <w:docPart w:val="GBC22222222222222222222222222222"/>
        </w:placeholder>
      </w:sdtPr>
      <w:sdtEndPr>
        <w:rPr>
          <w:szCs w:val="21"/>
        </w:rPr>
      </w:sdtEndPr>
      <w:sdtContent>
        <w:p>
          <w:pPr>
            <w:ind w:right="-1594" w:rightChars="-759"/>
            <w:rPr>
              <w:szCs w:val="21"/>
            </w:rPr>
          </w:pPr>
          <w:r>
            <w:rPr>
              <w:rFonts w:hint="eastAsia"/>
              <w:szCs w:val="21"/>
              <w:lang w:eastAsia="zh-CN"/>
            </w:rPr>
            <w:t>无</w:t>
          </w:r>
        </w:p>
      </w:sdtContent>
    </w:sdt>
    <w:bookmarkEnd w:id="328"/>
    <w:p>
      <w:pPr>
        <w:pStyle w:val="5"/>
        <w:numPr>
          <w:ilvl w:val="3"/>
          <w:numId w:val="133"/>
        </w:numPr>
        <w:ind w:left="424" w:hanging="426" w:hangingChars="202"/>
      </w:pPr>
      <w:r>
        <w:t>本期实际核销的应收</w:t>
      </w:r>
      <w:r>
        <w:rPr>
          <w:rFonts w:hint="eastAsia"/>
        </w:rPr>
        <w:t>账款</w:t>
      </w:r>
      <w:r>
        <w:t>情况</w:t>
      </w:r>
    </w:p>
    <w:sdt>
      <w:sdtPr>
        <w:alias w:val="是否适用：母公司本期实际核销的应收账款情况[双击切换]"/>
        <w:tag w:val="_GBC_a30d476ac6184bc98f9b334fa55067ac"/>
        <w:id w:val="28101"/>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28102"/>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snapToGrid w:val="0"/>
            <w:spacing w:line="240" w:lineRule="atLeast"/>
            <w:rPr>
              <w:szCs w:val="21"/>
            </w:rPr>
          </w:pPr>
        </w:p>
      </w:sdtContent>
    </w:sdt>
    <w:p>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28103"/>
        <w:placeholder>
          <w:docPart w:val="GBC22222222222222222222222222222"/>
        </w:placeholder>
      </w:sdtPr>
      <w:sdtEndPr>
        <w:rPr>
          <w:rFonts w:hint="eastAsia"/>
          <w:szCs w:val="21"/>
        </w:rPr>
      </w:sdtEndPr>
      <w:sdtContent>
        <w:p>
          <w:pPr>
            <w:snapToGrid w:val="0"/>
            <w:spacing w:line="240" w:lineRule="atLeast"/>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
      <w:pPr>
        <w:pStyle w:val="5"/>
        <w:numPr>
          <w:ilvl w:val="3"/>
          <w:numId w:val="133"/>
        </w:numPr>
        <w:ind w:left="424" w:hanging="426" w:hangingChars="202"/>
        <w:rPr>
          <w:highlight w:val="none"/>
        </w:rPr>
      </w:pPr>
      <w:bookmarkStart w:id="329" w:name="_Hlk90023019"/>
      <w:bookmarkStart w:id="330" w:name="_Hlk153789714"/>
      <w:r>
        <w:rPr>
          <w:rFonts w:hint="eastAsia"/>
          <w:highlight w:val="none"/>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28104"/>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81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281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549"/>
        <w:gridCol w:w="1500"/>
        <w:gridCol w:w="1500"/>
        <w:gridCol w:w="150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eastAsia" w:ascii="Times New Roman" w:hAnsi="Times New Roman"/>
              <w:szCs w:val="21"/>
            </w:rPr>
            <w:tag w:val="_PLD_68ef52d85e9b4f23a72393cc4b01b204"/>
            <w:id w:val="2987"/>
          </w:sdtPr>
          <w:sdtEndPr>
            <w:rPr>
              <w:rFonts w:hint="eastAsia" w:ascii="Times New Roman" w:hAnsi="Times New Roman"/>
              <w:szCs w:val="21"/>
            </w:rPr>
          </w:sdtEndPr>
          <w:sdtContent>
            <w:tc>
              <w:tcPr>
                <w:tcW w:w="828" w:type="pct"/>
                <w:vAlign w:val="center"/>
              </w:tcPr>
              <w:p>
                <w:pPr>
                  <w:ind w:right="105"/>
                  <w:jc w:val="center"/>
                  <w:rPr>
                    <w:rFonts w:ascii="Times New Roman" w:hAnsi="Times New Roman"/>
                    <w:szCs w:val="21"/>
                  </w:rPr>
                </w:pPr>
                <w:r>
                  <w:rPr>
                    <w:rFonts w:hint="eastAsia" w:ascii="Times New Roman" w:hAnsi="Times New Roman"/>
                    <w:szCs w:val="21"/>
                  </w:rPr>
                  <w:t>单位名称</w:t>
                </w:r>
              </w:p>
            </w:tc>
          </w:sdtContent>
        </w:sdt>
        <w:sdt>
          <w:sdtPr>
            <w:rPr>
              <w:rFonts w:hint="eastAsia" w:ascii="Times New Roman" w:hAnsi="Times New Roman"/>
              <w:szCs w:val="21"/>
            </w:rPr>
            <w:tag w:val="_PLD_a62fd4b0ddfb407795d57ea0471df65a"/>
            <w:id w:val="2988"/>
          </w:sdtPr>
          <w:sdtEndPr>
            <w:rPr>
              <w:rFonts w:hint="eastAsia" w:ascii="Times New Roman" w:hAnsi="Times New Roman"/>
              <w:szCs w:val="21"/>
            </w:rPr>
          </w:sdtEndPr>
          <w:sdtContent>
            <w:tc>
              <w:tcPr>
                <w:tcW w:w="855" w:type="pct"/>
                <w:vAlign w:val="center"/>
              </w:tcPr>
              <w:p>
                <w:pPr>
                  <w:ind w:right="73"/>
                  <w:jc w:val="center"/>
                  <w:rPr>
                    <w:rFonts w:ascii="Times New Roman" w:hAnsi="Times New Roman"/>
                    <w:szCs w:val="21"/>
                  </w:rPr>
                </w:pPr>
                <w:r>
                  <w:rPr>
                    <w:rFonts w:hint="eastAsia" w:ascii="Times New Roman" w:hAnsi="Times New Roman"/>
                    <w:szCs w:val="21"/>
                  </w:rPr>
                  <w:t>应收账款期末余额</w:t>
                </w:r>
              </w:p>
            </w:tc>
          </w:sdtContent>
        </w:sdt>
        <w:sdt>
          <w:sdtPr>
            <w:rPr>
              <w:rFonts w:hint="eastAsia" w:ascii="Times New Roman" w:hAnsi="Times New Roman"/>
              <w:szCs w:val="21"/>
            </w:rPr>
            <w:tag w:val="_PLD_7e753de74ef54c5da4e5c10a41366274"/>
            <w:id w:val="2989"/>
          </w:sdtPr>
          <w:sdtEndPr>
            <w:rPr>
              <w:rFonts w:hint="eastAsia" w:ascii="Times New Roman" w:hAnsi="Times New Roman"/>
              <w:szCs w:val="21"/>
            </w:rPr>
          </w:sdtEndPr>
          <w:sdtContent>
            <w:tc>
              <w:tcPr>
                <w:tcW w:w="828" w:type="pct"/>
                <w:vAlign w:val="center"/>
              </w:tcPr>
              <w:p>
                <w:pPr>
                  <w:jc w:val="center"/>
                  <w:rPr>
                    <w:rFonts w:ascii="Times New Roman" w:hAnsi="Times New Roman"/>
                    <w:szCs w:val="21"/>
                  </w:rPr>
                </w:pPr>
                <w:r>
                  <w:rPr>
                    <w:rFonts w:hint="eastAsia" w:ascii="Times New Roman" w:hAnsi="Times New Roman"/>
                    <w:szCs w:val="21"/>
                  </w:rPr>
                  <w:t>合同资产期末余额</w:t>
                </w:r>
              </w:p>
            </w:tc>
          </w:sdtContent>
        </w:sdt>
        <w:sdt>
          <w:sdtPr>
            <w:rPr>
              <w:rFonts w:hint="eastAsia" w:ascii="Times New Roman" w:hAnsi="Times New Roman"/>
              <w:szCs w:val="21"/>
            </w:rPr>
            <w:tag w:val="_PLD_1589be2aa7134b3f9de4e223e83a7a61"/>
            <w:id w:val="2990"/>
          </w:sdtPr>
          <w:sdtEndPr>
            <w:rPr>
              <w:rFonts w:hint="eastAsia" w:ascii="Times New Roman" w:hAnsi="Times New Roman"/>
              <w:szCs w:val="21"/>
            </w:rPr>
          </w:sdtEndPr>
          <w:sdtContent>
            <w:tc>
              <w:tcPr>
                <w:tcW w:w="828" w:type="pct"/>
                <w:vAlign w:val="center"/>
              </w:tcPr>
              <w:p>
                <w:pPr>
                  <w:jc w:val="center"/>
                  <w:rPr>
                    <w:rFonts w:ascii="Times New Roman" w:hAnsi="Times New Roman"/>
                    <w:szCs w:val="21"/>
                  </w:rPr>
                </w:pPr>
                <w:r>
                  <w:rPr>
                    <w:rFonts w:hint="eastAsia" w:ascii="Times New Roman" w:hAnsi="Times New Roman"/>
                    <w:szCs w:val="21"/>
                  </w:rPr>
                  <w:t>应收账款和合同资产期末余额</w:t>
                </w:r>
              </w:p>
            </w:tc>
          </w:sdtContent>
        </w:sdt>
        <w:sdt>
          <w:sdtPr>
            <w:rPr>
              <w:rFonts w:hint="eastAsia" w:ascii="Times New Roman" w:hAnsi="Times New Roman"/>
              <w:szCs w:val="21"/>
            </w:rPr>
            <w:tag w:val="_PLD_e84ecb8c9e5146e8b4ede4a709c5ef5f"/>
            <w:id w:val="2991"/>
          </w:sdtPr>
          <w:sdtEndPr>
            <w:rPr>
              <w:rFonts w:hint="eastAsia" w:ascii="Times New Roman" w:hAnsi="Times New Roman"/>
              <w:szCs w:val="21"/>
            </w:rPr>
          </w:sdtEndPr>
          <w:sdtContent>
            <w:tc>
              <w:tcPr>
                <w:tcW w:w="828" w:type="pct"/>
                <w:vAlign w:val="center"/>
              </w:tcPr>
              <w:p>
                <w:pPr>
                  <w:jc w:val="center"/>
                  <w:rPr>
                    <w:rFonts w:ascii="Times New Roman" w:hAnsi="Times New Roman"/>
                    <w:szCs w:val="21"/>
                  </w:rPr>
                </w:pPr>
                <w:r>
                  <w:rPr>
                    <w:rFonts w:hint="eastAsia" w:ascii="Times New Roman" w:hAnsi="Times New Roman"/>
                    <w:szCs w:val="21"/>
                  </w:rPr>
                  <w:t>占应收账款和合同资产期末余额合计数的比例（%）</w:t>
                </w:r>
              </w:p>
            </w:tc>
          </w:sdtContent>
        </w:sdt>
        <w:sdt>
          <w:sdtPr>
            <w:rPr>
              <w:rFonts w:hint="eastAsia" w:ascii="Times New Roman" w:hAnsi="Times New Roman"/>
              <w:szCs w:val="21"/>
            </w:rPr>
            <w:tag w:val="_PLD_da58e99405a342aa95b8ffb814c33752"/>
            <w:id w:val="2992"/>
          </w:sdtPr>
          <w:sdtEndPr>
            <w:rPr>
              <w:rFonts w:hint="eastAsia" w:ascii="Times New Roman" w:hAnsi="Times New Roman"/>
              <w:szCs w:val="21"/>
            </w:rPr>
          </w:sdtEndPr>
          <w:sdtContent>
            <w:tc>
              <w:tcPr>
                <w:tcW w:w="828" w:type="pct"/>
                <w:vAlign w:val="center"/>
              </w:tcPr>
              <w:p>
                <w:pPr>
                  <w:jc w:val="center"/>
                  <w:rPr>
                    <w:rFonts w:ascii="Times New Roman" w:hAnsi="Times New Roman"/>
                    <w:szCs w:val="21"/>
                  </w:rPr>
                </w:pPr>
                <w:r>
                  <w:rPr>
                    <w:rFonts w:hint="eastAsia" w:ascii="Times New Roman" w:hAnsi="Times New Roman"/>
                    <w:szCs w:val="21"/>
                  </w:rPr>
                  <w:t>坏账准备期末余额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pct"/>
          </w:tcPr>
          <w:p>
            <w:pPr>
              <w:ind w:right="105"/>
              <w:rPr>
                <w:rFonts w:ascii="Times New Roman" w:hAnsi="Times New Roman"/>
                <w:szCs w:val="21"/>
              </w:rPr>
            </w:pPr>
            <w:r>
              <w:rPr>
                <w:rFonts w:ascii="Times New Roman" w:hAnsi="Times New Roman"/>
              </w:rPr>
              <w:t>第一名</w:t>
            </w:r>
          </w:p>
        </w:tc>
        <w:tc>
          <w:tcPr>
            <w:tcW w:w="855" w:type="pct"/>
          </w:tcPr>
          <w:p>
            <w:pPr>
              <w:ind w:right="73"/>
              <w:jc w:val="right"/>
              <w:rPr>
                <w:rFonts w:ascii="Times New Roman" w:hAnsi="Times New Roman"/>
                <w:szCs w:val="21"/>
              </w:rPr>
            </w:pPr>
            <w:r>
              <w:rPr>
                <w:rFonts w:ascii="Times New Roman" w:hAnsi="Times New Roman"/>
                <w:color w:val="auto"/>
              </w:rPr>
              <w:t> 21,692,026.93</w:t>
            </w:r>
          </w:p>
        </w:tc>
        <w:tc>
          <w:tcPr>
            <w:tcW w:w="828" w:type="pct"/>
          </w:tcPr>
          <w:p>
            <w:pPr>
              <w:jc w:val="right"/>
              <w:rPr>
                <w:rFonts w:hint="default" w:ascii="Times New Roman" w:hAnsi="Times New Roman" w:eastAsia="宋体"/>
                <w:szCs w:val="21"/>
                <w:lang w:val="en-US" w:eastAsia="zh-CN"/>
              </w:rPr>
            </w:pPr>
            <w:r>
              <w:rPr>
                <w:rFonts w:hint="eastAsia" w:ascii="Times New Roman" w:hAnsi="Times New Roman"/>
                <w:szCs w:val="21"/>
                <w:lang w:val="en-US" w:eastAsia="zh-CN"/>
              </w:rPr>
              <w:t>0.00</w:t>
            </w:r>
          </w:p>
        </w:tc>
        <w:tc>
          <w:tcPr>
            <w:tcW w:w="828" w:type="pct"/>
          </w:tcPr>
          <w:p>
            <w:pPr>
              <w:jc w:val="right"/>
              <w:rPr>
                <w:rFonts w:ascii="Times New Roman" w:hAnsi="Times New Roman"/>
                <w:szCs w:val="21"/>
              </w:rPr>
            </w:pPr>
            <w:r>
              <w:rPr>
                <w:rFonts w:ascii="Times New Roman" w:hAnsi="Times New Roman"/>
                <w:color w:val="auto"/>
              </w:rPr>
              <w:t> 21,692,026.93</w:t>
            </w:r>
          </w:p>
        </w:tc>
        <w:tc>
          <w:tcPr>
            <w:tcW w:w="828" w:type="pct"/>
          </w:tcPr>
          <w:p>
            <w:pPr>
              <w:jc w:val="right"/>
              <w:rPr>
                <w:rFonts w:ascii="Times New Roman" w:hAnsi="Times New Roman"/>
                <w:szCs w:val="21"/>
              </w:rPr>
            </w:pPr>
            <w:r>
              <w:rPr>
                <w:rFonts w:ascii="Times New Roman" w:hAnsi="Times New Roman"/>
                <w:color w:val="auto"/>
              </w:rPr>
              <w:t> 30.08</w:t>
            </w:r>
          </w:p>
        </w:tc>
        <w:tc>
          <w:tcPr>
            <w:tcW w:w="828" w:type="pct"/>
            <w:vAlign w:val="top"/>
          </w:tcPr>
          <w:p>
            <w:pPr>
              <w:jc w:val="right"/>
              <w:rPr>
                <w:rFonts w:hint="eastAsia" w:ascii="Times New Roman" w:hAnsi="Times New Roman" w:eastAsia="宋体" w:cs="宋体"/>
                <w:sz w:val="21"/>
                <w:szCs w:val="21"/>
                <w:lang w:val="en-US" w:eastAsia="zh-CN" w:bidi="ar-SA"/>
              </w:rPr>
            </w:pPr>
            <w:r>
              <w:rPr>
                <w:rFonts w:ascii="Times New Roman" w:hAnsi="Times New Roman"/>
                <w:color w:val="auto"/>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pct"/>
          </w:tcPr>
          <w:p>
            <w:pPr>
              <w:ind w:right="105"/>
              <w:rPr>
                <w:rFonts w:ascii="Times New Roman" w:hAnsi="Times New Roman"/>
                <w:szCs w:val="21"/>
              </w:rPr>
            </w:pPr>
            <w:r>
              <w:rPr>
                <w:rFonts w:ascii="Times New Roman" w:hAnsi="Times New Roman"/>
              </w:rPr>
              <w:t>第二名</w:t>
            </w:r>
          </w:p>
        </w:tc>
        <w:tc>
          <w:tcPr>
            <w:tcW w:w="855" w:type="pct"/>
          </w:tcPr>
          <w:p>
            <w:pPr>
              <w:ind w:right="73"/>
              <w:jc w:val="right"/>
              <w:rPr>
                <w:rFonts w:ascii="Times New Roman" w:hAnsi="Times New Roman"/>
                <w:szCs w:val="21"/>
              </w:rPr>
            </w:pPr>
            <w:r>
              <w:rPr>
                <w:rFonts w:ascii="Times New Roman" w:hAnsi="Times New Roman"/>
                <w:color w:val="auto"/>
              </w:rPr>
              <w:t> 15,609,244.47</w:t>
            </w:r>
          </w:p>
        </w:tc>
        <w:tc>
          <w:tcPr>
            <w:tcW w:w="828" w:type="pct"/>
          </w:tcPr>
          <w:p>
            <w:pPr>
              <w:jc w:val="right"/>
              <w:rPr>
                <w:rFonts w:ascii="Times New Roman" w:hAnsi="Times New Roman"/>
                <w:szCs w:val="21"/>
              </w:rPr>
            </w:pPr>
            <w:r>
              <w:rPr>
                <w:rFonts w:hint="eastAsia" w:ascii="Times New Roman" w:hAnsi="Times New Roman"/>
                <w:szCs w:val="21"/>
                <w:lang w:val="en-US" w:eastAsia="zh-CN"/>
              </w:rPr>
              <w:t>0.00</w:t>
            </w:r>
          </w:p>
        </w:tc>
        <w:tc>
          <w:tcPr>
            <w:tcW w:w="828" w:type="pct"/>
          </w:tcPr>
          <w:p>
            <w:pPr>
              <w:jc w:val="right"/>
              <w:rPr>
                <w:rFonts w:ascii="Times New Roman" w:hAnsi="Times New Roman"/>
                <w:szCs w:val="21"/>
              </w:rPr>
            </w:pPr>
            <w:r>
              <w:rPr>
                <w:rFonts w:ascii="Times New Roman" w:hAnsi="Times New Roman"/>
                <w:color w:val="auto"/>
              </w:rPr>
              <w:t> 15,609,244.47</w:t>
            </w:r>
          </w:p>
        </w:tc>
        <w:tc>
          <w:tcPr>
            <w:tcW w:w="828" w:type="pct"/>
          </w:tcPr>
          <w:p>
            <w:pPr>
              <w:jc w:val="right"/>
              <w:rPr>
                <w:rFonts w:ascii="Times New Roman" w:hAnsi="Times New Roman"/>
                <w:szCs w:val="21"/>
              </w:rPr>
            </w:pPr>
            <w:r>
              <w:rPr>
                <w:rFonts w:ascii="Times New Roman" w:hAnsi="Times New Roman"/>
                <w:color w:val="auto"/>
              </w:rPr>
              <w:t> 21.65</w:t>
            </w:r>
          </w:p>
        </w:tc>
        <w:tc>
          <w:tcPr>
            <w:tcW w:w="828" w:type="pct"/>
          </w:tcPr>
          <w:p>
            <w:pPr>
              <w:jc w:val="right"/>
              <w:rPr>
                <w:rFonts w:ascii="Times New Roman" w:hAnsi="Times New Roman"/>
                <w:szCs w:val="21"/>
              </w:rPr>
            </w:pPr>
            <w:r>
              <w:rPr>
                <w:rFonts w:ascii="Times New Roman" w:hAnsi="Times New Roman"/>
                <w:color w:val="auto"/>
              </w:rPr>
              <w:t> 15,609,244.47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pct"/>
          </w:tcPr>
          <w:p>
            <w:pPr>
              <w:ind w:right="105"/>
              <w:rPr>
                <w:rFonts w:ascii="Times New Roman" w:hAnsi="Times New Roman"/>
                <w:szCs w:val="21"/>
              </w:rPr>
            </w:pPr>
            <w:r>
              <w:rPr>
                <w:rFonts w:ascii="Times New Roman" w:hAnsi="Times New Roman"/>
              </w:rPr>
              <w:t>第三名</w:t>
            </w:r>
          </w:p>
        </w:tc>
        <w:tc>
          <w:tcPr>
            <w:tcW w:w="855" w:type="pct"/>
          </w:tcPr>
          <w:p>
            <w:pPr>
              <w:ind w:right="73"/>
              <w:jc w:val="right"/>
              <w:rPr>
                <w:rFonts w:ascii="Times New Roman" w:hAnsi="Times New Roman"/>
                <w:szCs w:val="21"/>
              </w:rPr>
            </w:pPr>
            <w:r>
              <w:rPr>
                <w:rFonts w:ascii="Times New Roman" w:hAnsi="Times New Roman"/>
                <w:color w:val="auto"/>
              </w:rPr>
              <w:t> 2,750,293.74</w:t>
            </w:r>
          </w:p>
        </w:tc>
        <w:tc>
          <w:tcPr>
            <w:tcW w:w="828" w:type="pct"/>
          </w:tcPr>
          <w:p>
            <w:pPr>
              <w:jc w:val="right"/>
              <w:rPr>
                <w:rFonts w:ascii="Times New Roman" w:hAnsi="Times New Roman"/>
                <w:szCs w:val="21"/>
              </w:rPr>
            </w:pPr>
            <w:r>
              <w:rPr>
                <w:rFonts w:hint="eastAsia" w:ascii="Times New Roman" w:hAnsi="Times New Roman"/>
                <w:szCs w:val="21"/>
                <w:lang w:val="en-US" w:eastAsia="zh-CN"/>
              </w:rPr>
              <w:t>0.00</w:t>
            </w:r>
          </w:p>
        </w:tc>
        <w:tc>
          <w:tcPr>
            <w:tcW w:w="828" w:type="pct"/>
          </w:tcPr>
          <w:p>
            <w:pPr>
              <w:jc w:val="right"/>
              <w:rPr>
                <w:rFonts w:ascii="Times New Roman" w:hAnsi="Times New Roman"/>
                <w:szCs w:val="21"/>
              </w:rPr>
            </w:pPr>
            <w:r>
              <w:rPr>
                <w:rFonts w:ascii="Times New Roman" w:hAnsi="Times New Roman"/>
                <w:color w:val="auto"/>
              </w:rPr>
              <w:t> 2,750,293.74</w:t>
            </w:r>
          </w:p>
        </w:tc>
        <w:tc>
          <w:tcPr>
            <w:tcW w:w="828" w:type="pct"/>
          </w:tcPr>
          <w:p>
            <w:pPr>
              <w:jc w:val="right"/>
              <w:rPr>
                <w:rFonts w:ascii="Times New Roman" w:hAnsi="Times New Roman"/>
                <w:szCs w:val="21"/>
              </w:rPr>
            </w:pPr>
            <w:r>
              <w:rPr>
                <w:rFonts w:ascii="Times New Roman" w:hAnsi="Times New Roman"/>
                <w:color w:val="auto"/>
              </w:rPr>
              <w:t> 3.81</w:t>
            </w:r>
          </w:p>
        </w:tc>
        <w:tc>
          <w:tcPr>
            <w:tcW w:w="828" w:type="pct"/>
          </w:tcPr>
          <w:p>
            <w:pPr>
              <w:jc w:val="right"/>
              <w:rPr>
                <w:rFonts w:ascii="Times New Roman" w:hAnsi="Times New Roman"/>
                <w:szCs w:val="21"/>
              </w:rPr>
            </w:pPr>
            <w:r>
              <w:rPr>
                <w:rFonts w:ascii="Times New Roman" w:hAnsi="Times New Roman"/>
                <w:color w:val="auto"/>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pct"/>
          </w:tcPr>
          <w:p>
            <w:pPr>
              <w:ind w:right="105"/>
              <w:rPr>
                <w:rFonts w:ascii="Times New Roman" w:hAnsi="Times New Roman"/>
                <w:szCs w:val="21"/>
              </w:rPr>
            </w:pPr>
            <w:r>
              <w:rPr>
                <w:rFonts w:ascii="Times New Roman" w:hAnsi="Times New Roman"/>
              </w:rPr>
              <w:t>第四名</w:t>
            </w:r>
          </w:p>
        </w:tc>
        <w:tc>
          <w:tcPr>
            <w:tcW w:w="855" w:type="pct"/>
          </w:tcPr>
          <w:p>
            <w:pPr>
              <w:ind w:right="73"/>
              <w:jc w:val="right"/>
              <w:rPr>
                <w:rFonts w:ascii="Times New Roman" w:hAnsi="Times New Roman"/>
                <w:szCs w:val="21"/>
              </w:rPr>
            </w:pPr>
            <w:r>
              <w:rPr>
                <w:rFonts w:ascii="Times New Roman" w:hAnsi="Times New Roman"/>
                <w:color w:val="auto"/>
              </w:rPr>
              <w:t> 2,570,560.84</w:t>
            </w:r>
          </w:p>
        </w:tc>
        <w:tc>
          <w:tcPr>
            <w:tcW w:w="828" w:type="pct"/>
          </w:tcPr>
          <w:p>
            <w:pPr>
              <w:jc w:val="right"/>
              <w:rPr>
                <w:rFonts w:ascii="Times New Roman" w:hAnsi="Times New Roman"/>
                <w:szCs w:val="21"/>
              </w:rPr>
            </w:pPr>
            <w:r>
              <w:rPr>
                <w:rFonts w:hint="eastAsia" w:ascii="Times New Roman" w:hAnsi="Times New Roman"/>
                <w:szCs w:val="21"/>
                <w:lang w:val="en-US" w:eastAsia="zh-CN"/>
              </w:rPr>
              <w:t>0.00</w:t>
            </w:r>
          </w:p>
        </w:tc>
        <w:tc>
          <w:tcPr>
            <w:tcW w:w="828" w:type="pct"/>
          </w:tcPr>
          <w:p>
            <w:pPr>
              <w:jc w:val="right"/>
              <w:rPr>
                <w:rFonts w:ascii="Times New Roman" w:hAnsi="Times New Roman"/>
                <w:szCs w:val="21"/>
              </w:rPr>
            </w:pPr>
            <w:r>
              <w:rPr>
                <w:rFonts w:ascii="Times New Roman" w:hAnsi="Times New Roman"/>
                <w:color w:val="auto"/>
              </w:rPr>
              <w:t> 2,570,560.84</w:t>
            </w:r>
          </w:p>
        </w:tc>
        <w:tc>
          <w:tcPr>
            <w:tcW w:w="828" w:type="pct"/>
          </w:tcPr>
          <w:p>
            <w:pPr>
              <w:jc w:val="right"/>
              <w:rPr>
                <w:rFonts w:ascii="Times New Roman" w:hAnsi="Times New Roman"/>
                <w:szCs w:val="21"/>
              </w:rPr>
            </w:pPr>
            <w:r>
              <w:rPr>
                <w:rFonts w:ascii="Times New Roman" w:hAnsi="Times New Roman"/>
                <w:color w:val="auto"/>
              </w:rPr>
              <w:t> 3.56</w:t>
            </w:r>
          </w:p>
        </w:tc>
        <w:tc>
          <w:tcPr>
            <w:tcW w:w="828" w:type="pct"/>
          </w:tcPr>
          <w:p>
            <w:pPr>
              <w:jc w:val="right"/>
              <w:rPr>
                <w:rFonts w:ascii="Times New Roman" w:hAnsi="Times New Roman"/>
                <w:szCs w:val="21"/>
              </w:rPr>
            </w:pPr>
            <w:r>
              <w:rPr>
                <w:rFonts w:ascii="Times New Roman" w:hAnsi="Times New Roman"/>
                <w:color w:val="auto"/>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28" w:type="pct"/>
          </w:tcPr>
          <w:p>
            <w:pPr>
              <w:ind w:right="105"/>
              <w:rPr>
                <w:rFonts w:ascii="Times New Roman" w:hAnsi="Times New Roman"/>
                <w:szCs w:val="21"/>
              </w:rPr>
            </w:pPr>
            <w:r>
              <w:rPr>
                <w:rFonts w:ascii="Times New Roman" w:hAnsi="Times New Roman"/>
              </w:rPr>
              <w:t>第五名</w:t>
            </w:r>
          </w:p>
        </w:tc>
        <w:tc>
          <w:tcPr>
            <w:tcW w:w="855" w:type="pct"/>
          </w:tcPr>
          <w:p>
            <w:pPr>
              <w:ind w:right="73"/>
              <w:jc w:val="right"/>
              <w:rPr>
                <w:rFonts w:ascii="Times New Roman" w:hAnsi="Times New Roman"/>
                <w:szCs w:val="21"/>
              </w:rPr>
            </w:pPr>
            <w:r>
              <w:rPr>
                <w:rFonts w:ascii="Times New Roman" w:hAnsi="Times New Roman"/>
                <w:color w:val="auto"/>
              </w:rPr>
              <w:t> 2,079,197.55</w:t>
            </w:r>
          </w:p>
        </w:tc>
        <w:tc>
          <w:tcPr>
            <w:tcW w:w="828" w:type="pct"/>
          </w:tcPr>
          <w:p>
            <w:pPr>
              <w:jc w:val="right"/>
              <w:rPr>
                <w:rFonts w:ascii="Times New Roman" w:hAnsi="Times New Roman"/>
                <w:szCs w:val="21"/>
              </w:rPr>
            </w:pPr>
            <w:r>
              <w:rPr>
                <w:rFonts w:hint="eastAsia" w:ascii="Times New Roman" w:hAnsi="Times New Roman"/>
                <w:szCs w:val="21"/>
                <w:lang w:val="en-US" w:eastAsia="zh-CN"/>
              </w:rPr>
              <w:t>0.00</w:t>
            </w:r>
          </w:p>
        </w:tc>
        <w:tc>
          <w:tcPr>
            <w:tcW w:w="828" w:type="pct"/>
          </w:tcPr>
          <w:p>
            <w:pPr>
              <w:jc w:val="right"/>
              <w:rPr>
                <w:rFonts w:ascii="Times New Roman" w:hAnsi="Times New Roman"/>
                <w:szCs w:val="21"/>
              </w:rPr>
            </w:pPr>
            <w:r>
              <w:rPr>
                <w:rFonts w:ascii="Times New Roman" w:hAnsi="Times New Roman"/>
                <w:color w:val="auto"/>
              </w:rPr>
              <w:t> 2,079,197.55</w:t>
            </w:r>
          </w:p>
        </w:tc>
        <w:tc>
          <w:tcPr>
            <w:tcW w:w="828" w:type="pct"/>
          </w:tcPr>
          <w:p>
            <w:pPr>
              <w:jc w:val="right"/>
              <w:rPr>
                <w:rFonts w:ascii="Times New Roman" w:hAnsi="Times New Roman"/>
                <w:szCs w:val="21"/>
              </w:rPr>
            </w:pPr>
            <w:r>
              <w:rPr>
                <w:rFonts w:ascii="Times New Roman" w:hAnsi="Times New Roman"/>
                <w:color w:val="auto"/>
              </w:rPr>
              <w:t> 2.88</w:t>
            </w:r>
          </w:p>
        </w:tc>
        <w:tc>
          <w:tcPr>
            <w:tcW w:w="828" w:type="pct"/>
          </w:tcPr>
          <w:p>
            <w:pPr>
              <w:jc w:val="right"/>
              <w:rPr>
                <w:rFonts w:ascii="Times New Roman" w:hAnsi="Times New Roman"/>
                <w:szCs w:val="21"/>
              </w:rPr>
            </w:pPr>
            <w:r>
              <w:rPr>
                <w:rFonts w:ascii="Times New Roman" w:hAnsi="Times New Roman"/>
                <w:color w:val="auto"/>
              </w:rPr>
              <w:t> 2,079,197.55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pct"/>
          </w:tcPr>
          <w:p>
            <w:pPr>
              <w:ind w:right="105"/>
              <w:jc w:val="center"/>
              <w:rPr>
                <w:rFonts w:ascii="Times New Roman" w:hAnsi="Times New Roman"/>
                <w:szCs w:val="21"/>
              </w:rPr>
            </w:pPr>
            <w:r>
              <w:rPr>
                <w:rFonts w:hint="eastAsia" w:ascii="Times New Roman" w:hAnsi="Times New Roman"/>
                <w:szCs w:val="21"/>
              </w:rPr>
              <w:t>合计</w:t>
            </w:r>
          </w:p>
        </w:tc>
        <w:tc>
          <w:tcPr>
            <w:tcW w:w="855" w:type="pct"/>
          </w:tcPr>
          <w:p>
            <w:pPr>
              <w:ind w:right="73"/>
              <w:jc w:val="right"/>
              <w:rPr>
                <w:rFonts w:ascii="Times New Roman" w:hAnsi="Times New Roman"/>
                <w:szCs w:val="21"/>
              </w:rPr>
            </w:pPr>
            <w:r>
              <w:rPr>
                <w:rFonts w:ascii="Times New Roman" w:hAnsi="Times New Roman"/>
                <w:color w:val="auto"/>
              </w:rPr>
              <w:t> 44,701,323.53</w:t>
            </w:r>
          </w:p>
        </w:tc>
        <w:tc>
          <w:tcPr>
            <w:tcW w:w="828" w:type="pct"/>
          </w:tcPr>
          <w:p>
            <w:pPr>
              <w:jc w:val="right"/>
              <w:rPr>
                <w:rFonts w:ascii="Times New Roman" w:hAnsi="Times New Roman"/>
                <w:szCs w:val="21"/>
              </w:rPr>
            </w:pPr>
            <w:r>
              <w:rPr>
                <w:rFonts w:hint="eastAsia" w:ascii="Times New Roman" w:hAnsi="Times New Roman"/>
                <w:szCs w:val="21"/>
                <w:lang w:val="en-US" w:eastAsia="zh-CN"/>
              </w:rPr>
              <w:t>0.00</w:t>
            </w:r>
          </w:p>
        </w:tc>
        <w:tc>
          <w:tcPr>
            <w:tcW w:w="828" w:type="pct"/>
          </w:tcPr>
          <w:p>
            <w:pPr>
              <w:jc w:val="right"/>
              <w:rPr>
                <w:rFonts w:ascii="Times New Roman" w:hAnsi="Times New Roman"/>
                <w:szCs w:val="21"/>
              </w:rPr>
            </w:pPr>
            <w:r>
              <w:rPr>
                <w:rFonts w:ascii="Times New Roman" w:hAnsi="Times New Roman"/>
                <w:color w:val="auto"/>
              </w:rPr>
              <w:t> 44,701,323.53</w:t>
            </w:r>
          </w:p>
        </w:tc>
        <w:tc>
          <w:tcPr>
            <w:tcW w:w="828" w:type="pct"/>
          </w:tcPr>
          <w:p>
            <w:pPr>
              <w:jc w:val="right"/>
              <w:rPr>
                <w:rFonts w:ascii="Times New Roman" w:hAnsi="Times New Roman"/>
                <w:szCs w:val="21"/>
              </w:rPr>
            </w:pPr>
            <w:r>
              <w:rPr>
                <w:rFonts w:ascii="Times New Roman" w:hAnsi="Times New Roman"/>
                <w:color w:val="auto"/>
              </w:rPr>
              <w:t> 61.98</w:t>
            </w:r>
          </w:p>
        </w:tc>
        <w:tc>
          <w:tcPr>
            <w:tcW w:w="828" w:type="pct"/>
          </w:tcPr>
          <w:p>
            <w:pPr>
              <w:jc w:val="right"/>
              <w:rPr>
                <w:rFonts w:ascii="Times New Roman" w:hAnsi="Times New Roman"/>
                <w:szCs w:val="21"/>
              </w:rPr>
            </w:pPr>
            <w:r>
              <w:rPr>
                <w:rFonts w:ascii="Times New Roman" w:hAnsi="Times New Roman"/>
                <w:color w:val="auto"/>
              </w:rPr>
              <w:t> 17,688,442.02</w:t>
            </w:r>
          </w:p>
        </w:tc>
      </w:tr>
    </w:tbl>
    <w:p/>
    <w:p>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28113"/>
        <w:placeholder>
          <w:docPart w:val="GBC22222222222222222222222222222"/>
        </w:placeholder>
      </w:sdtPr>
      <w:sdtEndPr>
        <w:rPr>
          <w:szCs w:val="21"/>
        </w:rPr>
      </w:sdtEndPr>
      <w:sdtContent>
        <w:p>
          <w:pPr>
            <w:snapToGrid w:val="0"/>
            <w:spacing w:line="240" w:lineRule="atLeast"/>
            <w:rPr>
              <w:szCs w:val="21"/>
            </w:rPr>
          </w:pPr>
          <w:r>
            <w:rPr>
              <w:rFonts w:hint="eastAsia"/>
              <w:szCs w:val="21"/>
              <w:lang w:val="en-US" w:eastAsia="zh-CN"/>
            </w:rPr>
            <w:t>无</w:t>
          </w:r>
        </w:p>
      </w:sdtContent>
    </w:sdt>
    <w:p>
      <w:pPr>
        <w:snapToGrid w:val="0"/>
        <w:spacing w:line="240" w:lineRule="atLeast"/>
        <w:rPr>
          <w:rFonts w:ascii="Times New Roman" w:hAnsi="Times New Roman"/>
        </w:rPr>
      </w:pPr>
    </w:p>
    <w:bookmarkEnd w:id="329"/>
    <w:bookmarkEnd w:id="330"/>
    <w:p>
      <w:r>
        <w:rPr>
          <w:rFonts w:hint="eastAsia"/>
        </w:rPr>
        <w:t>其他</w:t>
      </w:r>
      <w:r>
        <w:t>说明：</w:t>
      </w:r>
    </w:p>
    <w:sdt>
      <w:sdtPr>
        <w:alias w:val="是否适用：母公司应收账款其他说明[双击切换]"/>
        <w:tag w:val="_GBC_4765684a53b9474f898fa6c2bd313427"/>
        <w:id w:val="28114"/>
        <w:placeholder>
          <w:docPart w:val="GBC22222222222222222222222222222"/>
        </w:placeholder>
      </w:sdtPr>
      <w:sdtContent>
        <w:p>
          <w:pPr>
            <w:snapToGrid w:val="0"/>
            <w:spacing w:line="240" w:lineRule="atLeast"/>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snapToGrid w:val="0"/>
            <w:spacing w:line="240" w:lineRule="atLeast"/>
            <w:outlineLvl w:val="9"/>
          </w:pPr>
        </w:p>
      </w:sdtContent>
    </w:sdt>
    <w:p>
      <w:pPr>
        <w:pStyle w:val="4"/>
        <w:numPr>
          <w:ilvl w:val="0"/>
          <w:numId w:val="132"/>
        </w:numPr>
        <w:rPr>
          <w:rFonts w:ascii="宋体" w:hAnsi="宋体"/>
          <w:szCs w:val="21"/>
        </w:rPr>
      </w:pPr>
      <w:r>
        <w:rPr>
          <w:rFonts w:hint="eastAsia" w:ascii="宋体" w:hAnsi="宋体"/>
          <w:szCs w:val="21"/>
        </w:rPr>
        <w:t>其他应收款</w:t>
      </w:r>
    </w:p>
    <w:p>
      <w:pPr>
        <w:pStyle w:val="5"/>
      </w:pPr>
      <w:bookmarkStart w:id="331" w:name="_Hlk153789873"/>
      <w:bookmarkStart w:id="332" w:name="_Hlk533796954"/>
      <w:r>
        <w:rPr>
          <w:rFonts w:hint="eastAsia"/>
        </w:rPr>
        <w:t>项目列示</w:t>
      </w:r>
    </w:p>
    <w:sdt>
      <w:sdtPr>
        <w:alias w:val="是否适用：母公司其他应收款分类列示[双击切换]"/>
        <w:tag w:val="_GBC_eca97260629e4985b01404cfe0f9630b"/>
        <w:id w:val="28115"/>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其他应收款分类列示"/>
          <w:tag w:val="_GBC_3e648241a63447daac5dd00971efb146"/>
          <w:id w:val="281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281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3fbe550dc0704e7ebed42463d474129d"/>
            <w:id w:val="28118"/>
          </w:sdtPr>
          <w:sdtEndPr>
            <w:rPr>
              <w:rFonts w:hint="default" w:ascii="Times New Roman" w:hAnsi="Times New Roman" w:cs="Times New Roman"/>
            </w:rPr>
          </w:sdtEndPr>
          <w:sdtContent>
            <w:tc>
              <w:tcPr>
                <w:tcW w:w="176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项目</w:t>
                </w:r>
              </w:p>
            </w:tc>
          </w:sdtContent>
        </w:sdt>
        <w:sdt>
          <w:sdtPr>
            <w:rPr>
              <w:rFonts w:hint="default" w:ascii="Times New Roman" w:hAnsi="Times New Roman" w:cs="Times New Roman"/>
            </w:rPr>
            <w:tag w:val="_PLD_5161bba6c7a3460784316b0695f47487"/>
            <w:id w:val="28119"/>
          </w:sdtPr>
          <w:sdtEndPr>
            <w:rPr>
              <w:rFonts w:hint="default" w:ascii="Times New Roman" w:hAnsi="Times New Roman" w:cs="Times New Roman"/>
            </w:rPr>
          </w:sdtEndPr>
          <w:sdtContent>
            <w:tc>
              <w:tcPr>
                <w:tcW w:w="162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sdt>
          <w:sdtPr>
            <w:rPr>
              <w:rFonts w:hint="default" w:ascii="Times New Roman" w:hAnsi="Times New Roman" w:cs="Times New Roman"/>
            </w:rPr>
            <w:tag w:val="_PLD_54007dfc9bc24ec0b86bc4694efe4938"/>
            <w:id w:val="28120"/>
          </w:sdtPr>
          <w:sdtEndPr>
            <w:rPr>
              <w:rFonts w:hint="default" w:ascii="Times New Roman" w:hAnsi="Times New Roman" w:cs="Times New Roman"/>
            </w:rPr>
          </w:sdtEndPr>
          <w:sdtContent>
            <w:tc>
              <w:tcPr>
                <w:tcW w:w="161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default" w:ascii="Times New Roman" w:hAnsi="Times New Roman" w:cs="Times New Roman"/>
                <w:szCs w:val="21"/>
              </w:rPr>
            </w:pPr>
            <w:r>
              <w:rPr>
                <w:rFonts w:hint="default" w:ascii="Times New Roman" w:hAnsi="Times New Roman" w:cs="Times New Roman"/>
                <w:szCs w:val="21"/>
              </w:rPr>
              <w:t>应收利息</w:t>
            </w:r>
          </w:p>
        </w:tc>
        <w:tc>
          <w:tcPr>
            <w:tcW w:w="1622" w:type="pct"/>
          </w:tcPr>
          <w:p>
            <w:pPr>
              <w:ind w:right="5"/>
              <w:jc w:val="right"/>
              <w:rPr>
                <w:rFonts w:hint="default" w:ascii="Times New Roman" w:hAnsi="Times New Roman" w:cs="Times New Roman"/>
                <w:szCs w:val="21"/>
              </w:rPr>
            </w:pPr>
          </w:p>
        </w:tc>
        <w:tc>
          <w:tcPr>
            <w:tcW w:w="1614" w:type="pct"/>
          </w:tcPr>
          <w:p>
            <w:pPr>
              <w:ind w:right="5"/>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default" w:ascii="Times New Roman" w:hAnsi="Times New Roman" w:cs="Times New Roman"/>
                <w:szCs w:val="21"/>
              </w:rPr>
            </w:pPr>
            <w:r>
              <w:rPr>
                <w:rFonts w:hint="default" w:ascii="Times New Roman" w:hAnsi="Times New Roman" w:cs="Times New Roman"/>
                <w:szCs w:val="21"/>
              </w:rPr>
              <w:t>应收股利</w:t>
            </w:r>
          </w:p>
        </w:tc>
        <w:tc>
          <w:tcPr>
            <w:tcW w:w="1622" w:type="pct"/>
          </w:tcPr>
          <w:p>
            <w:pPr>
              <w:ind w:right="5"/>
              <w:jc w:val="right"/>
              <w:rPr>
                <w:rFonts w:hint="default" w:ascii="Times New Roman" w:hAnsi="Times New Roman" w:cs="Times New Roman"/>
                <w:szCs w:val="21"/>
              </w:rPr>
            </w:pPr>
          </w:p>
        </w:tc>
        <w:tc>
          <w:tcPr>
            <w:tcW w:w="1614" w:type="pct"/>
          </w:tcPr>
          <w:p>
            <w:pPr>
              <w:ind w:right="5"/>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rPr>
                <w:rFonts w:hint="default" w:ascii="Times New Roman" w:hAnsi="Times New Roman" w:cs="Times New Roman"/>
                <w:szCs w:val="21"/>
              </w:rPr>
            </w:pPr>
            <w:r>
              <w:rPr>
                <w:rFonts w:hint="default" w:ascii="Times New Roman" w:hAnsi="Times New Roman" w:cs="Times New Roman"/>
                <w:szCs w:val="21"/>
              </w:rPr>
              <w:t>其他应收款</w:t>
            </w:r>
          </w:p>
        </w:tc>
        <w:tc>
          <w:tcPr>
            <w:tcW w:w="1622" w:type="pct"/>
          </w:tcPr>
          <w:p>
            <w:pPr>
              <w:ind w:right="5"/>
              <w:jc w:val="right"/>
              <w:rPr>
                <w:rFonts w:hint="default" w:ascii="Times New Roman" w:hAnsi="Times New Roman" w:cs="Times New Roman"/>
                <w:szCs w:val="21"/>
              </w:rPr>
            </w:pPr>
            <w:r>
              <w:rPr>
                <w:rFonts w:hint="default" w:ascii="Times New Roman" w:hAnsi="Times New Roman" w:cs="Times New Roman"/>
              </w:rPr>
              <w:t>84,541,821.28</w:t>
            </w:r>
          </w:p>
        </w:tc>
        <w:tc>
          <w:tcPr>
            <w:tcW w:w="1614" w:type="pct"/>
          </w:tcPr>
          <w:p>
            <w:pPr>
              <w:ind w:right="5"/>
              <w:jc w:val="right"/>
              <w:rPr>
                <w:rFonts w:hint="default" w:ascii="Times New Roman" w:hAnsi="Times New Roman" w:cs="Times New Roman"/>
                <w:szCs w:val="21"/>
              </w:rPr>
            </w:pPr>
            <w:r>
              <w:rPr>
                <w:rFonts w:hint="default" w:ascii="Times New Roman" w:hAnsi="Times New Roman" w:cs="Times New Roman"/>
              </w:rPr>
              <w:t>84,990,928.21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autoSpaceDE w:val="0"/>
              <w:autoSpaceDN w:val="0"/>
              <w:adjustRightInd w:val="0"/>
              <w:rPr>
                <w:rFonts w:hint="default" w:ascii="Times New Roman" w:hAnsi="Times New Roman" w:cs="Times New Roman"/>
                <w:szCs w:val="21"/>
              </w:rPr>
            </w:pPr>
            <w:r>
              <w:rPr>
                <w:rFonts w:hint="default" w:ascii="Times New Roman" w:hAnsi="Times New Roman" w:cs="Times New Roman"/>
                <w:szCs w:val="21"/>
              </w:rPr>
              <w:t>合计</w:t>
            </w:r>
          </w:p>
        </w:tc>
        <w:tc>
          <w:tcPr>
            <w:tcW w:w="1622" w:type="pct"/>
          </w:tcPr>
          <w:p>
            <w:pPr>
              <w:jc w:val="right"/>
              <w:rPr>
                <w:rFonts w:hint="default" w:ascii="Times New Roman" w:hAnsi="Times New Roman" w:cs="Times New Roman"/>
                <w:szCs w:val="21"/>
              </w:rPr>
            </w:pPr>
            <w:r>
              <w:rPr>
                <w:rFonts w:hint="default" w:ascii="Times New Roman" w:hAnsi="Times New Roman" w:cs="Times New Roman"/>
              </w:rPr>
              <w:t>84,541,821.28</w:t>
            </w:r>
          </w:p>
        </w:tc>
        <w:tc>
          <w:tcPr>
            <w:tcW w:w="1614" w:type="pct"/>
          </w:tcPr>
          <w:p>
            <w:pPr>
              <w:jc w:val="right"/>
              <w:rPr>
                <w:rFonts w:hint="default" w:ascii="Times New Roman" w:hAnsi="Times New Roman" w:cs="Times New Roman"/>
                <w:szCs w:val="21"/>
              </w:rPr>
            </w:pPr>
            <w:r>
              <w:rPr>
                <w:rFonts w:hint="default" w:ascii="Times New Roman" w:hAnsi="Times New Roman" w:cs="Times New Roman"/>
              </w:rPr>
              <w:t>84,990,928.21</w:t>
            </w:r>
          </w:p>
        </w:tc>
      </w:tr>
    </w:tbl>
    <w:p/>
    <w:bookmarkEnd w:id="331"/>
    <w:bookmarkEnd w:id="332"/>
    <w:p>
      <w:pPr>
        <w:rPr>
          <w:szCs w:val="21"/>
        </w:rPr>
      </w:pPr>
      <w:bookmarkStart w:id="333" w:name="_Hlk533797002"/>
      <w:r>
        <w:rPr>
          <w:rFonts w:hint="eastAsia"/>
          <w:szCs w:val="21"/>
        </w:rPr>
        <w:t>其他说明：</w:t>
      </w:r>
    </w:p>
    <w:sdt>
      <w:sdtPr>
        <w:rPr>
          <w:szCs w:val="21"/>
        </w:rPr>
        <w:alias w:val="是否适用：母公司其他应收款分类列示其他说明[双击切换]"/>
        <w:tag w:val="_GBC_17d0b67d20cb486dbc08e07c11e1224a"/>
        <w:id w:val="28121"/>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333"/>
    <w:p/>
    <w:p>
      <w:pPr>
        <w:pStyle w:val="5"/>
        <w:ind w:left="360" w:hanging="360"/>
      </w:pPr>
      <w:r>
        <w:rPr>
          <w:rFonts w:hint="eastAsia"/>
        </w:rPr>
        <w:t>应收利息</w:t>
      </w:r>
    </w:p>
    <w:p>
      <w:pPr>
        <w:pStyle w:val="6"/>
        <w:numPr>
          <w:ilvl w:val="0"/>
          <w:numId w:val="134"/>
        </w:numPr>
        <w:ind w:leftChars="0"/>
      </w:pPr>
      <w:bookmarkStart w:id="334" w:name="_Hlk533797042"/>
      <w:r>
        <w:rPr>
          <w:rFonts w:hint="eastAsia"/>
        </w:rPr>
        <w:t>应收利息分类</w:t>
      </w:r>
    </w:p>
    <w:sdt>
      <w:sdtPr>
        <w:alias w:val="是否适用：母公司应收利息分类[双击切换]"/>
        <w:tag w:val="_GBC_5e0cba78d09b4764ada25ce89de1c4fd"/>
        <w:id w:val="2812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bookmarkEnd w:id="334"/>
    <w:p>
      <w:pPr>
        <w:pStyle w:val="6"/>
        <w:numPr>
          <w:ilvl w:val="0"/>
          <w:numId w:val="134"/>
        </w:numPr>
        <w:ind w:leftChars="0"/>
        <w:rPr>
          <w:rFonts w:cs="宋体" w:asciiTheme="minorHAnsi" w:hAnsiTheme="minorHAnsi"/>
          <w:kern w:val="0"/>
          <w:szCs w:val="22"/>
        </w:rPr>
      </w:pPr>
      <w:bookmarkStart w:id="335" w:name="_Hlk533797114"/>
      <w:r>
        <w:rPr>
          <w:rFonts w:hint="eastAsia" w:cs="宋体" w:asciiTheme="minorHAnsi" w:hAnsiTheme="minorHAnsi"/>
          <w:kern w:val="0"/>
          <w:szCs w:val="22"/>
        </w:rPr>
        <w:t>重要逾期利息</w:t>
      </w:r>
    </w:p>
    <w:sdt>
      <w:sdtPr>
        <w:alias w:val="是否适用：母公司重要逾期利息[双击切换]"/>
        <w:tag w:val="_GBC_2d954f5af6a64a34941652eeb166dce8"/>
        <w:id w:val="28123"/>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pStyle w:val="6"/>
        <w:numPr>
          <w:ilvl w:val="0"/>
          <w:numId w:val="134"/>
        </w:numPr>
        <w:ind w:leftChars="0"/>
        <w:rPr>
          <w:rFonts w:cs="宋体" w:asciiTheme="minorHAnsi" w:hAnsiTheme="minorHAnsi"/>
          <w:kern w:val="0"/>
          <w:szCs w:val="22"/>
        </w:rPr>
      </w:pPr>
      <w:bookmarkStart w:id="336" w:name="_Hlk154149455"/>
      <w:bookmarkStart w:id="337" w:name="_Hlk153789950"/>
      <w:r>
        <w:rPr>
          <w:rFonts w:hint="eastAsia" w:cs="宋体" w:asciiTheme="minorHAnsi" w:hAnsiTheme="minorHAnsi"/>
          <w:kern w:val="0"/>
          <w:szCs w:val="22"/>
        </w:rPr>
        <w:t>按</w:t>
      </w:r>
      <w:r>
        <w:rPr>
          <w:rFonts w:cs="宋体" w:asciiTheme="minorHAnsi" w:hAnsiTheme="minorHAnsi"/>
          <w:kern w:val="0"/>
          <w:szCs w:val="22"/>
        </w:rPr>
        <w:t>坏账计提方法分类披露</w:t>
      </w:r>
    </w:p>
    <w:sdt>
      <w:sdtPr>
        <w:alias w:val="是否适用：按坏账计提方法分类披露[双击切换]"/>
        <w:tag w:val="_GBC_fe4d472a766545fe91e93448a26e5403"/>
        <w:id w:val="2812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hint="eastAsia"/>
        </w:rPr>
      </w:pPr>
      <w:r>
        <w:rPr>
          <w:rFonts w:hint="eastAsia"/>
        </w:rPr>
        <w:t>按单项计提坏账准备：</w:t>
      </w:r>
    </w:p>
    <w:p>
      <w:pPr>
        <w:rPr>
          <w:rFonts w:hint="eastAsia"/>
        </w:rPr>
      </w:pPr>
    </w:p>
    <w:sdt>
      <w:sdtPr>
        <w:alias w:val="是否适用：母公司按单项计提坏账准备的详细情况[双击切换]"/>
        <w:tag w:val="_GBC_d06b9654dbc04fa7af49f1a5ad28f657"/>
        <w:id w:val="28125"/>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2812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rPr>
              <w:szCs w:val="21"/>
            </w:rPr>
          </w:pPr>
        </w:p>
      </w:sdtContent>
    </w:sdt>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28127"/>
        <w:placeholder>
          <w:docPart w:val="GBC22222222222222222222222222222"/>
        </w:placeholder>
      </w:sdtPr>
      <w:sdtEndPr>
        <w:rPr>
          <w:rFonts w:ascii="Calibri" w:hAnsi="Calibri" w:cs="Times New Roman"/>
          <w:bCs/>
          <w:szCs w:val="22"/>
        </w:rPr>
      </w:sdtEndPr>
      <w:sdtContent>
        <w:p>
          <w:pPr>
            <w:outlineLvl w:val="9"/>
            <w:rPr>
              <w:szCs w:val="21"/>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sdtContent>
    </w:sdt>
    <w:p>
      <w:pPr>
        <w:rPr>
          <w:rFonts w:ascii="Calibri" w:hAnsi="Calibri" w:cs="Times New Roman"/>
          <w:b/>
          <w:bCs/>
          <w:szCs w:val="22"/>
        </w:rPr>
      </w:pPr>
    </w:p>
    <w:bookmarkEnd w:id="335"/>
    <w:bookmarkEnd w:id="336"/>
    <w:bookmarkEnd w:id="337"/>
    <w:p>
      <w:pPr>
        <w:pStyle w:val="6"/>
        <w:numPr>
          <w:ilvl w:val="0"/>
          <w:numId w:val="134"/>
        </w:numPr>
        <w:ind w:leftChars="0"/>
        <w:rPr>
          <w:rFonts w:cs="宋体" w:asciiTheme="minorHAnsi" w:hAnsiTheme="minorHAnsi"/>
          <w:kern w:val="0"/>
          <w:szCs w:val="22"/>
        </w:rPr>
      </w:pPr>
      <w:bookmarkStart w:id="338" w:name="_Hlk533868784"/>
      <w:r>
        <w:rPr>
          <w:rFonts w:hint="eastAsia" w:cs="宋体" w:asciiTheme="minorHAnsi" w:hAnsiTheme="minorHAnsi"/>
          <w:kern w:val="0"/>
          <w:szCs w:val="22"/>
        </w:rPr>
        <w:t>按</w:t>
      </w:r>
      <w:r>
        <w:rPr>
          <w:rFonts w:hint="eastAsia"/>
          <w:szCs w:val="22"/>
        </w:rPr>
        <w:t>预期信用损失一般模型计提坏账准备</w:t>
      </w:r>
    </w:p>
    <w:sdt>
      <w:sdtPr>
        <w:rPr>
          <w:szCs w:val="21"/>
        </w:rPr>
        <w:alias w:val="是否适用：母公司应收利息坏账准备调节表[双击切换]"/>
        <w:tag w:val="_GBC_f31c9323c5434941917fd7e42ea1fd1b"/>
        <w:id w:val="28128"/>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b77aa29618704a4d96dead6a87509661"/>
        <w:id w:val="28129"/>
        <w:placeholder>
          <w:docPart w:val="GBC22222222222222222222222222222"/>
        </w:placeholder>
      </w:sdtPr>
      <w:sdtEndPr>
        <w:rPr>
          <w:rFonts w:cs="Times New Roman"/>
          <w:bCs/>
          <w:szCs w:val="22"/>
        </w:rPr>
      </w:sdtEndPr>
      <w:sdtContent>
        <w:p>
          <w:pPr>
            <w:rPr>
              <w:rFonts w:cs="Times New Roman"/>
              <w:bCs/>
              <w:szCs w:val="22"/>
            </w:rPr>
          </w:pPr>
          <w:r>
            <w:rPr>
              <w:rFonts w:hint="eastAsia" w:cs="Times New Roman"/>
              <w:bCs/>
              <w:szCs w:val="22"/>
              <w:lang w:eastAsia="zh-CN"/>
            </w:rPr>
            <w:t>无</w:t>
          </w:r>
        </w:p>
      </w:sdtContent>
    </w:sdt>
    <w:p>
      <w:pPr>
        <w:rPr>
          <w:rFonts w:cs="Times New Roman"/>
          <w:bCs/>
          <w:szCs w:val="22"/>
        </w:rPr>
      </w:pPr>
    </w:p>
    <w:p>
      <w:pPr>
        <w:pStyle w:val="87"/>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28130"/>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338"/>
    <w:p>
      <w:pPr>
        <w:pStyle w:val="6"/>
        <w:numPr>
          <w:ilvl w:val="0"/>
          <w:numId w:val="134"/>
        </w:numPr>
        <w:ind w:leftChars="0"/>
        <w:rPr>
          <w:rFonts w:cs="宋体" w:asciiTheme="minorHAnsi" w:hAnsiTheme="minorHAnsi"/>
          <w:kern w:val="0"/>
          <w:szCs w:val="22"/>
        </w:rPr>
      </w:pPr>
      <w:bookmarkStart w:id="339" w:name="_Hlk533797211"/>
      <w:bookmarkEnd w:id="339"/>
      <w:bookmarkStart w:id="340" w:name="_Hlk154149866"/>
      <w:bookmarkStart w:id="341" w:name="_Hlk153790581"/>
      <w:r>
        <w:rPr>
          <w:rFonts w:hint="eastAsia" w:cs="宋体" w:asciiTheme="minorHAnsi" w:hAnsiTheme="minorHAnsi"/>
          <w:kern w:val="0"/>
          <w:szCs w:val="22"/>
        </w:rPr>
        <w:t>坏账准备的情况</w:t>
      </w:r>
    </w:p>
    <w:sdt>
      <w:sdtPr>
        <w:alias w:val="是否适用：母公司坏账准备情况[双击切换]"/>
        <w:tag w:val="_GBC_44a257b47fa748eca2cab9dd0877e841"/>
        <w:id w:val="28131"/>
        <w:placeholder>
          <w:docPart w:val="GBC22222222222222222222222222222"/>
        </w:placeholder>
      </w:sdtPr>
      <w:sdtContent>
        <w:p>
          <w:pPr>
            <w:pStyle w:val="87"/>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r>
        <w:rPr>
          <w:rFonts w:hint="eastAsia"/>
        </w:rPr>
        <w:t>其中本期坏账准备收回或转回金额重要的：</w:t>
      </w:r>
    </w:p>
    <w:sdt>
      <w:sdtPr>
        <w:alias w:val="是否适用：本期坏账准备收回或转回金额重要的[双击切换]"/>
        <w:tag w:val="_GBC_dda1c249e9da4520abee515b8b42f5f4"/>
        <w:id w:val="2813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r>
        <w:rPr>
          <w:rFonts w:hint="eastAsia"/>
        </w:rPr>
        <w:t>其他说明：</w:t>
      </w:r>
    </w:p>
    <w:sdt>
      <w:sdtPr>
        <w:alias w:val="母公司坏账准备情况的说明"/>
        <w:tag w:val="_GBC_31b65196a31b451f9f81b4cd487599d5"/>
        <w:id w:val="28133"/>
        <w:placeholder>
          <w:docPart w:val="GBC22222222222222222222222222222"/>
        </w:placeholder>
      </w:sdtPr>
      <w:sdtContent>
        <w:p>
          <w:pPr>
            <w:ind w:right="42" w:rightChars="20"/>
          </w:pPr>
          <w:r>
            <w:rPr>
              <w:rFonts w:hint="eastAsia"/>
              <w:lang w:eastAsia="zh-CN"/>
            </w:rPr>
            <w:t>无</w:t>
          </w:r>
        </w:p>
      </w:sdtContent>
    </w:sdt>
    <w:p>
      <w:pPr>
        <w:pStyle w:val="6"/>
        <w:numPr>
          <w:ilvl w:val="0"/>
          <w:numId w:val="134"/>
        </w:numPr>
        <w:ind w:leftChars="0"/>
        <w:rPr>
          <w:rFonts w:cs="宋体" w:asciiTheme="minorHAnsi" w:hAnsiTheme="minorHAnsi"/>
          <w:kern w:val="0"/>
          <w:szCs w:val="22"/>
        </w:rPr>
      </w:pPr>
      <w:r>
        <w:rPr>
          <w:rFonts w:cs="宋体" w:asciiTheme="minorHAnsi" w:hAnsiTheme="minorHAnsi"/>
          <w:kern w:val="0"/>
          <w:szCs w:val="22"/>
        </w:rPr>
        <w:t>本期实际核销的应收</w:t>
      </w:r>
      <w:r>
        <w:rPr>
          <w:rFonts w:hint="eastAsia" w:cs="宋体" w:asciiTheme="minorHAnsi" w:hAnsiTheme="minorHAnsi"/>
          <w:kern w:val="0"/>
          <w:szCs w:val="22"/>
        </w:rPr>
        <w:t>利息</w:t>
      </w:r>
      <w:r>
        <w:rPr>
          <w:rFonts w:cs="宋体" w:asciiTheme="minorHAnsi" w:hAnsiTheme="minorHAnsi"/>
          <w:kern w:val="0"/>
          <w:szCs w:val="22"/>
        </w:rPr>
        <w:t>情况</w:t>
      </w:r>
    </w:p>
    <w:sdt>
      <w:sdtPr>
        <w:alias w:val="是否适用：实际核销的情况[双击切换]"/>
        <w:tag w:val="_GBC_078b310c81244c1d880a4059768019f1"/>
        <w:id w:val="2813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28135"/>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snapToGrid w:val="0"/>
            <w:spacing w:line="240" w:lineRule="atLeast"/>
            <w:rPr>
              <w:rFonts w:hint="eastAsia"/>
              <w:szCs w:val="21"/>
            </w:rPr>
          </w:pPr>
        </w:p>
      </w:sdtContent>
    </w:sdt>
    <w:p>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28136"/>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pPr>
        </w:p>
      </w:sdtContent>
    </w:sdt>
    <w:bookmarkEnd w:id="340"/>
    <w:p>
      <w:r>
        <w:rPr>
          <w:rFonts w:hint="eastAsia"/>
        </w:rPr>
        <w:t>其他说明：</w:t>
      </w:r>
    </w:p>
    <w:sdt>
      <w:sdtPr>
        <w:rPr>
          <w:rFonts w:hint="eastAsia"/>
          <w:szCs w:val="21"/>
        </w:rPr>
        <w:alias w:val="是否适用：应收利息的说明[双击切换]"/>
        <w:tag w:val="_GBC_9a3e6e5b075544d3b90be42ae9d883ef"/>
        <w:id w:val="28137"/>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bookmarkEnd w:id="341"/>
    <w:p>
      <w:pPr>
        <w:pStyle w:val="5"/>
        <w:ind w:left="360" w:hanging="360"/>
      </w:pPr>
      <w:r>
        <w:rPr>
          <w:rFonts w:hint="eastAsia"/>
        </w:rPr>
        <w:t>应收股利</w:t>
      </w:r>
    </w:p>
    <w:p>
      <w:pPr>
        <w:pStyle w:val="6"/>
        <w:numPr>
          <w:ilvl w:val="0"/>
          <w:numId w:val="135"/>
        </w:numPr>
        <w:ind w:leftChars="0"/>
        <w:rPr>
          <w:rFonts w:cs="宋体" w:asciiTheme="minorHAnsi" w:hAnsiTheme="minorHAnsi"/>
          <w:kern w:val="0"/>
          <w:szCs w:val="22"/>
        </w:rPr>
      </w:pPr>
      <w:bookmarkStart w:id="342" w:name="_Hlk533797257"/>
      <w:r>
        <w:rPr>
          <w:rFonts w:hint="eastAsia" w:cs="宋体" w:asciiTheme="minorHAnsi" w:hAnsiTheme="minorHAnsi"/>
          <w:kern w:val="0"/>
          <w:szCs w:val="22"/>
        </w:rPr>
        <w:t>应收股利</w:t>
      </w:r>
    </w:p>
    <w:sdt>
      <w:sdtPr>
        <w:alias w:val="是否适用：母公司应收股利[双击切换]"/>
        <w:tag w:val="_GBC_a52dcf5153694fbe9527781c61a5006e"/>
        <w:id w:val="2813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bookmarkEnd w:id="342"/>
    <w:p>
      <w:pPr>
        <w:pStyle w:val="6"/>
        <w:numPr>
          <w:ilvl w:val="0"/>
          <w:numId w:val="135"/>
        </w:numPr>
        <w:ind w:leftChars="0"/>
        <w:rPr>
          <w:rFonts w:cs="宋体" w:asciiTheme="minorHAnsi" w:hAnsiTheme="minorHAnsi"/>
          <w:kern w:val="0"/>
          <w:szCs w:val="22"/>
        </w:rPr>
      </w:pPr>
      <w:bookmarkStart w:id="343" w:name="_Hlk533797316"/>
      <w:r>
        <w:rPr>
          <w:rFonts w:hint="eastAsia" w:cs="宋体" w:asciiTheme="minorHAnsi" w:hAnsiTheme="minorHAnsi"/>
          <w:kern w:val="0"/>
          <w:szCs w:val="22"/>
        </w:rPr>
        <w:t>重要的账龄超过1年的应收股利</w:t>
      </w:r>
    </w:p>
    <w:sdt>
      <w:sdtPr>
        <w:rPr>
          <w:szCs w:val="21"/>
        </w:rPr>
        <w:alias w:val="是否适用：母公司重要的账龄超过1年的应收股利[双击切换]"/>
        <w:tag w:val="_GBC_70eb463d08894908bb104ae0b258e76e"/>
        <w:id w:val="28139"/>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rPr>
              <w:szCs w:val="21"/>
            </w:rPr>
          </w:pPr>
        </w:p>
      </w:sdtContent>
    </w:sdt>
    <w:p>
      <w:pPr>
        <w:pStyle w:val="6"/>
        <w:numPr>
          <w:ilvl w:val="0"/>
          <w:numId w:val="135"/>
        </w:numPr>
        <w:ind w:leftChars="0"/>
        <w:rPr>
          <w:rFonts w:cs="宋体" w:asciiTheme="minorHAnsi" w:hAnsiTheme="minorHAnsi"/>
          <w:kern w:val="0"/>
          <w:szCs w:val="22"/>
        </w:rPr>
      </w:pPr>
      <w:bookmarkStart w:id="344" w:name="_Hlk154150045"/>
      <w:bookmarkStart w:id="345" w:name="_Hlk153790907"/>
      <w:r>
        <w:rPr>
          <w:rFonts w:hint="eastAsia" w:cs="宋体" w:asciiTheme="minorHAnsi" w:hAnsiTheme="minorHAnsi"/>
          <w:kern w:val="0"/>
          <w:szCs w:val="22"/>
        </w:rPr>
        <w:t>按</w:t>
      </w:r>
      <w:r>
        <w:rPr>
          <w:rFonts w:cs="宋体" w:asciiTheme="minorHAnsi" w:hAnsiTheme="minorHAnsi"/>
          <w:kern w:val="0"/>
          <w:szCs w:val="22"/>
        </w:rPr>
        <w:t>坏账计提方法分类披露</w:t>
      </w:r>
    </w:p>
    <w:sdt>
      <w:sdtPr>
        <w:alias w:val="是否适用：母公司按坏账计提方法分类披露[双击切换]"/>
        <w:tag w:val="_GBC_3e6131bf64764260959e58957d1a923e"/>
        <w:id w:val="2814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r>
        <w:rPr>
          <w:rFonts w:hint="eastAsia"/>
        </w:rPr>
        <w:t>按单项计提坏账准备：</w:t>
      </w:r>
    </w:p>
    <w:sdt>
      <w:sdtPr>
        <w:alias w:val="是否适用：母公司按单项计提坏账准备的详细情况[双击切换]"/>
        <w:tag w:val="_GBC_0bffd65beafa48e6aca929c5c2140787"/>
        <w:id w:val="28141"/>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28142"/>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rPr>
              <w:szCs w:val="21"/>
            </w:rPr>
          </w:pPr>
        </w:p>
      </w:sdtContent>
    </w:sdt>
    <w:p>
      <w:pPr>
        <w:rPr>
          <w:rFonts w:ascii="Calibri" w:hAnsi="Calibri" w:cs="Times New Roman"/>
          <w:bCs/>
          <w:szCs w:val="22"/>
        </w:rPr>
      </w:pPr>
      <w:r>
        <w:rPr>
          <w:rFonts w:hint="eastAsia" w:ascii="Calibri" w:hAnsi="Calibri" w:cs="Times New Roman"/>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28143"/>
        <w:placeholder>
          <w:docPart w:val="GBC22222222222222222222222222222"/>
        </w:placeholder>
      </w:sdtPr>
      <w:sdtEndPr>
        <w:rPr>
          <w:rFonts w:ascii="Calibri" w:hAnsi="Calibri" w:cs="Times New Roman"/>
          <w:bCs/>
          <w:szCs w:val="22"/>
        </w:rPr>
      </w:sdtEndPr>
      <w:sdtContent>
        <w:p>
          <w:pPr>
            <w:outlineLvl w:val="9"/>
            <w:rPr>
              <w:rFonts w:cs="Times New Roman"/>
              <w:bCs/>
              <w:szCs w:val="22"/>
            </w:rPr>
          </w:pPr>
          <w:r>
            <w:rPr>
              <w:rFonts w:cs="Times New Roman"/>
              <w:bCs/>
              <w:szCs w:val="22"/>
            </w:rPr>
            <w:fldChar w:fldCharType="begin"/>
          </w:r>
          <w:r>
            <w:rPr>
              <w:rFonts w:hint="eastAsia" w:cs="Times New Roman"/>
              <w:bCs/>
              <w:szCs w:val="22"/>
              <w:lang w:eastAsia="zh-CN"/>
            </w:rPr>
            <w:instrText xml:space="preserve"> MACROBUTTON  SnrToggleCheckbox □适用 </w:instrText>
          </w:r>
          <w:r>
            <w:rPr>
              <w:rFonts w:cs="Times New Roman"/>
              <w:bCs/>
              <w:szCs w:val="22"/>
            </w:rPr>
            <w:fldChar w:fldCharType="end"/>
          </w:r>
          <w:r>
            <w:rPr>
              <w:rFonts w:cs="Times New Roman"/>
              <w:bCs/>
              <w:szCs w:val="22"/>
            </w:rPr>
            <w:fldChar w:fldCharType="begin"/>
          </w:r>
          <w:r>
            <w:rPr>
              <w:rFonts w:hint="eastAsia" w:cs="Times New Roman"/>
              <w:bCs/>
              <w:szCs w:val="22"/>
              <w:lang w:eastAsia="zh-CN"/>
            </w:rPr>
            <w:instrText xml:space="preserve"> MACROBUTTON  SnrToggleCheckbox √不适用 </w:instrText>
          </w:r>
          <w:r>
            <w:rPr>
              <w:rFonts w:cs="Times New Roman"/>
              <w:bCs/>
              <w:szCs w:val="22"/>
            </w:rPr>
            <w:fldChar w:fldCharType="end"/>
          </w:r>
        </w:p>
        <w:p>
          <w:pPr>
            <w:outlineLvl w:val="9"/>
            <w:rPr>
              <w:szCs w:val="21"/>
            </w:rPr>
          </w:pPr>
        </w:p>
      </w:sdtContent>
    </w:sdt>
    <w:bookmarkEnd w:id="343"/>
    <w:bookmarkEnd w:id="344"/>
    <w:bookmarkEnd w:id="345"/>
    <w:p>
      <w:pPr>
        <w:pStyle w:val="6"/>
        <w:numPr>
          <w:ilvl w:val="0"/>
          <w:numId w:val="135"/>
        </w:numPr>
        <w:ind w:leftChars="0"/>
        <w:rPr>
          <w:rFonts w:cs="宋体" w:asciiTheme="minorHAnsi" w:hAnsiTheme="minorHAnsi"/>
          <w:kern w:val="0"/>
          <w:szCs w:val="22"/>
        </w:rPr>
      </w:pPr>
      <w:bookmarkStart w:id="346" w:name="_Hlk533868874"/>
      <w:r>
        <w:rPr>
          <w:rFonts w:hint="eastAsia" w:cs="宋体" w:asciiTheme="minorHAnsi" w:hAnsiTheme="minorHAnsi"/>
          <w:kern w:val="0"/>
          <w:szCs w:val="22"/>
        </w:rPr>
        <w:t>按</w:t>
      </w:r>
      <w:r>
        <w:rPr>
          <w:rFonts w:hint="eastAsia"/>
          <w:szCs w:val="22"/>
        </w:rPr>
        <w:t>预期信用损失一般模型计提坏账准备</w:t>
      </w:r>
    </w:p>
    <w:sdt>
      <w:sdtPr>
        <w:alias w:val="是否适用：母公司应收股利坏账准备调节表[双击切换]"/>
        <w:tag w:val="_GBC_5cbd8c1c52fa42d19db26aadad6a74b8"/>
        <w:id w:val="28144"/>
        <w:placeholder>
          <w:docPart w:val="GBC22222222222222222222222222222"/>
        </w:placeholder>
      </w:sdtPr>
      <w:sdtContent>
        <w:p>
          <w:pPr>
            <w:autoSpaceDE w:val="0"/>
            <w:autoSpaceDN w:val="0"/>
            <w:adjustRightInd w:val="0"/>
            <w:ind w:right="105" w:rightChars="50"/>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autoSpaceDE w:val="0"/>
        <w:autoSpaceDN w:val="0"/>
        <w:adjustRightInd w:val="0"/>
        <w:ind w:right="105" w:rightChars="50"/>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28145"/>
        <w:placeholder>
          <w:docPart w:val="GBC22222222222222222222222222222"/>
        </w:placeholder>
      </w:sdtPr>
      <w:sdtEndPr>
        <w:rPr>
          <w:rFonts w:cs="Times New Roman"/>
          <w:bCs/>
          <w:szCs w:val="22"/>
        </w:rPr>
      </w:sdtEndPr>
      <w:sdtContent>
        <w:p>
          <w:pPr>
            <w:rPr>
              <w:rFonts w:hint="eastAsia" w:cs="Times New Roman"/>
              <w:bCs/>
              <w:szCs w:val="22"/>
              <w:lang w:eastAsia="zh-CN"/>
            </w:rPr>
          </w:pPr>
          <w:r>
            <w:rPr>
              <w:rFonts w:hint="eastAsia" w:cs="Times New Roman"/>
              <w:bCs/>
              <w:szCs w:val="22"/>
              <w:lang w:eastAsia="zh-CN"/>
            </w:rPr>
            <w:t>无</w:t>
          </w:r>
        </w:p>
        <w:p>
          <w:pPr>
            <w:rPr>
              <w:rFonts w:cs="Times New Roman"/>
              <w:bCs/>
              <w:szCs w:val="22"/>
            </w:rPr>
          </w:pPr>
        </w:p>
      </w:sdtContent>
    </w:sdt>
    <w:p>
      <w:pPr>
        <w:pStyle w:val="87"/>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28146"/>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outlineLvl w:val="9"/>
          </w:pPr>
        </w:p>
      </w:sdtContent>
    </w:sdt>
    <w:bookmarkEnd w:id="346"/>
    <w:p>
      <w:pPr>
        <w:pStyle w:val="6"/>
        <w:numPr>
          <w:ilvl w:val="0"/>
          <w:numId w:val="135"/>
        </w:numPr>
        <w:ind w:leftChars="0"/>
        <w:rPr>
          <w:rFonts w:cs="宋体" w:asciiTheme="minorHAnsi" w:hAnsiTheme="minorHAnsi"/>
          <w:kern w:val="0"/>
          <w:szCs w:val="22"/>
        </w:rPr>
      </w:pPr>
      <w:bookmarkStart w:id="347" w:name="_Hlk153792018"/>
      <w:bookmarkStart w:id="348" w:name="_Hlk154150256"/>
      <w:r>
        <w:rPr>
          <w:rFonts w:hint="eastAsia" w:cs="宋体" w:asciiTheme="minorHAnsi" w:hAnsiTheme="minorHAnsi"/>
          <w:kern w:val="0"/>
          <w:szCs w:val="22"/>
        </w:rPr>
        <w:t>坏账准备的情况</w:t>
      </w:r>
    </w:p>
    <w:sdt>
      <w:sdtPr>
        <w:alias w:val="是否适用：母公司坏账准备情况[双击切换]"/>
        <w:tag w:val="_GBC_821565a30d3745e0bc44de118b7dee6f"/>
        <w:id w:val="28147"/>
        <w:placeholder>
          <w:docPart w:val="GBC22222222222222222222222222222"/>
        </w:placeholder>
      </w:sdtPr>
      <w:sdtContent>
        <w:p>
          <w:pPr>
            <w:pStyle w:val="87"/>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pPr>
            <w:pStyle w:val="87"/>
          </w:pPr>
        </w:p>
      </w:sdtContent>
    </w:sdt>
    <w:p>
      <w:r>
        <w:rPr>
          <w:rFonts w:hint="eastAsia"/>
        </w:rPr>
        <w:t>其中本期坏账准备收回或转回金额重要的：</w:t>
      </w:r>
    </w:p>
    <w:sdt>
      <w:sdtPr>
        <w:alias w:val="是否适用：母公司本期坏账准备收回或转回金额重要的[双击切换]"/>
        <w:tag w:val="_GBC_0d1ed1559d1344db8b219f59e8d21024"/>
        <w:id w:val="28148"/>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r>
        <w:rPr>
          <w:rFonts w:hint="eastAsia"/>
        </w:rPr>
        <w:t>其他说明：</w:t>
      </w:r>
    </w:p>
    <w:sdt>
      <w:sdtPr>
        <w:alias w:val="母公司坏账准备情况的说明"/>
        <w:tag w:val="_GBC_1ed1f4303f9641fba538e08ef13fe5e7"/>
        <w:id w:val="28149"/>
        <w:placeholder>
          <w:docPart w:val="GBC22222222222222222222222222222"/>
        </w:placeholder>
      </w:sdtPr>
      <w:sdtContent>
        <w:p>
          <w:pPr>
            <w:ind w:right="42" w:rightChars="20"/>
          </w:pPr>
          <w:r>
            <w:rPr>
              <w:rFonts w:hint="eastAsia"/>
              <w:lang w:eastAsia="zh-CN"/>
            </w:rPr>
            <w:t>无</w:t>
          </w:r>
        </w:p>
      </w:sdtContent>
    </w:sdt>
    <w:p>
      <w:pPr>
        <w:pStyle w:val="6"/>
        <w:numPr>
          <w:ilvl w:val="0"/>
          <w:numId w:val="135"/>
        </w:numPr>
        <w:ind w:leftChars="0"/>
        <w:rPr>
          <w:rFonts w:cs="宋体" w:asciiTheme="minorHAnsi" w:hAnsiTheme="minorHAnsi"/>
          <w:kern w:val="0"/>
          <w:szCs w:val="22"/>
        </w:rPr>
      </w:pPr>
      <w:bookmarkStart w:id="349" w:name="_Hlk155883151"/>
      <w:r>
        <w:rPr>
          <w:rFonts w:cs="宋体" w:asciiTheme="minorHAnsi" w:hAnsiTheme="minorHAnsi"/>
          <w:kern w:val="0"/>
          <w:szCs w:val="22"/>
        </w:rPr>
        <w:t>本期实际核销的应收</w:t>
      </w:r>
      <w:r>
        <w:rPr>
          <w:rFonts w:hint="eastAsia" w:cs="宋体" w:asciiTheme="minorHAnsi" w:hAnsiTheme="minorHAnsi"/>
          <w:kern w:val="0"/>
          <w:szCs w:val="22"/>
        </w:rPr>
        <w:t>股利</w:t>
      </w:r>
      <w:r>
        <w:rPr>
          <w:rFonts w:cs="宋体" w:asciiTheme="minorHAnsi" w:hAnsiTheme="minorHAnsi"/>
          <w:kern w:val="0"/>
          <w:szCs w:val="22"/>
        </w:rPr>
        <w:t>情况</w:t>
      </w:r>
    </w:p>
    <w:sdt>
      <w:sdtPr>
        <w:alias w:val="是否适用：母公司实际核销的情况[双击切换]"/>
        <w:tag w:val="_GBC_1b5ee2d7fd5a4b549b2a2bd673f1698a"/>
        <w:id w:val="28150"/>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bookmarkEnd w:id="349"/>
    <w:p>
      <w:pPr>
        <w:rPr>
          <w:szCs w:val="21"/>
        </w:rPr>
      </w:pPr>
      <w:r>
        <w:rPr>
          <w:rFonts w:hint="eastAsia"/>
          <w:szCs w:val="21"/>
        </w:rPr>
        <w:t>其中重要的应收股利核销情况</w:t>
      </w:r>
    </w:p>
    <w:sdt>
      <w:sdtPr>
        <w:rPr>
          <w:rFonts w:hint="eastAsia"/>
          <w:szCs w:val="21"/>
        </w:rPr>
        <w:alias w:val="是否适用：母公司重要的核销情况[双击切换]"/>
        <w:tag w:val="_GBC_2151c3ad65384379897352f370874db1"/>
        <w:id w:val="28151"/>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snapToGrid w:val="0"/>
            <w:spacing w:line="240" w:lineRule="atLeast"/>
            <w:rPr>
              <w:rFonts w:hint="eastAsia"/>
              <w:szCs w:val="21"/>
            </w:rPr>
          </w:pPr>
        </w:p>
      </w:sdtContent>
    </w:sdt>
    <w:p>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28152"/>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sdt>
      <w:sdtPr>
        <w:alias w:val="核销说明"/>
        <w:tag w:val="_GBC_0460d3ff7a3a48a8897d453c823a4fd9"/>
        <w:id w:val="28153"/>
        <w:placeholder>
          <w:docPart w:val="GBC22222222222222222222222222222"/>
        </w:placeholder>
      </w:sdtPr>
      <w:sdtContent>
        <w:p>
          <w:pPr>
            <w:rPr>
              <w:rFonts w:hint="eastAsia"/>
              <w:lang w:eastAsia="zh-CN"/>
            </w:rPr>
          </w:pPr>
          <w:r>
            <w:rPr>
              <w:rFonts w:hint="eastAsia"/>
              <w:lang w:eastAsia="zh-CN"/>
            </w:rPr>
            <w:t>无</w:t>
          </w:r>
        </w:p>
        <w:p/>
      </w:sdtContent>
    </w:sdt>
    <w:bookmarkEnd w:id="347"/>
    <w:bookmarkEnd w:id="348"/>
    <w:p>
      <w:pPr>
        <w:rPr>
          <w:szCs w:val="21"/>
        </w:rPr>
      </w:pPr>
      <w:bookmarkStart w:id="350" w:name="_Hlk533797406"/>
      <w:r>
        <w:rPr>
          <w:rFonts w:hint="eastAsia"/>
          <w:szCs w:val="21"/>
        </w:rPr>
        <w:t>其他说明：</w:t>
      </w:r>
    </w:p>
    <w:sdt>
      <w:sdtPr>
        <w:rPr>
          <w:szCs w:val="21"/>
        </w:rPr>
        <w:alias w:val="是否适用：母公司应收股利其他说明[双击切换]"/>
        <w:tag w:val="_GBC_75450c3c0332439986937f5dec59f65c"/>
        <w:id w:val="28154"/>
        <w:placeholder>
          <w:docPart w:val="GBC22222222222222222222222222222"/>
        </w:placeholder>
      </w:sdtPr>
      <w:sdtEndPr>
        <w:rPr>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bookmarkEnd w:id="350"/>
    <w:p/>
    <w:p>
      <w:pPr>
        <w:pStyle w:val="5"/>
        <w:ind w:left="360" w:hanging="360"/>
      </w:pPr>
      <w:r>
        <w:rPr>
          <w:rFonts w:hint="eastAsia"/>
        </w:rPr>
        <w:t>其他应收款</w:t>
      </w:r>
    </w:p>
    <w:p>
      <w:pPr>
        <w:pStyle w:val="6"/>
        <w:numPr>
          <w:ilvl w:val="0"/>
          <w:numId w:val="136"/>
        </w:numPr>
        <w:ind w:leftChars="0"/>
        <w:rPr>
          <w:rFonts w:cs="宋体" w:asciiTheme="minorHAnsi" w:hAnsiTheme="minorHAnsi"/>
          <w:kern w:val="0"/>
          <w:szCs w:val="22"/>
        </w:rPr>
      </w:pPr>
      <w:bookmarkStart w:id="351" w:name="_Hlk153797719"/>
      <w:bookmarkStart w:id="352" w:name="_Hlk533797447"/>
      <w:r>
        <w:rPr>
          <w:rFonts w:hint="eastAsia" w:cs="宋体" w:asciiTheme="minorHAnsi" w:hAnsiTheme="minorHAnsi"/>
          <w:kern w:val="0"/>
          <w:szCs w:val="22"/>
        </w:rPr>
        <w:t>按账龄披露</w:t>
      </w:r>
    </w:p>
    <w:sdt>
      <w:sdtPr>
        <w:rPr>
          <w:szCs w:val="21"/>
        </w:rPr>
        <w:alias w:val="是否适用：母公司其他应收款按账龄披露[双击切换]"/>
        <w:tag w:val="_GBC_5c11b96990fa439da812b87b47ed4c80"/>
        <w:id w:val="28155"/>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其他应收款按账龄披露"/>
          <w:tag w:val="_GBC_41616ef98f834aa2b100f687773d3969"/>
          <w:id w:val="281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281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89"/>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e6b4d3ce2efb49849027845f309f652a"/>
            <w:id w:val="28158"/>
          </w:sdtPr>
          <w:sdtEndPr>
            <w:rPr>
              <w:rFonts w:hint="default" w:ascii="Times New Roman" w:hAnsi="Times New Roman" w:cs="Times New Roman"/>
            </w:rPr>
          </w:sdtEnd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账龄</w:t>
                </w:r>
              </w:p>
            </w:tc>
          </w:sdtContent>
        </w:sdt>
        <w:sdt>
          <w:sdtPr>
            <w:rPr>
              <w:rFonts w:hint="default" w:ascii="Times New Roman" w:hAnsi="Times New Roman" w:cs="Times New Roman"/>
            </w:rPr>
            <w:tag w:val="_PLD_2a2524c4aa88497fa0bf73f43366d799"/>
            <w:id w:val="28159"/>
          </w:sdtPr>
          <w:sdtEndPr>
            <w:rPr>
              <w:rFonts w:hint="default" w:ascii="Times New Roman" w:hAnsi="Times New Roman" w:cs="Times New Roman"/>
            </w:rPr>
          </w:sdtEndPr>
          <w:sdtContent>
            <w:tc>
              <w:tcPr>
                <w:tcW w:w="165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期末账面余额</w:t>
                </w:r>
              </w:p>
            </w:tc>
          </w:sdtContent>
        </w:sdt>
        <w:tc>
          <w:tcPr>
            <w:tcW w:w="1653" w:type="pct"/>
            <w:tcBorders>
              <w:top w:val="single" w:color="auto" w:sz="4" w:space="0"/>
              <w:left w:val="single" w:color="auto" w:sz="4" w:space="0"/>
              <w:bottom w:val="single" w:color="auto" w:sz="4" w:space="0"/>
              <w:right w:val="single" w:color="auto" w:sz="4" w:space="0"/>
            </w:tcBorders>
          </w:tcPr>
          <w:sdt>
            <w:sdtPr>
              <w:rPr>
                <w:rFonts w:hint="default" w:ascii="Times New Roman" w:hAnsi="Times New Roman" w:cs="Times New Roman"/>
              </w:rPr>
              <w:tag w:val="_PLD_63769de747ae44d5b345aed18107390b"/>
              <w:id w:val="28160"/>
            </w:sdtPr>
            <w:sdtEndPr>
              <w:rPr>
                <w:rFonts w:hint="default" w:ascii="Times New Roman" w:hAnsi="Times New Roman" w:cs="Times New Roman"/>
              </w:rPr>
            </w:sdtEndPr>
            <w:sdtContent>
              <w:p>
                <w:pPr>
                  <w:jc w:val="center"/>
                  <w:rPr>
                    <w:rFonts w:hint="default" w:ascii="Times New Roman" w:hAnsi="Times New Roman" w:cs="Times New Roman"/>
                  </w:rPr>
                </w:pPr>
                <w:r>
                  <w:rPr>
                    <w:rFonts w:hint="default" w:ascii="Times New Roman" w:hAnsi="Times New Roman" w:cs="Times New Roman"/>
                  </w:rPr>
                  <w:t>期初账面余额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c6695c49fd154f06a8c3e54859fa6317"/>
            <w:id w:val="28161"/>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color w:val="FF0000"/>
                    <w:szCs w:val="21"/>
                  </w:rPr>
                </w:pPr>
                <w:r>
                  <w:rPr>
                    <w:rFonts w:hint="default" w:ascii="Times New Roman" w:hAnsi="Times New Roman" w:cs="Times New Roman"/>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hint="default" w:ascii="Times New Roman" w:hAnsi="Times New Roman" w:cs="Times New Roman"/>
            </w:rPr>
            <w:tag w:val="_PLD_26deac0bdd35479bb09de6b9007dff6c"/>
            <w:id w:val="28162"/>
          </w:sdtPr>
          <w:sdtEndPr>
            <w:rPr>
              <w:rFonts w:hint="default"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0.5年以内</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139,371,850.30</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82,026,003.86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rPr>
              <w:t>0.5年至1年</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184,787.98</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238,799.92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1年以内小计</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139,556,638.28</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82,264,803.78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1至2年</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1,025,758.65</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356,521.29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2至3年</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219,922.35</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2,936,164.97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cs="Times New Roman"/>
                <w:szCs w:val="21"/>
                <w:lang w:val="en-US" w:eastAsia="zh-CN"/>
              </w:rPr>
            </w:pPr>
            <w:r>
              <w:rPr>
                <w:rFonts w:hint="default" w:ascii="Times New Roman" w:hAnsi="Times New Roman" w:cs="Times New Roman"/>
                <w:szCs w:val="21"/>
              </w:rPr>
              <w:t>3</w:t>
            </w:r>
            <w:r>
              <w:rPr>
                <w:rFonts w:hint="eastAsia" w:ascii="Times New Roman" w:hAnsi="Times New Roman" w:cs="Times New Roman"/>
                <w:szCs w:val="21"/>
                <w:lang w:val="en-US" w:eastAsia="zh-CN"/>
              </w:rPr>
              <w:t>至5年</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2,154,211.21</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113,772.12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Cs w:val="21"/>
              </w:rPr>
            </w:pPr>
            <w:r>
              <w:rPr>
                <w:rFonts w:hint="default" w:ascii="Times New Roman" w:hAnsi="Times New Roman" w:cs="Times New Roman"/>
                <w:szCs w:val="21"/>
              </w:rPr>
              <w:t>5年以上</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9,105,246.53</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66,403,573.78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减：坏账准备</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67,519,955.74</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67,083,907.73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合计</w:t>
            </w:r>
          </w:p>
        </w:tc>
        <w:tc>
          <w:tcPr>
            <w:tcW w:w="1650"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 84,541,821.28</w:t>
            </w:r>
          </w:p>
        </w:tc>
        <w:tc>
          <w:tcPr>
            <w:tcW w:w="1653"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84,990,928.21</w:t>
            </w:r>
          </w:p>
        </w:tc>
      </w:tr>
    </w:tbl>
    <w:p/>
    <w:bookmarkEnd w:id="351"/>
    <w:p>
      <w:pPr>
        <w:pStyle w:val="6"/>
        <w:numPr>
          <w:ilvl w:val="0"/>
          <w:numId w:val="136"/>
        </w:numPr>
        <w:ind w:leftChars="0"/>
        <w:rPr>
          <w:rFonts w:cs="宋体" w:asciiTheme="minorHAnsi" w:hAnsiTheme="minorHAnsi"/>
          <w:kern w:val="0"/>
          <w:szCs w:val="22"/>
        </w:rPr>
      </w:pPr>
      <w:r>
        <w:rPr>
          <w:rFonts w:hint="eastAsia" w:cs="宋体" w:asciiTheme="minorHAnsi" w:hAnsiTheme="minorHAnsi"/>
          <w:kern w:val="0"/>
          <w:szCs w:val="22"/>
        </w:rPr>
        <w:t>按款项性质分类情况</w:t>
      </w:r>
    </w:p>
    <w:p>
      <w:sdt>
        <w:sdtPr>
          <w:alias w:val="是否适用：母公司其他应收款按款项性质分类情况[双击切换]"/>
          <w:tag w:val="_GBC_a5e5418d19394a1c8f8093184d9b360a"/>
          <w:id w:val="28163"/>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母公司其他应收款按款项性质分类情况"/>
          <w:tag w:val="_GBC_451485fc33dc4b2c9be5a44730242ca7"/>
          <w:id w:val="281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81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a2a2127303b4deebb2bcaea193eb6d9"/>
            <w:id w:val="28166"/>
          </w:sdtPr>
          <w:sdtContent>
            <w:tc>
              <w:tcPr>
                <w:tcW w:w="1700" w:type="pct"/>
              </w:tcPr>
              <w:p>
                <w:pPr>
                  <w:widowControl w:val="0"/>
                  <w:jc w:val="center"/>
                </w:pPr>
                <w:r>
                  <w:rPr>
                    <w:rFonts w:hint="eastAsia"/>
                  </w:rPr>
                  <w:t>款项性质</w:t>
                </w:r>
              </w:p>
            </w:tc>
          </w:sdtContent>
        </w:sdt>
        <w:sdt>
          <w:sdtPr>
            <w:tag w:val="_PLD_aa55d719329144e5a0eafd36222d0851"/>
            <w:id w:val="28167"/>
          </w:sdtPr>
          <w:sdtContent>
            <w:tc>
              <w:tcPr>
                <w:tcW w:w="1646" w:type="pct"/>
              </w:tcPr>
              <w:p>
                <w:pPr>
                  <w:widowControl w:val="0"/>
                  <w:jc w:val="center"/>
                </w:pPr>
                <w:r>
                  <w:rPr>
                    <w:rFonts w:hint="eastAsia"/>
                  </w:rPr>
                  <w:t>期末账面余额</w:t>
                </w:r>
              </w:p>
            </w:tc>
          </w:sdtContent>
        </w:sdt>
        <w:sdt>
          <w:sdtPr>
            <w:tag w:val="_PLD_146282129b6a4b52a6963dad9647679a"/>
            <w:id w:val="28168"/>
          </w:sdtPr>
          <w:sdtContent>
            <w:tc>
              <w:tcPr>
                <w:tcW w:w="1653" w:type="pct"/>
              </w:tcPr>
              <w:p>
                <w:pPr>
                  <w:widowControl w:val="0"/>
                  <w:jc w:val="center"/>
                </w:pPr>
                <w:r>
                  <w:rPr>
                    <w:rFonts w:hint="eastAsia"/>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highlight w:val="yellow"/>
              </w:rPr>
            </w:pPr>
            <w:r>
              <w:t>往来款</w:t>
            </w:r>
          </w:p>
        </w:tc>
        <w:tc>
          <w:tcPr>
            <w:tcW w:w="1646" w:type="pct"/>
          </w:tcPr>
          <w:p>
            <w:pPr>
              <w:widowControl w:val="0"/>
              <w:jc w:val="right"/>
              <w:rPr>
                <w:rFonts w:hint="default" w:ascii="Times New Roman" w:hAnsi="Times New Roman" w:cs="Times New Roman"/>
              </w:rPr>
            </w:pPr>
            <w:r>
              <w:rPr>
                <w:rFonts w:hint="default" w:ascii="Times New Roman" w:hAnsi="Times New Roman" w:cs="Times New Roman"/>
              </w:rPr>
              <w:t>148,413,464.63</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147,343,978.15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highlight w:val="yellow"/>
              </w:rPr>
            </w:pPr>
            <w:r>
              <w:t>备用金</w:t>
            </w:r>
          </w:p>
        </w:tc>
        <w:tc>
          <w:tcPr>
            <w:tcW w:w="1646" w:type="pct"/>
          </w:tcPr>
          <w:p>
            <w:pPr>
              <w:widowControl w:val="0"/>
              <w:jc w:val="right"/>
              <w:rPr>
                <w:rFonts w:hint="default" w:ascii="Times New Roman" w:hAnsi="Times New Roman" w:cs="Times New Roman"/>
              </w:rPr>
            </w:pPr>
            <w:r>
              <w:rPr>
                <w:rFonts w:hint="default" w:ascii="Times New Roman" w:hAnsi="Times New Roman" w:cs="Times New Roman"/>
              </w:rPr>
              <w:t>341,344.17</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507,130.95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highlight w:val="yellow"/>
              </w:rPr>
            </w:pPr>
            <w:r>
              <w:t>其他</w:t>
            </w:r>
          </w:p>
        </w:tc>
        <w:tc>
          <w:tcPr>
            <w:tcW w:w="1646" w:type="pct"/>
          </w:tcPr>
          <w:p>
            <w:pPr>
              <w:widowControl w:val="0"/>
              <w:jc w:val="right"/>
              <w:rPr>
                <w:rFonts w:hint="default" w:ascii="Times New Roman" w:hAnsi="Times New Roman" w:cs="Times New Roman"/>
              </w:rPr>
            </w:pPr>
            <w:r>
              <w:rPr>
                <w:rFonts w:hint="default" w:ascii="Times New Roman" w:hAnsi="Times New Roman" w:cs="Times New Roman"/>
              </w:rPr>
              <w:t>3,306,968.22</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4,223,726.84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pPr>
            <w:r>
              <w:t>合计</w:t>
            </w:r>
          </w:p>
        </w:tc>
        <w:tc>
          <w:tcPr>
            <w:tcW w:w="1646" w:type="pct"/>
          </w:tcPr>
          <w:p>
            <w:pPr>
              <w:widowControl w:val="0"/>
              <w:jc w:val="right"/>
              <w:rPr>
                <w:rFonts w:hint="default" w:ascii="Times New Roman" w:hAnsi="Times New Roman" w:cs="Times New Roman"/>
              </w:rPr>
            </w:pPr>
            <w:r>
              <w:rPr>
                <w:rFonts w:hint="default" w:ascii="Times New Roman" w:hAnsi="Times New Roman" w:cs="Times New Roman"/>
              </w:rPr>
              <w:t>152,061,777.02</w:t>
            </w:r>
          </w:p>
        </w:tc>
        <w:tc>
          <w:tcPr>
            <w:tcW w:w="1653" w:type="pct"/>
          </w:tcPr>
          <w:p>
            <w:pPr>
              <w:widowControl w:val="0"/>
              <w:jc w:val="right"/>
              <w:rPr>
                <w:rFonts w:hint="default" w:ascii="Times New Roman" w:hAnsi="Times New Roman" w:cs="Times New Roman"/>
              </w:rPr>
            </w:pPr>
            <w:r>
              <w:rPr>
                <w:rFonts w:hint="default" w:ascii="Times New Roman" w:hAnsi="Times New Roman" w:cs="Times New Roman"/>
              </w:rPr>
              <w:t>152,074,835.94</w:t>
            </w:r>
          </w:p>
        </w:tc>
      </w:tr>
    </w:tbl>
    <w:p/>
    <w:bookmarkEnd w:id="352"/>
    <w:p>
      <w:pPr>
        <w:pStyle w:val="6"/>
        <w:numPr>
          <w:ilvl w:val="0"/>
          <w:numId w:val="136"/>
        </w:numPr>
        <w:ind w:leftChars="0"/>
        <w:rPr>
          <w:rFonts w:cs="宋体" w:asciiTheme="minorHAnsi" w:hAnsiTheme="minorHAnsi"/>
          <w:kern w:val="0"/>
          <w:szCs w:val="22"/>
        </w:rPr>
      </w:pPr>
      <w:bookmarkStart w:id="353" w:name="_Hlk533870927"/>
      <w:r>
        <w:rPr>
          <w:rFonts w:hint="eastAsia" w:cs="宋体" w:asciiTheme="minorHAnsi" w:hAnsiTheme="minorHAnsi"/>
          <w:kern w:val="0"/>
          <w:szCs w:val="22"/>
        </w:rPr>
        <w:t>坏账准备计提情况</w:t>
      </w:r>
    </w:p>
    <w:sdt>
      <w:sdtPr>
        <w:alias w:val="是否适用：母公司其他应收款坏账准备调节表[双击切换]"/>
        <w:tag w:val="_GBC_34d55fda2adc4508bb77a03583cd3d2d"/>
        <w:id w:val="28169"/>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281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8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60"/>
        <w:gridCol w:w="1985"/>
        <w:gridCol w:w="198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21b2d66f9e3e44f9a3867e2f9fa483ea"/>
            <w:id w:val="28172"/>
          </w:sdtPr>
          <w:sdtEndPr>
            <w:rPr>
              <w:rFonts w:hint="default" w:ascii="Times New Roman" w:hAnsi="Times New Roman" w:cs="Times New Roman"/>
            </w:rPr>
          </w:sdtEndPr>
          <w:sdtContent>
            <w:tc>
              <w:tcPr>
                <w:tcW w:w="1001" w:type="pct"/>
                <w:vMerge w:val="restart"/>
                <w:vAlign w:val="center"/>
              </w:tcPr>
              <w:p>
                <w:pPr>
                  <w:pStyle w:val="105"/>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坏账准备</w:t>
                </w:r>
              </w:p>
            </w:tc>
          </w:sdtContent>
        </w:sdt>
        <w:sdt>
          <w:sdtPr>
            <w:rPr>
              <w:rFonts w:hint="default" w:ascii="Times New Roman" w:hAnsi="Times New Roman" w:cs="Times New Roman"/>
            </w:rPr>
            <w:tag w:val="_PLD_34b0b4bcbee6472f945ee1ca26e45970"/>
            <w:id w:val="28173"/>
          </w:sdtPr>
          <w:sdtEndPr>
            <w:rPr>
              <w:rFonts w:hint="default" w:ascii="Times New Roman" w:hAnsi="Times New Roman" w:cs="Times New Roman"/>
            </w:rPr>
          </w:sdtEndPr>
          <w:sdtContent>
            <w:tc>
              <w:tcPr>
                <w:tcW w:w="862" w:type="pct"/>
                <w:vAlign w:val="center"/>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第一阶段</w:t>
                </w:r>
              </w:p>
            </w:tc>
          </w:sdtContent>
        </w:sdt>
        <w:sdt>
          <w:sdtPr>
            <w:rPr>
              <w:rFonts w:hint="default" w:ascii="Times New Roman" w:hAnsi="Times New Roman" w:cs="Times New Roman"/>
            </w:rPr>
            <w:tag w:val="_PLD_aa89fd65169d424f824fd7e383c25916"/>
            <w:id w:val="28174"/>
          </w:sdtPr>
          <w:sdtEndPr>
            <w:rPr>
              <w:rFonts w:hint="default" w:ascii="Times New Roman" w:hAnsi="Times New Roman" w:cs="Times New Roman"/>
            </w:rPr>
          </w:sdtEndPr>
          <w:sdtContent>
            <w:tc>
              <w:tcPr>
                <w:tcW w:w="1097" w:type="pct"/>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第二阶段</w:t>
                </w:r>
              </w:p>
            </w:tc>
          </w:sdtContent>
        </w:sdt>
        <w:sdt>
          <w:sdtPr>
            <w:rPr>
              <w:rFonts w:hint="default" w:ascii="Times New Roman" w:hAnsi="Times New Roman" w:cs="Times New Roman"/>
            </w:rPr>
            <w:tag w:val="_PLD_12639a93161546c79f54a930c0ece668"/>
            <w:id w:val="28175"/>
          </w:sdtPr>
          <w:sdtEndPr>
            <w:rPr>
              <w:rFonts w:hint="default" w:ascii="Times New Roman" w:hAnsi="Times New Roman" w:cs="Times New Roman"/>
            </w:rPr>
          </w:sdtEndPr>
          <w:sdtContent>
            <w:tc>
              <w:tcPr>
                <w:tcW w:w="1097" w:type="pct"/>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第三阶段</w:t>
                </w:r>
              </w:p>
            </w:tc>
          </w:sdtContent>
        </w:sdt>
        <w:sdt>
          <w:sdtPr>
            <w:rPr>
              <w:rFonts w:hint="default" w:ascii="Times New Roman" w:hAnsi="Times New Roman" w:cs="Times New Roman"/>
            </w:rPr>
            <w:tag w:val="_PLD_5a93d463a9c749a7a3988972a030308e"/>
            <w:id w:val="28176"/>
          </w:sdtPr>
          <w:sdtEndPr>
            <w:rPr>
              <w:rFonts w:hint="default" w:ascii="Times New Roman" w:hAnsi="Times New Roman" w:cs="Times New Roman"/>
            </w:rPr>
          </w:sdtEndPr>
          <w:sdtContent>
            <w:tc>
              <w:tcPr>
                <w:tcW w:w="943" w:type="pct"/>
                <w:vMerge w:val="restart"/>
                <w:vAlign w:val="center"/>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pPr>
              <w:jc w:val="center"/>
              <w:rPr>
                <w:rFonts w:hint="default" w:ascii="Times New Roman" w:hAnsi="Times New Roman" w:cs="Times New Roman"/>
                <w:color w:val="008000"/>
                <w:szCs w:val="21"/>
              </w:rPr>
            </w:pPr>
          </w:p>
        </w:tc>
        <w:sdt>
          <w:sdtPr>
            <w:rPr>
              <w:rFonts w:hint="default" w:ascii="Times New Roman" w:hAnsi="Times New Roman" w:cs="Times New Roman"/>
            </w:rPr>
            <w:tag w:val="_PLD_6c31319b241149a587899b0690e3641d"/>
            <w:id w:val="28177"/>
          </w:sdtPr>
          <w:sdtEndPr>
            <w:rPr>
              <w:rFonts w:hint="default" w:ascii="Times New Roman" w:hAnsi="Times New Roman" w:cs="Times New Roman"/>
            </w:rPr>
          </w:sdtEndPr>
          <w:sdtContent>
            <w:tc>
              <w:tcPr>
                <w:tcW w:w="862" w:type="pct"/>
                <w:vAlign w:val="center"/>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未来12个月预期信用损失</w:t>
                </w:r>
              </w:p>
            </w:tc>
          </w:sdtContent>
        </w:sdt>
        <w:sdt>
          <w:sdtPr>
            <w:rPr>
              <w:rFonts w:hint="default" w:ascii="Times New Roman" w:hAnsi="Times New Roman" w:cs="Times New Roman"/>
            </w:rPr>
            <w:tag w:val="_PLD_4c23d250a4214769af939ed6c6506e15"/>
            <w:id w:val="28178"/>
          </w:sdtPr>
          <w:sdtEndPr>
            <w:rPr>
              <w:rFonts w:hint="default" w:ascii="Times New Roman" w:hAnsi="Times New Roman" w:cs="Times New Roman"/>
            </w:rPr>
          </w:sdtEndPr>
          <w:sdtContent>
            <w:tc>
              <w:tcPr>
                <w:tcW w:w="1097" w:type="pct"/>
                <w:vAlign w:val="center"/>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整个存续期预期信用损失(未发生信用减值)</w:t>
                </w:r>
              </w:p>
            </w:tc>
          </w:sdtContent>
        </w:sdt>
        <w:sdt>
          <w:sdtPr>
            <w:rPr>
              <w:rFonts w:hint="default" w:ascii="Times New Roman" w:hAnsi="Times New Roman" w:cs="Times New Roman"/>
            </w:rPr>
            <w:tag w:val="_PLD_96f4d1ff5d1541a5bcedcc9d7d297735"/>
            <w:id w:val="28179"/>
          </w:sdtPr>
          <w:sdtEndPr>
            <w:rPr>
              <w:rFonts w:hint="default" w:ascii="Times New Roman" w:hAnsi="Times New Roman" w:cs="Times New Roman"/>
            </w:rPr>
          </w:sdtEndPr>
          <w:sdtContent>
            <w:tc>
              <w:tcPr>
                <w:tcW w:w="1097" w:type="pct"/>
                <w:vAlign w:val="center"/>
              </w:tcPr>
              <w:p>
                <w:pPr>
                  <w:pStyle w:val="105"/>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整个存续期预期信用损失(已发生信用减值)</w:t>
                </w:r>
              </w:p>
            </w:tc>
          </w:sdtContent>
        </w:sdt>
        <w:tc>
          <w:tcPr>
            <w:tcW w:w="943" w:type="pct"/>
            <w:vMerge w:val="continue"/>
          </w:tcPr>
          <w:p>
            <w:pPr>
              <w:jc w:val="center"/>
              <w:rPr>
                <w:rFonts w:hint="default" w:ascii="Times New Roman" w:hAnsi="Times New Roman" w:cs="Times New Roman"/>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2023年1月1日余额</w:t>
            </w:r>
          </w:p>
        </w:tc>
        <w:tc>
          <w:tcPr>
            <w:tcW w:w="1560" w:type="dxa"/>
            <w:vAlign w:val="center"/>
          </w:tcPr>
          <w:p>
            <w:pPr>
              <w:widowControl/>
              <w:spacing w:line="240" w:lineRule="auto"/>
              <w:ind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 xml:space="preserve">5,802,471.59 </w:t>
            </w:r>
          </w:p>
        </w:tc>
        <w:tc>
          <w:tcPr>
            <w:tcW w:w="1985" w:type="dxa"/>
            <w:vAlign w:val="center"/>
          </w:tcPr>
          <w:p>
            <w:pPr>
              <w:widowControl/>
              <w:spacing w:line="240" w:lineRule="auto"/>
              <w:ind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 xml:space="preserve"> </w:t>
            </w:r>
          </w:p>
        </w:tc>
        <w:tc>
          <w:tcPr>
            <w:tcW w:w="1097"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61,281,436.14</w:t>
            </w:r>
          </w:p>
        </w:tc>
        <w:tc>
          <w:tcPr>
            <w:tcW w:w="943"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67,083,907.73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2023年1月1日余额在本期</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--转入第二阶段</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--转入第三阶段</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--转回第二阶段</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--转回第一阶段</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本期计提</w:t>
            </w:r>
          </w:p>
        </w:tc>
        <w:tc>
          <w:tcPr>
            <w:tcW w:w="862"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436,048.01</w:t>
            </w: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436,048.01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本期转回</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本期转销</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本期核销</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其他变动</w:t>
            </w:r>
          </w:p>
        </w:tc>
        <w:tc>
          <w:tcPr>
            <w:tcW w:w="862"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p>
        </w:tc>
        <w:tc>
          <w:tcPr>
            <w:tcW w:w="943" w:type="pct"/>
            <w:vAlign w:val="center"/>
          </w:tcPr>
          <w:p>
            <w:pPr>
              <w:jc w:val="right"/>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105"/>
              <w:spacing w:after="0"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2023年12月31日余额</w:t>
            </w:r>
          </w:p>
        </w:tc>
        <w:tc>
          <w:tcPr>
            <w:tcW w:w="862"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6,238,519.60</w:t>
            </w:r>
          </w:p>
        </w:tc>
        <w:tc>
          <w:tcPr>
            <w:tcW w:w="1097" w:type="pct"/>
            <w:vAlign w:val="center"/>
          </w:tcPr>
          <w:p>
            <w:pPr>
              <w:jc w:val="right"/>
              <w:rPr>
                <w:rFonts w:hint="default" w:ascii="Times New Roman" w:hAnsi="Times New Roman" w:cs="Times New Roman"/>
                <w:sz w:val="21"/>
                <w:szCs w:val="21"/>
              </w:rPr>
            </w:pPr>
          </w:p>
        </w:tc>
        <w:tc>
          <w:tcPr>
            <w:tcW w:w="1097"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61,281,436.14</w:t>
            </w:r>
          </w:p>
        </w:tc>
        <w:tc>
          <w:tcPr>
            <w:tcW w:w="943" w:type="pct"/>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67,519,955.74 </w:t>
            </w:r>
          </w:p>
        </w:tc>
      </w:tr>
    </w:tbl>
    <w:p/>
    <w:p>
      <w:pPr>
        <w:autoSpaceDE w:val="0"/>
        <w:autoSpaceDN w:val="0"/>
        <w:adjustRightInd w:val="0"/>
        <w:ind w:right="105" w:rightChars="50"/>
        <w:rPr>
          <w:rFonts w:hint="eastAsia"/>
          <w:szCs w:val="21"/>
          <w:highlight w:val="none"/>
        </w:rPr>
      </w:pPr>
      <w:r>
        <w:rPr>
          <w:rFonts w:hint="eastAsia"/>
          <w:szCs w:val="21"/>
          <w:highlight w:val="none"/>
        </w:rPr>
        <w:t>各阶段划分依据和坏账准备计提比例</w:t>
      </w:r>
    </w:p>
    <w:p>
      <w:pPr>
        <w:autoSpaceDE w:val="0"/>
        <w:autoSpaceDN w:val="0"/>
        <w:adjustRightInd w:val="0"/>
        <w:ind w:right="105" w:rightChars="50"/>
        <w:rPr>
          <w:rFonts w:hint="eastAsia"/>
          <w:szCs w:val="21"/>
          <w:highlight w:val="none"/>
        </w:rPr>
      </w:pPr>
    </w:p>
    <w:sdt>
      <w:sdtPr>
        <w:rPr>
          <w:rFonts w:cs="Times New Roman"/>
          <w:bCs/>
          <w:szCs w:val="22"/>
          <w:highlight w:val="none"/>
        </w:rPr>
        <w:alias w:val="其他应收款各阶段划分依据和坏账准备计提比例"/>
        <w:tag w:val="_GBC_3c3eb8d29e064b68909ad636fcd177ff"/>
        <w:id w:val="28180"/>
        <w:placeholder>
          <w:docPart w:val="GBC22222222222222222222222222222"/>
        </w:placeholder>
      </w:sdtPr>
      <w:sdtEndPr>
        <w:rPr>
          <w:rFonts w:cs="Times New Roman"/>
          <w:bCs/>
          <w:szCs w:val="22"/>
          <w:highlight w:val="yellow"/>
        </w:rPr>
      </w:sdtEndPr>
      <w:sdtContent>
        <w:p>
          <w:pPr>
            <w:rPr>
              <w:rFonts w:hint="eastAsia" w:ascii="Times New Roman" w:hAnsi="Times New Roman" w:cs="Times New Roman"/>
              <w:bCs/>
              <w:sz w:val="21"/>
              <w:szCs w:val="22"/>
              <w:highlight w:val="none"/>
            </w:rPr>
          </w:pPr>
          <w:r>
            <w:rPr>
              <w:rFonts w:hint="eastAsia" w:ascii="Times New Roman" w:hAnsi="Times New Roman" w:cs="Times New Roman"/>
              <w:bCs/>
              <w:sz w:val="21"/>
              <w:szCs w:val="22"/>
              <w:highlight w:val="none"/>
            </w:rPr>
            <w:t xml:space="preserve">①其他应收款自初始确认后信用风险未显著增加的，处于第一阶段，本公司按照未来 12 个月内的预期信用损失计量损失准备； </w:t>
          </w:r>
        </w:p>
        <w:p>
          <w:pPr>
            <w:rPr>
              <w:rFonts w:hint="eastAsia" w:ascii="Times New Roman" w:hAnsi="Times New Roman" w:cs="Times New Roman"/>
              <w:bCs/>
              <w:sz w:val="21"/>
              <w:szCs w:val="22"/>
              <w:highlight w:val="none"/>
            </w:rPr>
          </w:pPr>
        </w:p>
        <w:p>
          <w:pPr>
            <w:rPr>
              <w:rFonts w:hint="eastAsia" w:ascii="Times New Roman" w:hAnsi="Times New Roman" w:cs="Times New Roman"/>
              <w:bCs/>
              <w:sz w:val="21"/>
              <w:szCs w:val="22"/>
              <w:highlight w:val="none"/>
            </w:rPr>
          </w:pPr>
          <w:r>
            <w:rPr>
              <w:rFonts w:hint="eastAsia" w:ascii="Times New Roman" w:hAnsi="Times New Roman" w:cs="Times New Roman"/>
              <w:bCs/>
              <w:sz w:val="21"/>
              <w:szCs w:val="22"/>
              <w:highlight w:val="none"/>
            </w:rPr>
            <w:t xml:space="preserve">②其他应收款自初始确认后信用风险已显著增加但尚未发生信用减值的，处于第二阶段，本公司按照该工具整个存续期的预期信用损失计量损失准备； </w:t>
          </w:r>
        </w:p>
        <w:p>
          <w:pPr>
            <w:rPr>
              <w:rFonts w:hint="eastAsia" w:ascii="Times New Roman" w:hAnsi="Times New Roman" w:cs="Times New Roman"/>
              <w:bCs/>
              <w:sz w:val="21"/>
              <w:szCs w:val="22"/>
              <w:highlight w:val="none"/>
            </w:rPr>
          </w:pPr>
        </w:p>
        <w:p>
          <w:pPr>
            <w:rPr>
              <w:rFonts w:cs="Times New Roman"/>
              <w:bCs/>
              <w:szCs w:val="22"/>
              <w:highlight w:val="yellow"/>
            </w:rPr>
          </w:pPr>
          <w:r>
            <w:rPr>
              <w:rFonts w:hint="eastAsia" w:ascii="Times New Roman" w:hAnsi="Times New Roman" w:cs="Times New Roman"/>
              <w:bCs/>
              <w:sz w:val="21"/>
              <w:szCs w:val="22"/>
              <w:highlight w:val="none"/>
            </w:rPr>
            <w:t>③其他应收款自初始确认后已经发生信用减值的，处于第三阶段，本公司按照该工具整个存续期的预期信用损失计量损失准备。</w:t>
          </w:r>
        </w:p>
      </w:sdtContent>
    </w:sdt>
    <w:p>
      <w:pPr>
        <w:rPr>
          <w:rFonts w:cs="Times New Roman"/>
          <w:bCs/>
          <w:szCs w:val="22"/>
          <w:highlight w:val="none"/>
        </w:rPr>
      </w:pPr>
    </w:p>
    <w:p>
      <w:pPr>
        <w:pStyle w:val="87"/>
        <w:rPr>
          <w:highlight w:val="none"/>
        </w:rPr>
      </w:pPr>
      <w:r>
        <w:rPr>
          <w:rFonts w:hint="eastAsia"/>
          <w:highlight w:val="none"/>
        </w:rPr>
        <w:t>对本期发生损失准备变动的其他应收款账面余额显著变动的情况说明：</w:t>
      </w:r>
    </w:p>
    <w:sdt>
      <w:sdtPr>
        <w:rPr>
          <w:highlight w:val="none"/>
        </w:rPr>
        <w:alias w:val="是否适用：母公司其他应收款本期发生损失准备变动且账面余额显著变动的情况说明[双击切换]"/>
        <w:tag w:val="_GBC_ef54a1b6105d438ab26e495100db4163"/>
        <w:id w:val="28181"/>
        <w:placeholder>
          <w:docPart w:val="GBC22222222222222222222222222222"/>
        </w:placeholder>
      </w:sdtPr>
      <w:sdtEndPr>
        <w:rPr>
          <w:highlight w:val="yellow"/>
        </w:rPr>
      </w:sdtEndPr>
      <w:sdtContent>
        <w:p>
          <w:pPr>
            <w:outlineLvl w:val="9"/>
            <w:rPr>
              <w:highlight w:val="yellow"/>
            </w:rPr>
          </w:pPr>
          <w:r>
            <w:rPr>
              <w:highlight w:val="none"/>
            </w:rPr>
            <w:fldChar w:fldCharType="begin"/>
          </w:r>
          <w:r>
            <w:rPr>
              <w:rFonts w:hint="eastAsia"/>
              <w:highlight w:val="none"/>
              <w:lang w:eastAsia="zh-CN"/>
            </w:rPr>
            <w:instrText xml:space="preserve"> MACROBUTTON  SnrToggleCheckbox □适用 </w:instrText>
          </w:r>
          <w:r>
            <w:rPr>
              <w:highlight w:val="none"/>
            </w:rPr>
            <w:fldChar w:fldCharType="end"/>
          </w:r>
          <w:r>
            <w:rPr>
              <w:highlight w:val="none"/>
            </w:rPr>
            <w:fldChar w:fldCharType="begin"/>
          </w:r>
          <w:r>
            <w:rPr>
              <w:rFonts w:hint="eastAsia"/>
              <w:highlight w:val="none"/>
              <w:lang w:eastAsia="zh-CN"/>
            </w:rPr>
            <w:instrText xml:space="preserve"> MACROBUTTON  SnrToggleCheckbox √不适用 </w:instrText>
          </w:r>
          <w:r>
            <w:rPr>
              <w:highlight w:val="none"/>
            </w:rPr>
            <w:fldChar w:fldCharType="end"/>
          </w:r>
        </w:p>
      </w:sdtContent>
    </w:sdt>
    <w:p>
      <w:pPr>
        <w:rPr>
          <w:highlight w:val="yellow"/>
        </w:rPr>
      </w:pPr>
    </w:p>
    <w:bookmarkEnd w:id="353"/>
    <w:p>
      <w:bookmarkStart w:id="354"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28182"/>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bookmarkEnd w:id="354"/>
    <w:p>
      <w:pPr>
        <w:pStyle w:val="6"/>
        <w:numPr>
          <w:ilvl w:val="0"/>
          <w:numId w:val="136"/>
        </w:numPr>
        <w:ind w:leftChars="0"/>
        <w:rPr>
          <w:rFonts w:cs="宋体" w:asciiTheme="minorHAnsi" w:hAnsiTheme="minorHAnsi"/>
          <w:kern w:val="0"/>
          <w:szCs w:val="22"/>
        </w:rPr>
      </w:pPr>
      <w:bookmarkStart w:id="355" w:name="_Hlk533797618"/>
      <w:bookmarkStart w:id="356" w:name="_Hlk153797908"/>
      <w:r>
        <w:rPr>
          <w:rFonts w:hint="eastAsia" w:cs="宋体" w:asciiTheme="minorHAnsi" w:hAnsiTheme="minorHAnsi"/>
          <w:kern w:val="0"/>
          <w:szCs w:val="22"/>
        </w:rPr>
        <w:t>坏账准备的情况</w:t>
      </w:r>
    </w:p>
    <w:sdt>
      <w:sdtPr>
        <w:alias w:val="是否适用：母公司其他应收款坏账准备情况[双击切换]"/>
        <w:tag w:val="_GBC_fe964b2b8e824335995eaad4df852022"/>
        <w:id w:val="28183"/>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
      <w:r>
        <w:rPr>
          <w:rFonts w:hint="eastAsia"/>
        </w:rPr>
        <w:t>其中本期坏账准备转回或收回金额重要的：</w:t>
      </w:r>
    </w:p>
    <w:sdt>
      <w:sdtPr>
        <w:alias w:val="是否适用：母公司其他应收款坏账准备转回或收回金额重要的[双击切换]"/>
        <w:tag w:val="_GBC_f8ce6c07169e42188641fc1bc1ab86d4"/>
        <w:id w:val="28184"/>
        <w:placeholder>
          <w:docPart w:val="GBC22222222222222222222222222222"/>
        </w:placeholder>
      </w:sdtPr>
      <w:sdtContent>
        <w:p>
          <w:pPr>
            <w:ind w:right="-1594" w:rightChars="-75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bookmarkEnd w:id="355"/>
        </w:p>
      </w:sdtContent>
    </w:sdt>
    <w:p>
      <w:pPr>
        <w:ind w:right="-1594" w:rightChars="-759"/>
        <w:rPr>
          <w:szCs w:val="21"/>
        </w:rPr>
      </w:pPr>
      <w:r>
        <w:rPr>
          <w:rFonts w:hint="eastAsia"/>
          <w:szCs w:val="21"/>
        </w:rPr>
        <w:t>其他说明</w:t>
      </w:r>
    </w:p>
    <w:sdt>
      <w:sdtPr>
        <w:rPr>
          <w:szCs w:val="21"/>
        </w:rPr>
        <w:alias w:val="其他应收款坏账准备情况的说明"/>
        <w:tag w:val="_GBC_66f33e1d4ef94cf78a5265ef0130e24d"/>
        <w:id w:val="28185"/>
        <w:placeholder>
          <w:docPart w:val="GBC22222222222222222222222222222"/>
        </w:placeholder>
      </w:sdtPr>
      <w:sdtEndPr>
        <w:rPr>
          <w:szCs w:val="21"/>
        </w:rPr>
      </w:sdtEndPr>
      <w:sdtContent>
        <w:p>
          <w:pPr>
            <w:ind w:right="-1594" w:rightChars="-759"/>
            <w:rPr>
              <w:szCs w:val="21"/>
            </w:rPr>
          </w:pPr>
          <w:r>
            <w:rPr>
              <w:rFonts w:hint="eastAsia"/>
              <w:szCs w:val="21"/>
              <w:lang w:eastAsia="zh-CN"/>
            </w:rPr>
            <w:t>无</w:t>
          </w:r>
        </w:p>
      </w:sdtContent>
    </w:sdt>
    <w:bookmarkEnd w:id="356"/>
    <w:p>
      <w:pPr>
        <w:pStyle w:val="6"/>
        <w:numPr>
          <w:ilvl w:val="0"/>
          <w:numId w:val="136"/>
        </w:numPr>
        <w:ind w:leftChars="0"/>
        <w:rPr>
          <w:rFonts w:cs="宋体" w:asciiTheme="minorHAnsi" w:hAnsiTheme="minorHAnsi"/>
          <w:kern w:val="0"/>
          <w:szCs w:val="22"/>
        </w:rPr>
      </w:pPr>
      <w:r>
        <w:rPr>
          <w:rFonts w:hint="eastAsia" w:cs="宋体" w:asciiTheme="minorHAnsi" w:hAnsiTheme="minorHAnsi"/>
          <w:kern w:val="0"/>
          <w:szCs w:val="22"/>
        </w:rPr>
        <w:t>本期实际核销的其他应收款情况</w:t>
      </w:r>
    </w:p>
    <w:sdt>
      <w:sdtPr>
        <w:alias w:val="是否适用：母公司本期实际核销的其他应收款情况[双击切换]"/>
        <w:tag w:val="_GBC_1513ed448adb4dda8e855e090428591f"/>
        <w:id w:val="28186"/>
        <w:placeholder>
          <w:docPart w:val="GBC22222222222222222222222222222"/>
        </w:placeholder>
      </w:sdtPr>
      <w:sdtContent>
        <w:p>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p>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28187"/>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snapToGrid w:val="0"/>
            <w:spacing w:line="240" w:lineRule="atLeast"/>
            <w:rPr>
              <w:szCs w:val="21"/>
            </w:rPr>
          </w:pPr>
        </w:p>
      </w:sdtContent>
    </w:sdt>
    <w:p>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28188"/>
        <w:placeholder>
          <w:docPart w:val="GBC22222222222222222222222222222"/>
        </w:placeholder>
      </w:sdtPr>
      <w:sdtEndPr>
        <w:rPr>
          <w:rFonts w:hint="eastAsia"/>
          <w:szCs w:val="21"/>
        </w:rPr>
      </w:sdtEndPr>
      <w:sdtContent>
        <w:p>
          <w:pPr>
            <w:snapToGrid w:val="0"/>
            <w:spacing w:line="240" w:lineRule="atLeast"/>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p>
          <w:pPr>
            <w:snapToGrid w:val="0"/>
            <w:spacing w:line="240" w:lineRule="atLeast"/>
            <w:outlineLvl w:val="9"/>
          </w:pPr>
        </w:p>
      </w:sdtContent>
    </w:sdt>
    <w:p>
      <w:pPr>
        <w:pStyle w:val="6"/>
        <w:numPr>
          <w:ilvl w:val="0"/>
          <w:numId w:val="136"/>
        </w:numPr>
        <w:ind w:leftChars="0"/>
        <w:rPr>
          <w:rFonts w:cs="宋体" w:asciiTheme="minorHAnsi" w:hAnsiTheme="minorHAnsi"/>
          <w:kern w:val="0"/>
          <w:szCs w:val="22"/>
        </w:rPr>
      </w:pPr>
      <w:bookmarkStart w:id="357" w:name="_Hlk153798048"/>
      <w:r>
        <w:rPr>
          <w:rFonts w:hint="eastAsia" w:cs="宋体" w:asciiTheme="minorHAnsi" w:hAnsiTheme="minorHAnsi"/>
          <w:kern w:val="0"/>
          <w:szCs w:val="22"/>
        </w:rPr>
        <w:t>按欠款方归集的期末余额前五名的其他应收款情况</w:t>
      </w:r>
    </w:p>
    <w:sdt>
      <w:sdtPr>
        <w:alias w:val="是否适用：母公司按欠款方归集的期末余额前五名的其他应收款情况[双击切换]"/>
        <w:tag w:val="_GBC_40b667221c1442478b0cdaa57feca3d8"/>
        <w:id w:val="28189"/>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其他应收账款前五名欠款情况"/>
          <w:tag w:val="_GBC_a5049697dafb47839070e9dec68636fd"/>
          <w:id w:val="281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8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677"/>
        <w:gridCol w:w="1735"/>
        <w:gridCol w:w="934"/>
        <w:gridCol w:w="1828"/>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rPr>
            <w:tag w:val="_PLD_97ae589741524eeaa277e2e3a81b13c6"/>
            <w:id w:val="26022"/>
          </w:sdtPr>
          <w:sdtEndPr>
            <w:rPr>
              <w:rFonts w:hint="default" w:ascii="Times New Roman" w:hAnsi="Times New Roman" w:cs="Times New Roman"/>
            </w:rPr>
          </w:sdtEndPr>
          <w:sdtContent>
            <w:tc>
              <w:tcPr>
                <w:tcW w:w="760" w:type="pct"/>
                <w:vAlign w:val="center"/>
              </w:tcPr>
              <w:p>
                <w:pPr>
                  <w:ind w:right="105"/>
                  <w:jc w:val="center"/>
                  <w:rPr>
                    <w:rFonts w:hint="default" w:ascii="Times New Roman" w:hAnsi="Times New Roman" w:cs="Times New Roman"/>
                    <w:szCs w:val="21"/>
                  </w:rPr>
                </w:pPr>
                <w:r>
                  <w:rPr>
                    <w:rFonts w:hint="default" w:ascii="Times New Roman" w:hAnsi="Times New Roman" w:cs="Times New Roman"/>
                    <w:szCs w:val="21"/>
                  </w:rPr>
                  <w:t>单位名称</w:t>
                </w:r>
              </w:p>
            </w:tc>
          </w:sdtContent>
        </w:sdt>
        <w:sdt>
          <w:sdtPr>
            <w:rPr>
              <w:rFonts w:hint="default" w:ascii="Times New Roman" w:hAnsi="Times New Roman" w:cs="Times New Roman"/>
            </w:rPr>
            <w:tag w:val="_PLD_c22b4ec5955348c988f93a834a184c51"/>
            <w:id w:val="26023"/>
          </w:sdtPr>
          <w:sdtEndPr>
            <w:rPr>
              <w:rFonts w:hint="default" w:ascii="Times New Roman" w:hAnsi="Times New Roman" w:cs="Times New Roman"/>
            </w:rPr>
          </w:sdtEndPr>
          <w:sdtContent>
            <w:tc>
              <w:tcPr>
                <w:tcW w:w="926"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sdt>
          <w:sdtPr>
            <w:rPr>
              <w:rFonts w:hint="default" w:ascii="Times New Roman" w:hAnsi="Times New Roman" w:cs="Times New Roman"/>
            </w:rPr>
            <w:tag w:val="_PLD_a49ad92f72864a62b0f46c5d7fa4a110"/>
            <w:id w:val="26024"/>
          </w:sdtPr>
          <w:sdtEndPr>
            <w:rPr>
              <w:rFonts w:hint="default" w:ascii="Times New Roman" w:hAnsi="Times New Roman" w:cs="Times New Roman"/>
            </w:rPr>
          </w:sdtEndPr>
          <w:sdtContent>
            <w:tc>
              <w:tcPr>
                <w:tcW w:w="95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占其他应收款期末余额合计数的比例(%)</w:t>
                </w:r>
              </w:p>
            </w:tc>
          </w:sdtContent>
        </w:sdt>
        <w:sdt>
          <w:sdtPr>
            <w:rPr>
              <w:rFonts w:hint="default" w:ascii="Times New Roman" w:hAnsi="Times New Roman" w:cs="Times New Roman"/>
            </w:rPr>
            <w:tag w:val="_PLD_c8433b11194a41288fcd24feb3e7d527"/>
            <w:id w:val="26025"/>
          </w:sdtPr>
          <w:sdtEndPr>
            <w:rPr>
              <w:rFonts w:hint="default" w:ascii="Times New Roman" w:hAnsi="Times New Roman" w:cs="Times New Roman"/>
            </w:rPr>
          </w:sdtEndPr>
          <w:sdtContent>
            <w:tc>
              <w:tcPr>
                <w:tcW w:w="516"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款项的性质</w:t>
                </w:r>
              </w:p>
            </w:tc>
          </w:sdtContent>
        </w:sdt>
        <w:sdt>
          <w:sdtPr>
            <w:rPr>
              <w:rFonts w:hint="default" w:ascii="Times New Roman" w:hAnsi="Times New Roman" w:cs="Times New Roman"/>
            </w:rPr>
            <w:tag w:val="_PLD_003c0f3b03b34c10880da6ddba3d0f8c"/>
            <w:id w:val="26026"/>
          </w:sdtPr>
          <w:sdtEndPr>
            <w:rPr>
              <w:rFonts w:hint="default" w:ascii="Times New Roman" w:hAnsi="Times New Roman" w:cs="Times New Roman"/>
            </w:rPr>
          </w:sdtEndPr>
          <w:sdtContent>
            <w:tc>
              <w:tcPr>
                <w:tcW w:w="1010" w:type="pct"/>
                <w:vAlign w:val="center"/>
              </w:tcPr>
              <w:p>
                <w:pPr>
                  <w:ind w:right="73"/>
                  <w:jc w:val="center"/>
                  <w:rPr>
                    <w:rFonts w:hint="default" w:ascii="Times New Roman" w:hAnsi="Times New Roman" w:cs="Times New Roman"/>
                    <w:szCs w:val="21"/>
                  </w:rPr>
                </w:pPr>
                <w:r>
                  <w:rPr>
                    <w:rFonts w:hint="default" w:ascii="Times New Roman" w:hAnsi="Times New Roman" w:cs="Times New Roman"/>
                    <w:szCs w:val="21"/>
                  </w:rPr>
                  <w:t>账龄</w:t>
                </w:r>
              </w:p>
            </w:tc>
          </w:sdtContent>
        </w:sdt>
        <w:sdt>
          <w:sdtPr>
            <w:rPr>
              <w:rFonts w:hint="default" w:ascii="Times New Roman" w:hAnsi="Times New Roman" w:cs="Times New Roman"/>
            </w:rPr>
            <w:tag w:val="_PLD_de96d0c3523e4231935073b8b7dd47be"/>
            <w:id w:val="26027"/>
          </w:sdtPr>
          <w:sdtEndPr>
            <w:rPr>
              <w:rFonts w:hint="default" w:ascii="Times New Roman" w:hAnsi="Times New Roman" w:cs="Times New Roman"/>
            </w:rPr>
          </w:sdtEndPr>
          <w:sdtContent>
            <w:tc>
              <w:tcPr>
                <w:tcW w:w="827"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坏账准备</w:t>
                </w:r>
              </w:p>
              <w:p>
                <w:pPr>
                  <w:jc w:val="center"/>
                  <w:rPr>
                    <w:rFonts w:hint="default" w:ascii="Times New Roman" w:hAnsi="Times New Roman" w:cs="Times New Roman"/>
                    <w:szCs w:val="21"/>
                  </w:rPr>
                </w:pPr>
                <w:r>
                  <w:rPr>
                    <w:rFonts w:hint="default" w:ascii="Times New Roman" w:hAns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Pr>
          <w:p>
            <w:pPr>
              <w:ind w:right="105"/>
              <w:rPr>
                <w:rFonts w:hint="default" w:ascii="Times New Roman" w:hAnsi="Times New Roman" w:cs="Times New Roman"/>
                <w:szCs w:val="21"/>
              </w:rPr>
            </w:pPr>
            <w:r>
              <w:rPr>
                <w:rFonts w:hint="default" w:ascii="Times New Roman" w:hAnsi="Times New Roman" w:cs="Times New Roman"/>
              </w:rPr>
              <w:t>第一名</w:t>
            </w:r>
          </w:p>
        </w:tc>
        <w:tc>
          <w:tcPr>
            <w:tcW w:w="926"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80,554,902.44</w:t>
            </w:r>
          </w:p>
        </w:tc>
        <w:tc>
          <w:tcPr>
            <w:tcW w:w="95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52.98</w:t>
            </w:r>
          </w:p>
        </w:tc>
        <w:tc>
          <w:tcPr>
            <w:tcW w:w="51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往来款</w:t>
            </w:r>
          </w:p>
        </w:tc>
        <w:tc>
          <w:tcPr>
            <w:tcW w:w="1010"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0.5年以内</w:t>
            </w:r>
          </w:p>
        </w:tc>
        <w:tc>
          <w:tcPr>
            <w:tcW w:w="827"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Pr>
          <w:p>
            <w:pPr>
              <w:ind w:right="105"/>
              <w:rPr>
                <w:rFonts w:hint="default" w:ascii="Times New Roman" w:hAnsi="Times New Roman" w:cs="Times New Roman"/>
                <w:szCs w:val="21"/>
              </w:rPr>
            </w:pPr>
            <w:r>
              <w:rPr>
                <w:rFonts w:hint="default" w:ascii="Times New Roman" w:hAnsi="Times New Roman" w:cs="Times New Roman"/>
              </w:rPr>
              <w:t>第二名</w:t>
            </w:r>
          </w:p>
        </w:tc>
        <w:tc>
          <w:tcPr>
            <w:tcW w:w="926"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57,397,224.99</w:t>
            </w:r>
          </w:p>
        </w:tc>
        <w:tc>
          <w:tcPr>
            <w:tcW w:w="95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37.75</w:t>
            </w:r>
          </w:p>
        </w:tc>
        <w:tc>
          <w:tcPr>
            <w:tcW w:w="51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往来款</w:t>
            </w:r>
          </w:p>
        </w:tc>
        <w:tc>
          <w:tcPr>
            <w:tcW w:w="1010"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57,397,224.99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Pr>
          <w:p>
            <w:pPr>
              <w:ind w:right="105"/>
              <w:rPr>
                <w:rFonts w:hint="default" w:ascii="Times New Roman" w:hAnsi="Times New Roman" w:cs="Times New Roman"/>
                <w:szCs w:val="21"/>
              </w:rPr>
            </w:pPr>
            <w:r>
              <w:rPr>
                <w:rFonts w:hint="default" w:ascii="Times New Roman" w:hAnsi="Times New Roman" w:cs="Times New Roman"/>
              </w:rPr>
              <w:t>第三名</w:t>
            </w:r>
          </w:p>
        </w:tc>
        <w:tc>
          <w:tcPr>
            <w:tcW w:w="926"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3,504,455.85</w:t>
            </w:r>
          </w:p>
        </w:tc>
        <w:tc>
          <w:tcPr>
            <w:tcW w:w="95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2.30</w:t>
            </w:r>
          </w:p>
        </w:tc>
        <w:tc>
          <w:tcPr>
            <w:tcW w:w="51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往来款</w:t>
            </w:r>
          </w:p>
        </w:tc>
        <w:tc>
          <w:tcPr>
            <w:tcW w:w="1010"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3,504,455.85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Pr>
          <w:p>
            <w:pPr>
              <w:ind w:right="105"/>
              <w:rPr>
                <w:rFonts w:hint="default" w:ascii="Times New Roman" w:hAnsi="Times New Roman" w:cs="Times New Roman"/>
                <w:szCs w:val="21"/>
              </w:rPr>
            </w:pPr>
            <w:r>
              <w:rPr>
                <w:rFonts w:hint="default" w:ascii="Times New Roman" w:hAnsi="Times New Roman" w:cs="Times New Roman"/>
              </w:rPr>
              <w:t>第四名</w:t>
            </w:r>
          </w:p>
        </w:tc>
        <w:tc>
          <w:tcPr>
            <w:tcW w:w="926"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2,000,000.00</w:t>
            </w:r>
          </w:p>
        </w:tc>
        <w:tc>
          <w:tcPr>
            <w:tcW w:w="95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1.32</w:t>
            </w:r>
          </w:p>
        </w:tc>
        <w:tc>
          <w:tcPr>
            <w:tcW w:w="51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往来款</w:t>
            </w:r>
          </w:p>
        </w:tc>
        <w:tc>
          <w:tcPr>
            <w:tcW w:w="1010"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2,000,000.00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Pr>
          <w:p>
            <w:pPr>
              <w:ind w:right="105"/>
              <w:rPr>
                <w:rFonts w:hint="default" w:ascii="Times New Roman" w:hAnsi="Times New Roman" w:cs="Times New Roman"/>
                <w:szCs w:val="21"/>
              </w:rPr>
            </w:pPr>
            <w:r>
              <w:rPr>
                <w:rFonts w:hint="default" w:ascii="Times New Roman" w:hAnsi="Times New Roman" w:cs="Times New Roman"/>
              </w:rPr>
              <w:t>第五名</w:t>
            </w:r>
          </w:p>
        </w:tc>
        <w:tc>
          <w:tcPr>
            <w:tcW w:w="926"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452,770.00</w:t>
            </w:r>
          </w:p>
        </w:tc>
        <w:tc>
          <w:tcPr>
            <w:tcW w:w="95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0.30</w:t>
            </w:r>
          </w:p>
        </w:tc>
        <w:tc>
          <w:tcPr>
            <w:tcW w:w="516" w:type="pct"/>
            <w:vAlign w:val="center"/>
          </w:tcPr>
          <w:p>
            <w:pPr>
              <w:ind w:right="73"/>
              <w:jc w:val="right"/>
              <w:rPr>
                <w:rFonts w:hint="default" w:ascii="Times New Roman" w:hAnsi="Times New Roman" w:cs="Times New Roman"/>
                <w:szCs w:val="21"/>
              </w:rPr>
            </w:pPr>
            <w:r>
              <w:rPr>
                <w:rFonts w:hint="default" w:ascii="Times New Roman" w:hAnsi="Times New Roman" w:cs="Times New Roman"/>
              </w:rPr>
              <w:t>往来款</w:t>
            </w:r>
          </w:p>
        </w:tc>
        <w:tc>
          <w:tcPr>
            <w:tcW w:w="1010"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5年以上</w:t>
            </w:r>
          </w:p>
        </w:tc>
        <w:tc>
          <w:tcPr>
            <w:tcW w:w="8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452,770.00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Pr>
          <w:p>
            <w:pPr>
              <w:ind w:right="105"/>
              <w:jc w:val="center"/>
              <w:rPr>
                <w:rFonts w:hint="default" w:ascii="Times New Roman" w:hAnsi="Times New Roman" w:cs="Times New Roman"/>
                <w:szCs w:val="21"/>
              </w:rPr>
            </w:pPr>
            <w:r>
              <w:rPr>
                <w:rFonts w:hint="default" w:ascii="Times New Roman" w:hAnsi="Times New Roman" w:cs="Times New Roman"/>
                <w:szCs w:val="21"/>
              </w:rPr>
              <w:t>合计</w:t>
            </w:r>
          </w:p>
        </w:tc>
        <w:tc>
          <w:tcPr>
            <w:tcW w:w="926" w:type="pct"/>
            <w:vAlign w:val="center"/>
          </w:tcPr>
          <w:p>
            <w:pPr>
              <w:ind w:right="73"/>
              <w:jc w:val="right"/>
              <w:rPr>
                <w:rFonts w:hint="default" w:ascii="Times New Roman" w:hAnsi="Times New Roman" w:cs="Times New Roman"/>
                <w:szCs w:val="21"/>
              </w:rPr>
            </w:pPr>
            <w:r>
              <w:rPr>
                <w:rFonts w:hint="default" w:ascii="Times New Roman" w:hAnsi="Times New Roman" w:cs="Times New Roman"/>
                <w:color w:val="auto"/>
              </w:rPr>
              <w:t>143,909,353.28</w:t>
            </w:r>
          </w:p>
        </w:tc>
        <w:tc>
          <w:tcPr>
            <w:tcW w:w="95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94.65</w:t>
            </w:r>
          </w:p>
        </w:tc>
        <w:tc>
          <w:tcPr>
            <w:tcW w:w="516" w:type="pct"/>
            <w:vAlign w:val="center"/>
          </w:tcPr>
          <w:p>
            <w:pPr>
              <w:ind w:right="73"/>
              <w:jc w:val="right"/>
              <w:rPr>
                <w:rFonts w:hint="default" w:ascii="Times New Roman" w:hAnsi="Times New Roman" w:cs="Times New Roman"/>
                <w:szCs w:val="21"/>
              </w:rPr>
            </w:pPr>
            <w:r>
              <w:rPr>
                <w:rFonts w:hint="default" w:ascii="Times New Roman" w:hAnsi="Times New Roman" w:cs="Times New Roman"/>
                <w:szCs w:val="21"/>
              </w:rPr>
              <w:t>/</w:t>
            </w:r>
          </w:p>
        </w:tc>
        <w:tc>
          <w:tcPr>
            <w:tcW w:w="1010" w:type="pct"/>
            <w:vAlign w:val="center"/>
          </w:tcPr>
          <w:p>
            <w:pPr>
              <w:ind w:right="73"/>
              <w:jc w:val="right"/>
              <w:rPr>
                <w:rFonts w:hint="default" w:ascii="Times New Roman" w:hAnsi="Times New Roman" w:cs="Times New Roman"/>
                <w:szCs w:val="21"/>
              </w:rPr>
            </w:pPr>
            <w:r>
              <w:rPr>
                <w:rFonts w:hint="default" w:ascii="Times New Roman" w:hAnsi="Times New Roman" w:cs="Times New Roman"/>
                <w:szCs w:val="21"/>
              </w:rPr>
              <w:t>/</w:t>
            </w:r>
          </w:p>
        </w:tc>
        <w:tc>
          <w:tcPr>
            <w:tcW w:w="827"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63,354,450.84</w:t>
            </w:r>
          </w:p>
        </w:tc>
      </w:tr>
    </w:tbl>
    <w:p/>
    <w:p/>
    <w:p/>
    <w:p/>
    <w:p/>
    <w:bookmarkEnd w:id="357"/>
    <w:p>
      <w:pPr>
        <w:pStyle w:val="6"/>
        <w:numPr>
          <w:ilvl w:val="0"/>
          <w:numId w:val="136"/>
        </w:numPr>
        <w:ind w:leftChars="0"/>
        <w:rPr>
          <w:rFonts w:cs="宋体" w:asciiTheme="minorHAnsi" w:hAnsiTheme="minorHAnsi"/>
          <w:kern w:val="0"/>
          <w:szCs w:val="22"/>
        </w:rPr>
      </w:pPr>
      <w:bookmarkStart w:id="358" w:name="_Hlk153798113"/>
      <w:r>
        <w:rPr>
          <w:rFonts w:cs="宋体" w:asciiTheme="minorHAnsi" w:hAnsiTheme="minorHAnsi"/>
          <w:kern w:val="0"/>
          <w:szCs w:val="22"/>
        </w:rPr>
        <w:t>因资金集中管理而列报于其他应收款</w:t>
      </w:r>
    </w:p>
    <w:sdt>
      <w:sdtPr>
        <w:alias w:val="是否适用：母公司因资金集中管理而列报于其他应收款[双击切换]"/>
        <w:tag w:val="_GBC_618dc514c72c4f30836fe51ef5fc4589"/>
        <w:id w:val="28198"/>
        <w:placeholder>
          <w:docPart w:val="GBC22222222222222222222222222222"/>
        </w:placeholder>
      </w:sdtPr>
      <w:sdtContent>
        <w:p>
          <w:pPr>
            <w:snapToGrid w:val="0"/>
            <w:spacing w:line="240" w:lineRule="atLeast"/>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358"/>
    <w:p>
      <w:pPr>
        <w:rPr>
          <w:rFonts w:hint="eastAsia" w:eastAsia="宋体"/>
          <w:lang w:val="en-US" w:eastAsia="zh-CN"/>
        </w:rPr>
      </w:pPr>
      <w:r>
        <w:rPr>
          <w:rFonts w:hint="eastAsia"/>
        </w:rPr>
        <w:t>其他</w:t>
      </w:r>
      <w:r>
        <w:t>说明：</w:t>
      </w:r>
      <w:r>
        <w:rPr>
          <w:rFonts w:hint="eastAsia"/>
          <w:lang w:val="en-US" w:eastAsia="zh-CN"/>
        </w:rPr>
        <w:t>无</w:t>
      </w:r>
    </w:p>
    <w:sdt>
      <w:sdtPr>
        <w:rPr>
          <w:rFonts w:hint="eastAsia"/>
          <w:szCs w:val="21"/>
        </w:rPr>
        <w:alias w:val="是否适用：母公司其他应收款的其他说明[双击切换]"/>
        <w:tag w:val="_GBC_479bc9ed241548c695a3905f38eb23fd"/>
        <w:id w:val="28199"/>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pStyle w:val="4"/>
        <w:numPr>
          <w:ilvl w:val="0"/>
          <w:numId w:val="132"/>
        </w:numPr>
        <w:rPr>
          <w:rFonts w:ascii="宋体" w:hAnsi="宋体"/>
          <w:szCs w:val="21"/>
        </w:rPr>
      </w:pPr>
      <w:r>
        <w:rPr>
          <w:rFonts w:hint="eastAsia" w:ascii="宋体" w:hAnsi="宋体"/>
          <w:szCs w:val="21"/>
        </w:rPr>
        <w:t>长期股权投资</w:t>
      </w:r>
    </w:p>
    <w:sdt>
      <w:sdtPr>
        <w:alias w:val="是否适用：母公司长期股权投资[双击切换]"/>
        <w:tag w:val="_GBC_57a2f87498c64eab83308bdf3afc6268"/>
        <w:id w:val="28200"/>
        <w:lock w:val="contentLocked"/>
        <w:placeholder>
          <w:docPart w:val="GBC22222222222222222222222222222"/>
        </w:placeholder>
      </w:sdtPr>
      <w:sdtContent>
        <w:p>
          <w:pPr>
            <w:outlineLvl w:val="9"/>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长期股权投资"/>
          <w:tag w:val="_GBC_9d11e81055cb4017a0055a75ae95ae64"/>
          <w:id w:val="28201"/>
          <w:placeholder>
            <w:docPart w:val="{1b4f9bce-7f02-4e5d-aa2f-1c3e0dbb1de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28202"/>
          <w:placeholder>
            <w:docPart w:val="{1b4f9bce-7f02-4e5d-aa2f-1c3e0dbb1d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341"/>
        <w:gridCol w:w="1251"/>
        <w:gridCol w:w="1342"/>
        <w:gridCol w:w="1341"/>
        <w:gridCol w:w="1251"/>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default" w:ascii="Times New Roman" w:hAnsi="Times New Roman" w:cs="Times New Roman"/>
              <w:sz w:val="18"/>
              <w:szCs w:val="18"/>
            </w:rPr>
            <w:tag w:val="_PLD_0747ffd7336145fcb6d5e622fab54966"/>
            <w:id w:val="28203"/>
          </w:sdtPr>
          <w:sdtEndPr>
            <w:rPr>
              <w:rFonts w:hint="default" w:ascii="Times New Roman" w:hAnsi="Times New Roman" w:cs="Times New Roman"/>
              <w:sz w:val="18"/>
              <w:szCs w:val="18"/>
            </w:rPr>
          </w:sdtEndPr>
          <w:sdtContent>
            <w:tc>
              <w:tcPr>
                <w:tcW w:w="653" w:type="pct"/>
                <w:vMerge w:val="restar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sdtContent>
        </w:sdt>
        <w:sdt>
          <w:sdtPr>
            <w:rPr>
              <w:rFonts w:hint="default" w:ascii="Times New Roman" w:hAnsi="Times New Roman" w:cs="Times New Roman"/>
              <w:sz w:val="18"/>
              <w:szCs w:val="18"/>
            </w:rPr>
            <w:tag w:val="_PLD_0b9f6f6d89c44029bf1de3ed5f6a4aa0"/>
            <w:id w:val="28204"/>
          </w:sdtPr>
          <w:sdtEndPr>
            <w:rPr>
              <w:rFonts w:hint="default" w:ascii="Times New Roman" w:hAnsi="Times New Roman" w:cs="Times New Roman"/>
              <w:sz w:val="18"/>
              <w:szCs w:val="18"/>
            </w:rPr>
          </w:sdtEndPr>
          <w:sdtContent>
            <w:tc>
              <w:tcPr>
                <w:tcW w:w="2173" w:type="pct"/>
                <w:gridSpan w:val="3"/>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期末余额</w:t>
                </w:r>
              </w:p>
            </w:tc>
          </w:sdtContent>
        </w:sdt>
        <w:sdt>
          <w:sdtPr>
            <w:rPr>
              <w:rFonts w:hint="default" w:ascii="Times New Roman" w:hAnsi="Times New Roman" w:cs="Times New Roman"/>
              <w:sz w:val="18"/>
              <w:szCs w:val="18"/>
            </w:rPr>
            <w:tag w:val="_PLD_d1ebeae29ff34029a10a8e0c447a171b"/>
            <w:id w:val="28205"/>
          </w:sdtPr>
          <w:sdtEndPr>
            <w:rPr>
              <w:rFonts w:hint="default" w:ascii="Times New Roman" w:hAnsi="Times New Roman" w:cs="Times New Roman"/>
              <w:sz w:val="18"/>
              <w:szCs w:val="18"/>
            </w:rPr>
          </w:sdtEndPr>
          <w:sdtContent>
            <w:tc>
              <w:tcPr>
                <w:tcW w:w="2173" w:type="pct"/>
                <w:gridSpan w:val="3"/>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pct"/>
            <w:vMerge w:val="continue"/>
            <w:shd w:val="clear" w:color="auto" w:fill="auto"/>
            <w:vAlign w:val="center"/>
          </w:tcPr>
          <w:p>
            <w:pPr>
              <w:jc w:val="center"/>
              <w:rPr>
                <w:rFonts w:hint="default" w:ascii="Times New Roman" w:hAnsi="Times New Roman" w:cs="Times New Roman"/>
                <w:sz w:val="18"/>
                <w:szCs w:val="18"/>
              </w:rPr>
            </w:pPr>
          </w:p>
        </w:tc>
        <w:sdt>
          <w:sdtPr>
            <w:rPr>
              <w:rFonts w:hint="default" w:ascii="Times New Roman" w:hAnsi="Times New Roman" w:cs="Times New Roman"/>
              <w:sz w:val="18"/>
              <w:szCs w:val="18"/>
            </w:rPr>
            <w:tag w:val="_PLD_dd00c7deeb1e4ede9c3e40d64760a230"/>
            <w:id w:val="28206"/>
          </w:sdtPr>
          <w:sdtEndPr>
            <w:rPr>
              <w:rFonts w:hint="default" w:ascii="Times New Roman" w:hAnsi="Times New Roman" w:cs="Times New Roman"/>
              <w:sz w:val="18"/>
              <w:szCs w:val="18"/>
            </w:rPr>
          </w:sdtEndPr>
          <w:sdtContent>
            <w:tc>
              <w:tcPr>
                <w:tcW w:w="740"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账面余额</w:t>
                </w:r>
              </w:p>
            </w:tc>
          </w:sdtContent>
        </w:sdt>
        <w:sdt>
          <w:sdtPr>
            <w:rPr>
              <w:rFonts w:hint="default" w:ascii="Times New Roman" w:hAnsi="Times New Roman" w:cs="Times New Roman"/>
              <w:sz w:val="18"/>
              <w:szCs w:val="18"/>
            </w:rPr>
            <w:tag w:val="_PLD_dc4e6ed6511949b7a546924cafae2546"/>
            <w:id w:val="28207"/>
          </w:sdtPr>
          <w:sdtEndPr>
            <w:rPr>
              <w:rFonts w:hint="default" w:ascii="Times New Roman" w:hAnsi="Times New Roman" w:cs="Times New Roman"/>
              <w:sz w:val="18"/>
              <w:szCs w:val="18"/>
            </w:rPr>
          </w:sdtEndPr>
          <w:sdtContent>
            <w:tc>
              <w:tcPr>
                <w:tcW w:w="691"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减值准备</w:t>
                </w:r>
              </w:p>
            </w:tc>
          </w:sdtContent>
        </w:sdt>
        <w:sdt>
          <w:sdtPr>
            <w:rPr>
              <w:rFonts w:hint="default" w:ascii="Times New Roman" w:hAnsi="Times New Roman" w:cs="Times New Roman"/>
              <w:sz w:val="18"/>
              <w:szCs w:val="18"/>
            </w:rPr>
            <w:tag w:val="_PLD_1d7bbdc4e6144c95a3fcb7369904bea6"/>
            <w:id w:val="28208"/>
          </w:sdtPr>
          <w:sdtEndPr>
            <w:rPr>
              <w:rFonts w:hint="default" w:ascii="Times New Roman" w:hAnsi="Times New Roman" w:cs="Times New Roman"/>
              <w:sz w:val="18"/>
              <w:szCs w:val="18"/>
            </w:rPr>
          </w:sdtEndPr>
          <w:sdtContent>
            <w:tc>
              <w:tcPr>
                <w:tcW w:w="740"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账面价值</w:t>
                </w:r>
              </w:p>
            </w:tc>
          </w:sdtContent>
        </w:sdt>
        <w:sdt>
          <w:sdtPr>
            <w:rPr>
              <w:rFonts w:hint="default" w:ascii="Times New Roman" w:hAnsi="Times New Roman" w:cs="Times New Roman"/>
              <w:sz w:val="18"/>
              <w:szCs w:val="18"/>
            </w:rPr>
            <w:tag w:val="_PLD_bd8a9c944702423e9ff20ddba1c4b3aa"/>
            <w:id w:val="28209"/>
          </w:sdtPr>
          <w:sdtEndPr>
            <w:rPr>
              <w:rFonts w:hint="default" w:ascii="Times New Roman" w:hAnsi="Times New Roman" w:cs="Times New Roman"/>
              <w:sz w:val="18"/>
              <w:szCs w:val="18"/>
            </w:rPr>
          </w:sdtEndPr>
          <w:sdtContent>
            <w:tc>
              <w:tcPr>
                <w:tcW w:w="740"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账面余额</w:t>
                </w:r>
              </w:p>
            </w:tc>
          </w:sdtContent>
        </w:sdt>
        <w:sdt>
          <w:sdtPr>
            <w:rPr>
              <w:rFonts w:hint="default" w:ascii="Times New Roman" w:hAnsi="Times New Roman" w:cs="Times New Roman"/>
              <w:sz w:val="18"/>
              <w:szCs w:val="18"/>
            </w:rPr>
            <w:tag w:val="_PLD_708c7153bc9a48c792e109da0ba5f2f8"/>
            <w:id w:val="28210"/>
          </w:sdtPr>
          <w:sdtEndPr>
            <w:rPr>
              <w:rFonts w:hint="default" w:ascii="Times New Roman" w:hAnsi="Times New Roman" w:cs="Times New Roman"/>
              <w:sz w:val="18"/>
              <w:szCs w:val="18"/>
            </w:rPr>
          </w:sdtEndPr>
          <w:sdtContent>
            <w:tc>
              <w:tcPr>
                <w:tcW w:w="691"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减值准备</w:t>
                </w:r>
              </w:p>
            </w:tc>
          </w:sdtContent>
        </w:sdt>
        <w:sdt>
          <w:sdtPr>
            <w:rPr>
              <w:rFonts w:hint="default" w:ascii="Times New Roman" w:hAnsi="Times New Roman" w:cs="Times New Roman"/>
              <w:sz w:val="18"/>
              <w:szCs w:val="18"/>
            </w:rPr>
            <w:tag w:val="_PLD_1516e7000a9747a28074e3f321fa96a7"/>
            <w:id w:val="28211"/>
          </w:sdtPr>
          <w:sdtEndPr>
            <w:rPr>
              <w:rFonts w:hint="default" w:ascii="Times New Roman" w:hAnsi="Times New Roman" w:cs="Times New Roman"/>
              <w:sz w:val="18"/>
              <w:szCs w:val="18"/>
            </w:rPr>
          </w:sdtEndPr>
          <w:sdtContent>
            <w:tc>
              <w:tcPr>
                <w:tcW w:w="740"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pct"/>
            <w:shd w:val="clear" w:color="auto" w:fill="auto"/>
          </w:tcPr>
          <w:p>
            <w:pPr>
              <w:rPr>
                <w:rFonts w:hint="default" w:ascii="Times New Roman" w:hAnsi="Times New Roman" w:cs="Times New Roman"/>
                <w:sz w:val="18"/>
                <w:szCs w:val="18"/>
              </w:rPr>
            </w:pPr>
            <w:r>
              <w:rPr>
                <w:rFonts w:hint="default" w:ascii="Times New Roman" w:hAnsi="Times New Roman" w:cs="Times New Roman"/>
                <w:sz w:val="18"/>
                <w:szCs w:val="18"/>
              </w:rPr>
              <w:t>对子公司投资</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201,049,523.79</w:t>
            </w:r>
          </w:p>
        </w:tc>
        <w:tc>
          <w:tcPr>
            <w:tcW w:w="691"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40,155,106.20</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160,894,417.59</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201,049,523.79</w:t>
            </w:r>
          </w:p>
        </w:tc>
        <w:tc>
          <w:tcPr>
            <w:tcW w:w="691"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40,155,106.20</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160,894,417.59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pct"/>
            <w:shd w:val="clear" w:color="auto" w:fill="auto"/>
          </w:tcPr>
          <w:p>
            <w:pPr>
              <w:rPr>
                <w:rFonts w:hint="default" w:ascii="Times New Roman" w:hAnsi="Times New Roman" w:cs="Times New Roman"/>
                <w:sz w:val="18"/>
                <w:szCs w:val="18"/>
              </w:rPr>
            </w:pPr>
            <w:r>
              <w:rPr>
                <w:rFonts w:hint="default" w:ascii="Times New Roman" w:hAnsi="Times New Roman" w:cs="Times New Roman"/>
                <w:sz w:val="18"/>
                <w:szCs w:val="18"/>
              </w:rPr>
              <w:t>对联营、合营企业投资</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7,770,671.63</w:t>
            </w:r>
          </w:p>
        </w:tc>
        <w:tc>
          <w:tcPr>
            <w:tcW w:w="691"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7,770,671.63</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 </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7,770,671.63</w:t>
            </w:r>
          </w:p>
        </w:tc>
        <w:tc>
          <w:tcPr>
            <w:tcW w:w="691"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7,770,671.63</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pct"/>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合计</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208,820,195.42</w:t>
            </w:r>
          </w:p>
        </w:tc>
        <w:tc>
          <w:tcPr>
            <w:tcW w:w="691"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47,925,777.83</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160,894,417.59</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208,820,195.42</w:t>
            </w:r>
          </w:p>
        </w:tc>
        <w:tc>
          <w:tcPr>
            <w:tcW w:w="691"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47,925,777.83</w:t>
            </w:r>
          </w:p>
        </w:tc>
        <w:tc>
          <w:tcPr>
            <w:tcW w:w="740" w:type="pct"/>
            <w:shd w:val="clear" w:color="auto" w:fill="auto"/>
            <w:vAlign w:val="center"/>
          </w:tcPr>
          <w:p>
            <w:pPr>
              <w:jc w:val="right"/>
              <w:rPr>
                <w:rFonts w:hint="default" w:ascii="Times New Roman" w:hAnsi="Times New Roman" w:cs="Times New Roman"/>
                <w:sz w:val="18"/>
                <w:szCs w:val="18"/>
              </w:rPr>
            </w:pPr>
            <w:r>
              <w:rPr>
                <w:rFonts w:hint="default" w:ascii="Times New Roman" w:hAnsi="Times New Roman" w:cs="Times New Roman"/>
                <w:sz w:val="18"/>
                <w:szCs w:val="18"/>
              </w:rPr>
              <w:t>160,894,417.59</w:t>
            </w:r>
          </w:p>
        </w:tc>
      </w:tr>
    </w:tbl>
    <w:p/>
    <w:p>
      <w:pPr>
        <w:pStyle w:val="5"/>
        <w:numPr>
          <w:ilvl w:val="0"/>
          <w:numId w:val="137"/>
        </w:numPr>
      </w:pPr>
      <w:r>
        <w:rPr>
          <w:rFonts w:hint="eastAsia"/>
        </w:rPr>
        <w:t>对子公司投资</w:t>
      </w:r>
    </w:p>
    <w:sdt>
      <w:sdtPr>
        <w:alias w:val="是否适用：母公司对子公司投资[双击切换]"/>
        <w:tag w:val="_GBC_db6ca6099b0a42bca0cbba7ead69557f"/>
        <w:id w:val="28212"/>
        <w:placeholder>
          <w:docPart w:val="{1b4f9bce-7f02-4e5d-aa2f-1c3e0dbb1de3}"/>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子公司投资"/>
          <w:tag w:val="_GBC_744810ff600d4176af7d45c0bf0b7978"/>
          <w:id w:val="28213"/>
          <w:placeholder>
            <w:docPart w:val="{1b4f9bce-7f02-4e5d-aa2f-1c3e0dbb1de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28214"/>
          <w:placeholder>
            <w:docPart w:val="{1b4f9bce-7f02-4e5d-aa2f-1c3e0dbb1d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1664"/>
        <w:gridCol w:w="764"/>
        <w:gridCol w:w="744"/>
        <w:gridCol w:w="1529"/>
        <w:gridCol w:w="991"/>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default" w:ascii="Times New Roman" w:hAnsi="Times New Roman" w:cs="Times New Roman"/>
            </w:rPr>
            <w:tag w:val="_PLD_43f5c326f4e64acb83b7062be90601f4"/>
            <w:id w:val="28215"/>
          </w:sdtPr>
          <w:sdtEndPr>
            <w:rPr>
              <w:rFonts w:hint="default" w:ascii="Times New Roman" w:hAnsi="Times New Roman" w:cs="Times New Roman"/>
            </w:rPr>
          </w:sdtEndPr>
          <w:sdtContent>
            <w:tc>
              <w:tcPr>
                <w:tcW w:w="10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被投资单位</w:t>
                </w:r>
              </w:p>
            </w:tc>
          </w:sdtContent>
        </w:sdt>
        <w:sdt>
          <w:sdtPr>
            <w:rPr>
              <w:rFonts w:hint="default" w:ascii="Times New Roman" w:hAnsi="Times New Roman" w:cs="Times New Roman"/>
            </w:rPr>
            <w:tag w:val="_PLD_bfc01ff1dea540d68a163c0b4f2658e7"/>
            <w:id w:val="28216"/>
          </w:sdtPr>
          <w:sdtEndPr>
            <w:rPr>
              <w:rFonts w:hint="default" w:ascii="Times New Roman" w:hAnsi="Times New Roman" w:cs="Times New Roman"/>
            </w:rPr>
          </w:sdtEndPr>
          <w:sdtContent>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期初余额</w:t>
                </w:r>
              </w:p>
            </w:tc>
          </w:sdtContent>
        </w:sdt>
        <w:sdt>
          <w:sdtPr>
            <w:rPr>
              <w:rFonts w:hint="default" w:ascii="Times New Roman" w:hAnsi="Times New Roman" w:cs="Times New Roman"/>
            </w:rPr>
            <w:tag w:val="_PLD_2868730cdc514c8c888f9e5fbbf1861b"/>
            <w:id w:val="28217"/>
          </w:sdtPr>
          <w:sdtEndPr>
            <w:rPr>
              <w:rFonts w:hint="default" w:ascii="Times New Roman" w:hAnsi="Times New Roman" w:cs="Times New Roman"/>
            </w:rPr>
          </w:sdtEndPr>
          <w:sdtContent>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本期增加</w:t>
                </w:r>
              </w:p>
            </w:tc>
          </w:sdtContent>
        </w:sdt>
        <w:sdt>
          <w:sdtPr>
            <w:rPr>
              <w:rFonts w:hint="default" w:ascii="Times New Roman" w:hAnsi="Times New Roman" w:cs="Times New Roman"/>
            </w:rPr>
            <w:tag w:val="_PLD_53aab3e541434694890e1daaef86892e"/>
            <w:id w:val="28218"/>
          </w:sdtPr>
          <w:sdtEndPr>
            <w:rPr>
              <w:rFonts w:hint="default" w:ascii="Times New Roman" w:hAnsi="Times New Roman" w:cs="Times New Roman"/>
            </w:rPr>
          </w:sdtEndPr>
          <w:sdtContent>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本期减少</w:t>
                </w:r>
              </w:p>
            </w:tc>
          </w:sdtContent>
        </w:sdt>
        <w:sdt>
          <w:sdtPr>
            <w:rPr>
              <w:rFonts w:hint="default" w:ascii="Times New Roman" w:hAnsi="Times New Roman" w:cs="Times New Roman"/>
            </w:rPr>
            <w:tag w:val="_PLD_eeaa6cf867964b44953ca6fa9f1417b3"/>
            <w:id w:val="28219"/>
          </w:sdtPr>
          <w:sdtEndPr>
            <w:rPr>
              <w:rFonts w:hint="default" w:ascii="Times New Roman" w:hAnsi="Times New Roman" w:cs="Times New Roman"/>
            </w:rPr>
          </w:sdtEndPr>
          <w:sdtContent>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期末余额</w:t>
                </w:r>
              </w:p>
            </w:tc>
          </w:sdtContent>
        </w:sdt>
        <w:sdt>
          <w:sdtPr>
            <w:rPr>
              <w:rFonts w:hint="default" w:ascii="Times New Roman" w:hAnsi="Times New Roman" w:cs="Times New Roman"/>
            </w:rPr>
            <w:tag w:val="_PLD_4365562ff41a4c1fbb543509a4ea61f6"/>
            <w:id w:val="28220"/>
          </w:sdtPr>
          <w:sdtEndPr>
            <w:rPr>
              <w:rFonts w:hint="default" w:ascii="Times New Roman" w:hAnsi="Times New Roman" w:cs="Times New Roman"/>
            </w:rPr>
          </w:sdtEndPr>
          <w:sdtContent>
            <w:tc>
              <w:tcPr>
                <w:tcW w:w="5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szCs w:val="21"/>
                  </w:rPr>
                </w:pPr>
                <w:r>
                  <w:rPr>
                    <w:rFonts w:hint="default" w:ascii="Times New Roman" w:hAnsi="Times New Roman" w:cs="Times New Roman"/>
                  </w:rPr>
                  <w:t>本期计提减值准备</w:t>
                </w:r>
              </w:p>
            </w:tc>
          </w:sdtContent>
        </w:sdt>
        <w:sdt>
          <w:sdtPr>
            <w:rPr>
              <w:rFonts w:hint="default" w:ascii="Times New Roman" w:hAnsi="Times New Roman" w:cs="Times New Roman"/>
            </w:rPr>
            <w:tag w:val="_PLD_1d05d35b40794516842b0264b05f0a95"/>
            <w:id w:val="28221"/>
          </w:sdtPr>
          <w:sdtEndPr>
            <w:rPr>
              <w:rFonts w:hint="default" w:ascii="Times New Roman" w:hAnsi="Times New Roman" w:cs="Times New Roman"/>
            </w:rPr>
          </w:sdtEndPr>
          <w:sdtContent>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cs="Times New Roman"/>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柳州惠好卫生用品有限公司</w:t>
            </w: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13,105,106.20</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8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13,105,106.20</w:t>
            </w: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13,105,106.20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柳州两面针进出口贸易有限公司</w:t>
            </w: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2,550,000.00</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8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2,550,000.00</w:t>
            </w: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2,550,000.00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广西两面针亿康药业股份有限公司</w:t>
            </w: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87,621,417.59</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8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87,621,417.59</w:t>
            </w: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安徽两面针•芳草日化有限公司</w:t>
            </w: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24,500,000.00</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8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24,500,000.00</w:t>
            </w: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24,500,000.00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rPr>
            </w:pPr>
            <w:r>
              <w:rPr>
                <w:rFonts w:hint="default" w:ascii="Times New Roman" w:hAnsi="Times New Roman" w:cs="Times New Roman"/>
              </w:rPr>
              <w:t>两面针(江苏)实业有限公司</w:t>
            </w: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73,273,000.00</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8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73,273,000.00</w:t>
            </w: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合计</w:t>
            </w: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201,049,523.79</w:t>
            </w:r>
          </w:p>
        </w:tc>
        <w:tc>
          <w:tcPr>
            <w:tcW w:w="422"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844"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201,049,523.79</w:t>
            </w: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 </w:t>
            </w:r>
          </w:p>
        </w:tc>
        <w:tc>
          <w:tcPr>
            <w:tcW w:w="7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rPr>
            </w:pPr>
            <w:r>
              <w:rPr>
                <w:rFonts w:hint="default" w:ascii="Times New Roman" w:hAnsi="Times New Roman" w:cs="Times New Roman"/>
              </w:rPr>
              <w:t>40,155,106.20</w:t>
            </w:r>
          </w:p>
        </w:tc>
      </w:tr>
    </w:tbl>
    <w:p>
      <w:pPr>
        <w:rPr>
          <w:szCs w:val="21"/>
        </w:rPr>
      </w:pPr>
    </w:p>
    <w:p>
      <w:pPr>
        <w:pStyle w:val="5"/>
        <w:numPr>
          <w:ilvl w:val="0"/>
          <w:numId w:val="137"/>
        </w:numPr>
      </w:pPr>
      <w:r>
        <w:rPr>
          <w:rFonts w:hint="eastAsia"/>
        </w:rPr>
        <w:t>对联营、合营企业投资</w:t>
      </w:r>
    </w:p>
    <w:sdt>
      <w:sdtPr>
        <w:alias w:val="是否适用：母公司对联营、合营企业投资[双击切换]"/>
        <w:tag w:val="_GBC_2e4760cb979247e69579530b3868e897"/>
        <w:id w:val="28222"/>
        <w:placeholder>
          <w:docPart w:val="{1b4f9bce-7f02-4e5d-aa2f-1c3e0dbb1de3}"/>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28223"/>
          <w:placeholder>
            <w:docPart w:val="{1b4f9bce-7f02-4e5d-aa2f-1c3e0dbb1de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28224"/>
          <w:placeholder>
            <w:docPart w:val="{1b4f9bce-7f02-4e5d-aa2f-1c3e0dbb1d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500"/>
        <w:gridCol w:w="491"/>
        <w:gridCol w:w="450"/>
        <w:gridCol w:w="300"/>
        <w:gridCol w:w="350"/>
        <w:gridCol w:w="400"/>
        <w:gridCol w:w="423"/>
        <w:gridCol w:w="259"/>
        <w:gridCol w:w="327"/>
        <w:gridCol w:w="1568"/>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df860d624b41069bef0850b92b7db2"/>
            <w:id w:val="28225"/>
          </w:sdtPr>
          <w:sdtContent>
            <w:tc>
              <w:tcPr>
                <w:tcW w:w="782"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投资</w:t>
                </w:r>
              </w:p>
              <w:p>
                <w:pPr>
                  <w:jc w:val="center"/>
                  <w:rPr>
                    <w:szCs w:val="21"/>
                  </w:rPr>
                </w:pPr>
                <w:r>
                  <w:rPr>
                    <w:rFonts w:hint="eastAsia"/>
                    <w:szCs w:val="21"/>
                  </w:rPr>
                  <w:t>单位</w:t>
                </w:r>
              </w:p>
            </w:tc>
          </w:sdtContent>
        </w:sdt>
        <w:sdt>
          <w:sdtPr>
            <w:tag w:val="_PLD_1e9893e3e3854470a87271f1c7db6cdb"/>
            <w:id w:val="28226"/>
          </w:sdtPr>
          <w:sdtContent>
            <w:tc>
              <w:tcPr>
                <w:tcW w:w="829"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51e202fa7d4541e8b1073ad1aab00e23"/>
            <w:id w:val="28227"/>
          </w:sdtPr>
          <w:sdtContent>
            <w:tc>
              <w:tcPr>
                <w:tcW w:w="1659"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tag w:val="_PLD_fb68ab3bfe254cb4ac4728b9c324a1ea"/>
            <w:id w:val="28228"/>
          </w:sdtPr>
          <w:sdtContent>
            <w:tc>
              <w:tcPr>
                <w:tcW w:w="867"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9ea6426597c4707b961bbd96c8cf19f"/>
            <w:id w:val="28229"/>
          </w:sdtPr>
          <w:sdtContent>
            <w:tc>
              <w:tcPr>
                <w:tcW w:w="861"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829"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759fe0f59b6046308988b932a5f90e06"/>
            <w:id w:val="28230"/>
          </w:sdtPr>
          <w:sdtContent>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追加投资</w:t>
                </w:r>
              </w:p>
            </w:tc>
          </w:sdtContent>
        </w:sdt>
        <w:sdt>
          <w:sdtPr>
            <w:tag w:val="_PLD_6f033bedb79a4bd7bc36dc52845a5ea0"/>
            <w:id w:val="28231"/>
          </w:sdtPr>
          <w:sdtContent>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减少投资</w:t>
                </w:r>
              </w:p>
            </w:tc>
          </w:sdtContent>
        </w:sdt>
        <w:sdt>
          <w:sdtPr>
            <w:tag w:val="_PLD_67e4baac3d05451d940d328c18f19014"/>
            <w:id w:val="28232"/>
          </w:sdtPr>
          <w:sdtContent>
            <w:tc>
              <w:tcPr>
                <w:tcW w:w="1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权益法下确认的投资损益</w:t>
                </w:r>
              </w:p>
            </w:tc>
          </w:sdtContent>
        </w:sdt>
        <w:sdt>
          <w:sdtPr>
            <w:tag w:val="_PLD_700419003e5b4596b973710043374374"/>
            <w:id w:val="28233"/>
          </w:sdtPr>
          <w:sdtContent>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其他综合收益调整</w:t>
                </w:r>
              </w:p>
            </w:tc>
          </w:sdtContent>
        </w:sdt>
        <w:sdt>
          <w:sdtPr>
            <w:tag w:val="_PLD_9318c7f257d249e0a0b9bf70263601d5"/>
            <w:id w:val="28234"/>
          </w:sdtPr>
          <w:sdtContent>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其他权益变动</w:t>
                </w:r>
              </w:p>
            </w:tc>
          </w:sdtContent>
        </w:sdt>
        <w:sdt>
          <w:sdtPr>
            <w:tag w:val="_PLD_efb3a8c8f6b64ad1a5fbb4cf67eb4c96"/>
            <w:id w:val="28235"/>
          </w:sdtPr>
          <w:sdtContent>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宣告发放现金股利或利润</w:t>
                </w:r>
              </w:p>
            </w:tc>
          </w:sdtContent>
        </w:sdt>
        <w:sdt>
          <w:sdtPr>
            <w:tag w:val="_PLD_2cc45ca82119420bb4d261a3eb788ba0"/>
            <w:id w:val="28236"/>
          </w:sdtPr>
          <w:sdtContent>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计提减值准备</w:t>
                </w:r>
              </w:p>
            </w:tc>
          </w:sdtContent>
        </w:sdt>
        <w:sdt>
          <w:sdtPr>
            <w:tag w:val="_PLD_85d3aa0f514447b38d92097f7a30e385"/>
            <w:id w:val="28237"/>
          </w:sdtPr>
          <w:sdtContent>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w:t>
                </w:r>
              </w:p>
            </w:tc>
          </w:sdtContent>
        </w:sdt>
        <w:tc>
          <w:tcPr>
            <w:tcW w:w="867"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861"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de7a3b12554dad8d8701df843651f7"/>
            <w:id w:val="28238"/>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c>
          <w:tcPr>
            <w:tcW w:w="82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7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8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6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6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c>
          <w:tcPr>
            <w:tcW w:w="82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7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8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6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6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2" w:type="pct"/>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小计</w:t>
            </w:r>
          </w:p>
        </w:tc>
        <w:tc>
          <w:tcPr>
            <w:tcW w:w="82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7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9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18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6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6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3021cffa734643a0c35649ee4b5043"/>
            <w:id w:val="28239"/>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jc w:val="both"/>
                  <w:rPr>
                    <w:szCs w:val="21"/>
                  </w:rPr>
                </w:pPr>
                <w:r>
                  <w:rPr>
                    <w:rFonts w:hint="eastAsia"/>
                    <w:szCs w:val="21"/>
                  </w:rPr>
                  <w:t>二、联营企业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t>柳州市玉洁口腔卫生用品有限责任公司</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3,854,508.49</w:t>
            </w: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3,854,508.49</w:t>
            </w:r>
          </w:p>
        </w:tc>
        <w:tc>
          <w:tcPr>
            <w:tcW w:w="86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3,854,508.49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shd w:val="clear" w:color="auto" w:fill="auto"/>
          </w:tcPr>
          <w:p>
            <w:pPr>
              <w:jc w:val="both"/>
              <w:rPr>
                <w:rFonts w:hint="eastAsia"/>
                <w:szCs w:val="21"/>
              </w:rPr>
            </w:pPr>
            <w:r>
              <w:t>广西两面针九洲房地产开发有限公司</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3,916,163.14</w:t>
            </w: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3,916,163.14</w:t>
            </w:r>
          </w:p>
        </w:tc>
        <w:tc>
          <w:tcPr>
            <w:tcW w:w="86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3,916,163.14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r>
              <w:rPr>
                <w:rFonts w:hint="default" w:ascii="Times New Roman" w:hAnsi="Times New Roman" w:cs="Times New Roman"/>
                <w:sz w:val="21"/>
                <w:szCs w:val="21"/>
              </w:rPr>
              <w:t>7,770,671.63</w:t>
            </w: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ascii="Times New Roman" w:hAnsi="Times New Roman" w:cs="Times New Roman"/>
                <w:sz w:val="21"/>
                <w:szCs w:val="21"/>
              </w:rPr>
            </w:pPr>
          </w:p>
        </w:tc>
        <w:tc>
          <w:tcPr>
            <w:tcW w:w="867"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96"/>
                <w:tab w:val="left" w:pos="426"/>
              </w:tabs>
              <w:snapToGrid w:val="0"/>
              <w:spacing w:line="480" w:lineRule="exact"/>
              <w:ind w:firstLine="0" w:firstLineChars="0"/>
              <w:jc w:val="right"/>
              <w:rPr>
                <w:rFonts w:hint="default" w:ascii="Times New Roman" w:hAnsi="Times New Roman" w:cs="Times New Roman"/>
                <w:sz w:val="21"/>
                <w:szCs w:val="21"/>
              </w:rPr>
            </w:pPr>
            <w:r>
              <w:rPr>
                <w:rFonts w:hint="default" w:ascii="Times New Roman" w:hAnsi="Times New Roman" w:cs="Times New Roman"/>
                <w:sz w:val="21"/>
                <w:szCs w:val="21"/>
              </w:rPr>
              <w:t>7,770,671.63</w:t>
            </w:r>
          </w:p>
        </w:tc>
        <w:tc>
          <w:tcPr>
            <w:tcW w:w="86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96"/>
                <w:tab w:val="left" w:pos="426"/>
              </w:tabs>
              <w:snapToGrid w:val="0"/>
              <w:spacing w:line="480" w:lineRule="exact"/>
              <w:ind w:firstLine="0" w:firstLineChars="0"/>
              <w:jc w:val="righ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7,770,671.63</w:t>
            </w:r>
          </w:p>
        </w:tc>
      </w:tr>
    </w:tbl>
    <w:p/>
    <w:p>
      <w:pPr>
        <w:pStyle w:val="5"/>
        <w:numPr>
          <w:ilvl w:val="0"/>
          <w:numId w:val="82"/>
        </w:numPr>
        <w:rPr>
          <w:highlight w:val="none"/>
        </w:rPr>
      </w:pPr>
      <w:bookmarkStart w:id="359" w:name="_Hlk155165896"/>
      <w:r>
        <w:rPr>
          <w:rFonts w:hint="eastAsia"/>
          <w:highlight w:val="none"/>
        </w:rPr>
        <w:t>长期股权投资的减值测试情况</w:t>
      </w:r>
    </w:p>
    <w:sdt>
      <w:sdtPr>
        <w:rPr>
          <w:highlight w:val="none"/>
        </w:rPr>
        <w:alias w:val="是否适用：减值测试情况[双击切换]"/>
        <w:tag w:val="_GBC_99f575f7d43c4e27846e49ee35c9e10f"/>
        <w:id w:val="28240"/>
        <w:placeholder>
          <w:docPart w:val="{1b4f9bce-7f02-4e5d-aa2f-1c3e0dbb1de3}"/>
        </w:placeholder>
      </w:sdtPr>
      <w:sdtEndPr>
        <w:rPr>
          <w:highlight w:val="none"/>
        </w:rPr>
      </w:sdtEndPr>
      <w:sdtContent>
        <w:p>
          <w:pPr>
            <w:outlineLvl w:val="9"/>
            <w:rPr>
              <w:highlight w:val="none"/>
            </w:rPr>
          </w:pPr>
          <w:r>
            <w:rPr>
              <w:highlight w:val="none"/>
            </w:rPr>
            <w:fldChar w:fldCharType="begin"/>
          </w:r>
          <w:r>
            <w:rPr>
              <w:rFonts w:hint="eastAsia"/>
              <w:highlight w:val="none"/>
              <w:lang w:eastAsia="zh-CN"/>
            </w:rPr>
            <w:instrText xml:space="preserve"> MACROBUTTON  SnrToggleCheckbox □适用 </w:instrText>
          </w:r>
          <w:r>
            <w:rPr>
              <w:highlight w:val="none"/>
            </w:rPr>
            <w:fldChar w:fldCharType="end"/>
          </w:r>
          <w:r>
            <w:rPr>
              <w:highlight w:val="none"/>
            </w:rPr>
            <w:fldChar w:fldCharType="begin"/>
          </w:r>
          <w:r>
            <w:rPr>
              <w:rFonts w:hint="eastAsia"/>
              <w:highlight w:val="none"/>
              <w:lang w:eastAsia="zh-CN"/>
            </w:rPr>
            <w:instrText xml:space="preserve"> MACROBUTTON  SnrToggleCheckbox √不适用 </w:instrText>
          </w:r>
          <w:r>
            <w:rPr>
              <w:highlight w:val="none"/>
            </w:rPr>
            <w:fldChar w:fldCharType="end"/>
          </w:r>
        </w:p>
      </w:sdtContent>
    </w:sdt>
    <w:bookmarkEnd w:id="359"/>
    <w:p>
      <w:pPr>
        <w:rPr>
          <w:szCs w:val="21"/>
          <w:highlight w:val="none"/>
        </w:rPr>
      </w:pPr>
      <w:r>
        <w:rPr>
          <w:rFonts w:hint="eastAsia"/>
          <w:szCs w:val="21"/>
          <w:highlight w:val="none"/>
        </w:rPr>
        <w:t>其他说明：</w:t>
      </w:r>
    </w:p>
    <w:sdt>
      <w:sdtPr>
        <w:rPr>
          <w:rFonts w:hint="eastAsia"/>
          <w:szCs w:val="21"/>
        </w:rPr>
        <w:alias w:val="长期股权投资的说明"/>
        <w:tag w:val="_GBC_938f2ac679ca480c83553ff73f8b80b6"/>
        <w:id w:val="28241"/>
        <w:placeholder>
          <w:docPart w:val="{1b4f9bce-7f02-4e5d-aa2f-1c3e0dbb1de3}"/>
        </w:placeholder>
      </w:sdtPr>
      <w:sdtEndPr>
        <w:rPr>
          <w:rFonts w:hint="eastAsia"/>
          <w:szCs w:val="21"/>
        </w:rPr>
      </w:sdtEndPr>
      <w:sdtContent>
        <w:p>
          <w:r>
            <w:rPr>
              <w:rFonts w:hint="eastAsia"/>
              <w:szCs w:val="21"/>
              <w:lang w:eastAsia="zh-CN"/>
            </w:rPr>
            <w:t>无</w:t>
          </w:r>
        </w:p>
      </w:sdtContent>
    </w:sdt>
    <w:p>
      <w:pPr>
        <w:rPr>
          <w:szCs w:val="21"/>
        </w:rPr>
      </w:pPr>
    </w:p>
    <w:p>
      <w:pPr>
        <w:pStyle w:val="4"/>
        <w:numPr>
          <w:ilvl w:val="0"/>
          <w:numId w:val="132"/>
        </w:numPr>
      </w:pPr>
      <w:r>
        <w:rPr>
          <w:rFonts w:hint="eastAsia"/>
        </w:rPr>
        <w:t>营业收入和营业成本</w:t>
      </w:r>
    </w:p>
    <w:p>
      <w:pPr>
        <w:pStyle w:val="5"/>
        <w:numPr>
          <w:ilvl w:val="0"/>
          <w:numId w:val="138"/>
        </w:num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1292553111"/>
        <w:placeholder>
          <w:docPart w:val="GBC33333333333333333333333333333"/>
        </w:placeholder>
      </w:sdtPr>
      <w:sdtEndPr>
        <w:rPr>
          <w:rFonts w:hint="eastAsia" w:ascii="宋体" w:hAnsi="宋体"/>
          <w:bCs/>
          <w:szCs w:val="21"/>
        </w:rPr>
      </w:sdtEndPr>
      <w:sdtContent>
        <w:p>
          <w:pPr>
            <w:pStyle w:val="63"/>
            <w:ind w:firstLine="0" w:firstLineChars="0"/>
            <w:jc w:val="left"/>
            <w:rPr>
              <w:rFonts w:ascii="宋体" w:hAnsi="宋体"/>
              <w:bCs/>
              <w:szCs w:val="21"/>
            </w:rPr>
          </w:pPr>
          <w:r>
            <w:rPr>
              <w:rFonts w:hint="eastAsia" w:ascii="宋体" w:hAnsi="宋体"/>
              <w:bCs/>
              <w:szCs w:val="21"/>
            </w:rPr>
            <w:fldChar w:fldCharType="begin"/>
          </w:r>
          <w:r>
            <w:rPr>
              <w:rFonts w:hint="eastAsia" w:ascii="宋体" w:hAnsi="宋体"/>
              <w:bCs/>
              <w:szCs w:val="21"/>
            </w:rPr>
            <w:instrText xml:space="preserve"> MACROBUTTON SnrToggleCheckbox √适用  </w:instrText>
          </w:r>
          <w:r>
            <w:rPr>
              <w:rFonts w:hint="eastAsia" w:ascii="宋体" w:hAnsi="宋体"/>
              <w:bCs/>
              <w:szCs w:val="21"/>
            </w:rPr>
            <w:fldChar w:fldCharType="end"/>
          </w:r>
          <w:r>
            <w:rPr>
              <w:rFonts w:hint="eastAsia" w:ascii="宋体" w:hAnsi="宋体"/>
              <w:bCs/>
              <w:szCs w:val="21"/>
            </w:rPr>
            <w:fldChar w:fldCharType="begin"/>
          </w:r>
          <w:r>
            <w:rPr>
              <w:rFonts w:hint="eastAsia" w:ascii="宋体" w:hAnsi="宋体"/>
              <w:bCs/>
              <w:szCs w:val="21"/>
            </w:rPr>
            <w:instrText xml:space="preserve">MACROBUTTON  SnrToggleCheckbox □不适用 </w:instrText>
          </w:r>
          <w:r>
            <w:rPr>
              <w:rFonts w:hint="eastAsia" w:ascii="宋体" w:hAnsi="宋体"/>
              <w:bCs/>
              <w:szCs w:val="21"/>
            </w:rPr>
            <w:fldChar w:fldCharType="end"/>
          </w:r>
        </w:p>
      </w:sdtContent>
    </w:sdt>
    <w:p>
      <w:pPr>
        <w:pStyle w:val="63"/>
        <w:ind w:firstLine="0" w:firstLineChars="0"/>
        <w:jc w:val="right"/>
        <w:rPr>
          <w:rFonts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1900854138"/>
          <w:placeholder>
            <w:docPart w:val="{069a3587-1de7-4c3b-8419-168d468b0da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1869980987"/>
          <w:placeholder>
            <w:docPart w:val="{069a3587-1de7-4c3b-8419-168d468b0da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1640"/>
        <w:gridCol w:w="1640"/>
        <w:gridCol w:w="1529"/>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03d52d676cf8435a8f7a530f92cd7617"/>
            <w:id w:val="-195009787"/>
          </w:sdtPr>
          <w:sdtEndPr>
            <w:rPr>
              <w:rFonts w:ascii="Times New Roman" w:hAnsi="Times New Roman"/>
            </w:rPr>
          </w:sdtEndPr>
          <w:sdtContent>
            <w:tc>
              <w:tcPr>
                <w:tcW w:w="1570"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项目</w:t>
                </w:r>
              </w:p>
            </w:tc>
          </w:sdtContent>
        </w:sdt>
        <w:sdt>
          <w:sdtPr>
            <w:rPr>
              <w:rFonts w:ascii="Times New Roman" w:hAnsi="Times New Roman"/>
            </w:rPr>
            <w:tag w:val="_PLD_32b5faadfe0b45d19044be5526af3c2d"/>
            <w:id w:val="231197725"/>
          </w:sdtPr>
          <w:sdtEndPr>
            <w:rPr>
              <w:rFonts w:ascii="Times New Roman" w:hAnsi="Times New Roman"/>
            </w:rPr>
          </w:sdtEnd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本期发生额</w:t>
                </w:r>
              </w:p>
            </w:tc>
          </w:sdtContent>
        </w:sdt>
        <w:sdt>
          <w:sdtPr>
            <w:rPr>
              <w:rFonts w:ascii="Times New Roman" w:hAnsi="Times New Roman"/>
            </w:rPr>
            <w:tag w:val="_PLD_5e3b95dc7e564cbabd77bf88c8a43781"/>
            <w:id w:val="-356964004"/>
          </w:sdtPr>
          <w:sdtEndPr>
            <w:rPr>
              <w:rFonts w:ascii="Times New Roman" w:hAnsi="Times New Roman"/>
            </w:rPr>
          </w:sdtEnd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p>
        </w:tc>
        <w:sdt>
          <w:sdtPr>
            <w:rPr>
              <w:rFonts w:ascii="Times New Roman" w:hAnsi="Times New Roman"/>
            </w:rPr>
            <w:tag w:val="_PLD_35d68e9def174e9fb111f9c26dc6e586"/>
            <w:id w:val="-123309556"/>
          </w:sdtPr>
          <w:sdtEndPr>
            <w:rPr>
              <w:rFonts w:ascii="Times New Roman" w:hAnsi="Times New Roman"/>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收入</w:t>
                </w:r>
              </w:p>
            </w:tc>
          </w:sdtContent>
        </w:sdt>
        <w:sdt>
          <w:sdtPr>
            <w:rPr>
              <w:rFonts w:ascii="Times New Roman" w:hAnsi="Times New Roman"/>
            </w:rPr>
            <w:tag w:val="_PLD_bca4c40811a6455bb6f684093a6c0c7d"/>
            <w:id w:val="-1925262549"/>
          </w:sdtPr>
          <w:sdtEndPr>
            <w:rPr>
              <w:rFonts w:ascii="Times New Roman" w:hAnsi="Times New Roman"/>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成本</w:t>
                </w:r>
              </w:p>
            </w:tc>
          </w:sdtContent>
        </w:sdt>
        <w:sdt>
          <w:sdtPr>
            <w:rPr>
              <w:rFonts w:ascii="Times New Roman" w:hAnsi="Times New Roman"/>
            </w:rPr>
            <w:tag w:val="_PLD_913bf231029842ff9aedaf2297b238c1"/>
            <w:id w:val="1979640544"/>
          </w:sdtPr>
          <w:sdtEndPr>
            <w:rPr>
              <w:rFonts w:ascii="Times New Roman" w:hAnsi="Times New Roman"/>
            </w:rPr>
          </w:sdtEnd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收入</w:t>
                </w:r>
              </w:p>
            </w:tc>
          </w:sdtContent>
        </w:sdt>
        <w:sdt>
          <w:sdtPr>
            <w:rPr>
              <w:rFonts w:ascii="Times New Roman" w:hAnsi="Times New Roman"/>
            </w:rPr>
            <w:tag w:val="_PLD_f626f406150145439510a3b7f1a71e39"/>
            <w:id w:val="-144053959"/>
          </w:sdtPr>
          <w:sdtEndPr>
            <w:rPr>
              <w:rFonts w:ascii="Times New Roman" w:hAnsi="Times New Roman"/>
            </w:rPr>
          </w:sdtEnd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5e96be68b278431da8715a6c739b83b7"/>
            <w:id w:val="-1911842857"/>
          </w:sdtPr>
          <w:sdtEndPr>
            <w:rPr>
              <w:rFonts w:ascii="Times New Roman" w:hAnsi="Times New Roman"/>
            </w:rPr>
          </w:sdtEnd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hint="eastAsia" w:ascii="Times New Roman" w:hAnsi="Times New Roman"/>
                    <w:szCs w:val="21"/>
                  </w:rPr>
                  <w:t>主营业务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172,669,274.67</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122,103,969.21</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137,162,318.56</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93,051,820.17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6bfc9b53230c4537ab9d4895c4ac21b6"/>
            <w:id w:val="2049646182"/>
          </w:sdtPr>
          <w:sdtEndPr>
            <w:rPr>
              <w:rFonts w:ascii="Times New Roman" w:hAnsi="Times New Roman"/>
            </w:rPr>
          </w:sdtEnd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hint="eastAsia" w:ascii="Times New Roman" w:hAnsi="Times New Roman"/>
                    <w:szCs w:val="21"/>
                  </w:rPr>
                  <w:t>其他业务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5,970,031.29</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4,487,618.88</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5,666,980.80</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4,699,419.68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d72589b11fca4f8e9290f2128cc382b9"/>
            <w:id w:val="-2147119427"/>
          </w:sdtPr>
          <w:sdtEndPr>
            <w:rPr>
              <w:rFonts w:ascii="Times New Roman" w:hAnsi="Times New Roman"/>
            </w:rPr>
          </w:sdtEndPr>
          <w:sdtContent>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hint="eastAsia" w:ascii="Times New Roman" w:hAnsi="Times New Roman"/>
                    <w:szCs w:val="21"/>
                  </w:rPr>
                  <w:t>合计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178,639,305.96</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126,591,588.09</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142,829,299.36</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hint="eastAsia" w:ascii="Times New Roman" w:hAnsi="Times New Roman"/>
                <w:color w:val="auto"/>
                <w:szCs w:val="21"/>
              </w:rPr>
              <w:t>97,751,239.85</w:t>
            </w:r>
          </w:p>
        </w:tc>
      </w:tr>
    </w:tbl>
    <w:p>
      <w:pPr>
        <w:rPr>
          <w:highlight w:val="yellow"/>
        </w:rPr>
      </w:pPr>
    </w:p>
    <w:sdt>
      <w:sdtPr>
        <w:rPr>
          <w:rFonts w:hint="eastAsia" w:ascii="宋体" w:hAnsi="宋体" w:eastAsia="宋体" w:cs="宋体"/>
          <w:b w:val="0"/>
          <w:bCs w:val="0"/>
          <w:kern w:val="0"/>
          <w:szCs w:val="24"/>
          <w:highlight w:val="none"/>
        </w:rPr>
        <w:alias w:val="模块:合同产生的收入的情况"/>
        <w:tag w:val="_SEC_37411609543c494ea4ff0d898d351419"/>
        <w:id w:val="28250"/>
        <w:placeholder>
          <w:docPart w:val="GBC22222222222222222222222222222"/>
        </w:placeholder>
      </w:sdtPr>
      <w:sdtEndPr>
        <w:rPr>
          <w:rFonts w:hint="default" w:ascii="宋体" w:hAnsi="宋体" w:eastAsia="宋体" w:cs="宋体"/>
          <w:b w:val="0"/>
          <w:bCs w:val="0"/>
          <w:kern w:val="0"/>
          <w:szCs w:val="24"/>
          <w:highlight w:val="yellow"/>
        </w:rPr>
      </w:sdtEndPr>
      <w:sdtContent>
        <w:p>
          <w:pPr>
            <w:pStyle w:val="5"/>
            <w:numPr>
              <w:ilvl w:val="0"/>
              <w:numId w:val="138"/>
            </w:numPr>
            <w:rPr>
              <w:highlight w:val="none"/>
            </w:rPr>
          </w:pPr>
          <w:bookmarkStart w:id="360" w:name="_Hlk533798810"/>
          <w:r>
            <w:rPr>
              <w:rFonts w:hint="eastAsia"/>
              <w:highlight w:val="none"/>
            </w:rPr>
            <w:t>营业收入、营业成本的分解信息</w:t>
          </w:r>
          <w:r>
            <w:rPr>
              <w:highlight w:val="none"/>
            </w:rPr>
            <w:t xml:space="preserve"> </w:t>
          </w:r>
        </w:p>
        <w:sdt>
          <w:sdtPr>
            <w:rPr>
              <w:rFonts w:ascii="宋体" w:hAnsi="宋体"/>
              <w:szCs w:val="21"/>
            </w:rPr>
            <w:alias w:val="是否适用：母公司营业收入、营业成本的分解信息 [双击切换]"/>
            <w:tag w:val="_GBC_ebb0bd28b90c4b2b9a1a99758f2ade01"/>
            <w:id w:val="28251"/>
            <w:placeholder>
              <w:docPart w:val="GBC22222222222222222222222222222"/>
            </w:placeholder>
          </w:sdtPr>
          <w:sdtEndPr>
            <w:rPr>
              <w:rFonts w:ascii="宋体" w:hAnsi="宋体"/>
              <w:szCs w:val="21"/>
            </w:rPr>
          </w:sdtEndPr>
          <w:sdtContent>
            <w:p>
              <w:pPr>
                <w:rPr>
                  <w:rFonts w:ascii="宋体" w:hAnsi="宋体"/>
                  <w:szCs w:val="21"/>
                </w:rPr>
              </w:pPr>
              <w:r>
                <w:rPr>
                  <w:rFonts w:ascii="宋体" w:hAnsi="宋体"/>
                  <w:szCs w:val="21"/>
                </w:rPr>
                <w:fldChar w:fldCharType="begin"/>
              </w:r>
              <w:r>
                <w:rPr>
                  <w:rFonts w:hint="eastAsia"/>
                  <w:szCs w:val="21"/>
                  <w:lang w:eastAsia="zh-CN"/>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hint="eastAsia"/>
                  <w:szCs w:val="21"/>
                  <w:lang w:eastAsia="zh-CN"/>
                </w:rPr>
                <w:instrText xml:space="preserve"> MACROBUTTON  SnrToggleCheckbox √不适用 </w:instrText>
              </w:r>
              <w:r>
                <w:rPr>
                  <w:rFonts w:ascii="宋体" w:hAnsi="宋体"/>
                  <w:szCs w:val="21"/>
                </w:rPr>
                <w:fldChar w:fldCharType="end"/>
              </w:r>
            </w:p>
          </w:sdtContent>
        </w:sdt>
        <w:p>
          <w:pPr>
            <w:outlineLvl w:val="9"/>
            <w:rPr>
              <w:rFonts w:ascii="宋体" w:hAnsi="宋体"/>
              <w:szCs w:val="21"/>
            </w:rPr>
          </w:pPr>
        </w:p>
        <w:p>
          <w:r>
            <w:rPr>
              <w:rFonts w:hint="eastAsia"/>
            </w:rPr>
            <w:t>其他说明</w:t>
          </w:r>
        </w:p>
        <w:sdt>
          <w:sdtPr>
            <w:alias w:val="是否适用：母公司营业收入、营业成本的分解信息说明 [双击切换]"/>
            <w:tag w:val="_GBC_579e9b003cbd4b94a5da57be65a206f7"/>
            <w:id w:val="28261"/>
            <w:placeholder>
              <w:docPart w:val="GBC22222222222222222222222222222"/>
            </w:placeholder>
          </w:sdtPr>
          <w:sdtContent>
            <w:p>
              <w:pPr>
                <w:outlineLvl w:val="9"/>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sdtContent>
    </w:sdt>
    <w:p>
      <w:pPr>
        <w:pStyle w:val="5"/>
        <w:numPr>
          <w:ilvl w:val="0"/>
          <w:numId w:val="138"/>
        </w:numPr>
        <w:rPr>
          <w:rFonts w:ascii="宋体" w:hAnsi="宋体" w:eastAsia="宋体" w:cs="宋体"/>
          <w:kern w:val="0"/>
          <w:szCs w:val="24"/>
        </w:rPr>
      </w:pPr>
      <w:bookmarkStart w:id="361" w:name="_Hlk155961563"/>
      <w:r>
        <w:rPr>
          <w:rFonts w:hint="eastAsia" w:ascii="宋体" w:hAnsi="宋体" w:eastAsia="宋体" w:cs="宋体"/>
          <w:kern w:val="0"/>
          <w:szCs w:val="24"/>
        </w:rPr>
        <w:t>履约义务的说明</w:t>
      </w:r>
    </w:p>
    <w:sdt>
      <w:sdtPr>
        <w:alias w:val="是否适用：履约义务的说明[双击切换]"/>
        <w:tag w:val="_GBC_0b818a1fe50c41248e0bae7b16db682e"/>
        <w:id w:val="28262"/>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p/>
      </w:sdtContent>
    </w:sdt>
    <w:bookmarkEnd w:id="360"/>
    <w:bookmarkEnd w:id="361"/>
    <w:p>
      <w:pPr>
        <w:pStyle w:val="5"/>
        <w:numPr>
          <w:ilvl w:val="0"/>
          <w:numId w:val="138"/>
        </w:numPr>
      </w:pPr>
      <w:bookmarkStart w:id="362" w:name="_Hlk533798958"/>
      <w:r>
        <w:rPr>
          <w:rFonts w:hint="eastAsia"/>
        </w:rPr>
        <w:t>分摊至剩余履约义务的说明</w:t>
      </w:r>
    </w:p>
    <w:sdt>
      <w:sdtPr>
        <w:alias w:val="是否适用：母公司分摊至剩余履约义务的说明[双击切换]"/>
        <w:tag w:val="_GBC_7f0a9adae5ea4624a849a396f1ce90b1"/>
        <w:id w:val="28263"/>
        <w:placeholder>
          <w:docPart w:val="GBC22222222222222222222222222222"/>
        </w:placeholder>
      </w:sdtPr>
      <w:sdtContent>
        <w:p>
          <w:pPr>
            <w:outlineLvl w:val="9"/>
            <w:rPr>
              <w:szCs w:val="21"/>
            </w:rPr>
          </w:pPr>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rFonts w:ascii="Arial" w:hAnsi="Arial"/>
          <w:szCs w:val="21"/>
        </w:rPr>
      </w:pPr>
    </w:p>
    <w:bookmarkEnd w:id="362"/>
    <w:p>
      <w:pPr>
        <w:pStyle w:val="5"/>
        <w:numPr>
          <w:ilvl w:val="0"/>
          <w:numId w:val="138"/>
        </w:numPr>
        <w:rPr>
          <w:rFonts w:ascii="宋体" w:hAnsi="宋体" w:eastAsia="宋体" w:cs="宋体"/>
          <w:kern w:val="0"/>
          <w:szCs w:val="24"/>
        </w:rPr>
      </w:pPr>
      <w:bookmarkStart w:id="363" w:name="_Hlk153798573"/>
      <w:r>
        <w:rPr>
          <w:rFonts w:hint="eastAsia" w:ascii="宋体" w:hAnsi="宋体" w:eastAsia="宋体" w:cs="宋体"/>
          <w:kern w:val="0"/>
          <w:szCs w:val="24"/>
        </w:rPr>
        <w:t>重大合同变更或重大交易价格调整</w:t>
      </w:r>
    </w:p>
    <w:sdt>
      <w:sdtPr>
        <w:alias w:val="是否适用：母公司重大合同变更或重大交易价格调整[双击切换]"/>
        <w:tag w:val="_GBC_df0026b6a6ff4f0a99c85462586d2446"/>
        <w:id w:val="28264"/>
        <w:placeholder>
          <w:docPart w:val="GBC22222222222222222222222222222"/>
        </w:placeholder>
      </w:sdtPr>
      <w:sdtContent>
        <w:p>
          <w:r>
            <w:fldChar w:fldCharType="begin"/>
          </w:r>
          <w:r>
            <w:rPr>
              <w:rFonts w:hint="eastAsia"/>
              <w:lang w:eastAsia="zh-CN"/>
            </w:rPr>
            <w:instrText xml:space="preserve"> 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bookmarkEnd w:id="363"/>
    <w:p>
      <w:pPr>
        <w:spacing w:before="60" w:after="60"/>
        <w:rPr>
          <w:szCs w:val="21"/>
        </w:rPr>
      </w:pPr>
      <w:bookmarkStart w:id="364" w:name="_Hlk533798751"/>
      <w:r>
        <w:rPr>
          <w:rFonts w:hint="eastAsia"/>
          <w:szCs w:val="21"/>
        </w:rPr>
        <w:t>其他说明：</w:t>
      </w:r>
    </w:p>
    <w:p>
      <w:pPr>
        <w:rPr>
          <w:szCs w:val="21"/>
        </w:rPr>
      </w:pPr>
      <w:sdt>
        <w:sdtPr>
          <w:rPr>
            <w:szCs w:val="21"/>
          </w:rPr>
          <w:alias w:val="主营业务说明"/>
          <w:tag w:val="_GBC_fd583c7468404a3e83de872adae134a2"/>
          <w:id w:val="28265"/>
          <w:placeholder>
            <w:docPart w:val="GBC22222222222222222222222222222"/>
          </w:placeholder>
        </w:sdtPr>
        <w:sdtEndPr>
          <w:rPr>
            <w:szCs w:val="21"/>
          </w:rPr>
        </w:sdtEndPr>
        <w:sdtContent>
          <w:r>
            <w:rPr>
              <w:rFonts w:hint="eastAsia"/>
              <w:szCs w:val="21"/>
              <w:lang w:eastAsia="zh-CN"/>
            </w:rPr>
            <w:t>无</w:t>
          </w:r>
        </w:sdtContent>
      </w:sdt>
    </w:p>
    <w:p>
      <w:pPr>
        <w:rPr>
          <w:szCs w:val="21"/>
        </w:rPr>
      </w:pPr>
    </w:p>
    <w:bookmarkEnd w:id="364"/>
    <w:p>
      <w:pPr>
        <w:pStyle w:val="4"/>
        <w:numPr>
          <w:ilvl w:val="0"/>
          <w:numId w:val="132"/>
        </w:numPr>
        <w:rPr>
          <w:rFonts w:ascii="宋体" w:hAnsi="宋体"/>
          <w:szCs w:val="21"/>
        </w:rPr>
      </w:pPr>
      <w:bookmarkStart w:id="365" w:name="OLE_LINK6"/>
      <w:bookmarkStart w:id="366" w:name="_Hlk10548739"/>
      <w:bookmarkStart w:id="367" w:name="_Hlk24031063"/>
      <w:r>
        <w:rPr>
          <w:rFonts w:hint="eastAsia" w:ascii="宋体" w:hAnsi="宋体"/>
          <w:szCs w:val="21"/>
        </w:rPr>
        <w:t>投资收益</w:t>
      </w:r>
      <w:bookmarkEnd w:id="365"/>
    </w:p>
    <w:sdt>
      <w:sdtPr>
        <w:alias w:val="是否适用：母公司投资收益[双击切换]"/>
        <w:tag w:val="_GBC_c2bb46ec06e343088b38ac6340f45fb2"/>
        <w:id w:val="28266"/>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282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28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66"/>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1"/>
        <w:gridCol w:w="2694"/>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7ed5c985ab48c59a18c2d57dd68c9c"/>
            <w:id w:val="26071"/>
          </w:sdtPr>
          <w:sdtContent>
            <w:tc>
              <w:tcPr>
                <w:tcW w:w="2017" w:type="pct"/>
                <w:vAlign w:val="center"/>
              </w:tcPr>
              <w:p>
                <w:pPr>
                  <w:ind w:left="420" w:hanging="420"/>
                  <w:jc w:val="center"/>
                  <w:rPr>
                    <w:szCs w:val="21"/>
                  </w:rPr>
                </w:pPr>
                <w:bookmarkStart w:id="368" w:name="_Hlk10720480"/>
                <w:r>
                  <w:rPr>
                    <w:rFonts w:hint="eastAsia"/>
                    <w:szCs w:val="21"/>
                  </w:rPr>
                  <w:t>项目</w:t>
                </w:r>
              </w:p>
            </w:tc>
          </w:sdtContent>
        </w:sdt>
        <w:sdt>
          <w:sdtPr>
            <w:tag w:val="_PLD_47187d04b5814de2ac4d8e7ab7f3dcf5"/>
            <w:id w:val="26072"/>
          </w:sdtPr>
          <w:sdtContent>
            <w:tc>
              <w:tcPr>
                <w:tcW w:w="1488" w:type="pct"/>
                <w:vAlign w:val="center"/>
              </w:tcPr>
              <w:p>
                <w:pPr>
                  <w:jc w:val="center"/>
                  <w:rPr>
                    <w:szCs w:val="21"/>
                  </w:rPr>
                </w:pPr>
                <w:r>
                  <w:rPr>
                    <w:rFonts w:hint="eastAsia"/>
                    <w:szCs w:val="21"/>
                  </w:rPr>
                  <w:t>本期发生额</w:t>
                </w:r>
              </w:p>
            </w:tc>
          </w:sdtContent>
        </w:sdt>
        <w:sdt>
          <w:sdtPr>
            <w:tag w:val="_PLD_9b38c11702ff453c93beb78507ab4be2"/>
            <w:id w:val="26073"/>
          </w:sdtPr>
          <w:sdtContent>
            <w:tc>
              <w:tcPr>
                <w:tcW w:w="1494" w:type="pct"/>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t>成本法核算的长期股权投资收益</w:t>
            </w:r>
          </w:p>
        </w:tc>
        <w:tc>
          <w:tcPr>
            <w:tcW w:w="1488" w:type="pct"/>
          </w:tcPr>
          <w:p>
            <w:pPr>
              <w:jc w:val="right"/>
              <w:rPr>
                <w:szCs w:val="21"/>
              </w:rPr>
            </w:pPr>
          </w:p>
        </w:tc>
        <w:tc>
          <w:tcPr>
            <w:tcW w:w="1494"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pPr>
              <w:rPr>
                <w:szCs w:val="21"/>
              </w:rPr>
            </w:pPr>
            <w:r>
              <w:rPr>
                <w:rFonts w:hint="eastAsia"/>
                <w:szCs w:val="21"/>
              </w:rPr>
              <w:t>权益法核算的长期股权投资收益</w:t>
            </w:r>
          </w:p>
        </w:tc>
        <w:tc>
          <w:tcPr>
            <w:tcW w:w="1488" w:type="pct"/>
          </w:tcPr>
          <w:p>
            <w:pPr>
              <w:jc w:val="right"/>
              <w:rPr>
                <w:szCs w:val="21"/>
              </w:rPr>
            </w:pPr>
          </w:p>
        </w:tc>
        <w:tc>
          <w:tcPr>
            <w:tcW w:w="1494"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pPr>
              <w:rPr>
                <w:szCs w:val="21"/>
              </w:rPr>
            </w:pPr>
            <w:r>
              <w:rPr>
                <w:rFonts w:hint="eastAsia"/>
                <w:szCs w:val="21"/>
              </w:rPr>
              <w:t>处置长期股权投资产生的投资收益</w:t>
            </w:r>
          </w:p>
        </w:tc>
        <w:tc>
          <w:tcPr>
            <w:tcW w:w="1488" w:type="pct"/>
          </w:tcPr>
          <w:p>
            <w:pPr>
              <w:jc w:val="right"/>
              <w:rPr>
                <w:rFonts w:hint="eastAsia"/>
                <w:szCs w:val="21"/>
              </w:rPr>
            </w:pPr>
          </w:p>
        </w:tc>
        <w:tc>
          <w:tcPr>
            <w:tcW w:w="1494" w:type="pct"/>
          </w:tcPr>
          <w:p>
            <w:pPr>
              <w:jc w:val="righ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交易性金融资产在持有期间的投资收益</w:t>
            </w:r>
          </w:p>
        </w:tc>
        <w:tc>
          <w:tcPr>
            <w:tcW w:w="1488" w:type="pct"/>
            <w:vAlign w:val="center"/>
          </w:tcPr>
          <w:p>
            <w:pPr>
              <w:jc w:val="right"/>
              <w:rPr>
                <w:rFonts w:hint="default" w:ascii="Times New Roman" w:hAnsi="Times New Roman" w:cs="Times New Roman"/>
              </w:rPr>
            </w:pPr>
            <w:r>
              <w:rPr>
                <w:rFonts w:hint="default" w:ascii="Times New Roman" w:hAnsi="Times New Roman" w:cs="Times New Roman"/>
              </w:rPr>
              <w:t>4,899,025.82</w:t>
            </w:r>
          </w:p>
        </w:tc>
        <w:tc>
          <w:tcPr>
            <w:tcW w:w="1494" w:type="pct"/>
            <w:vAlign w:val="center"/>
          </w:tcPr>
          <w:p>
            <w:pPr>
              <w:jc w:val="right"/>
              <w:rPr>
                <w:rFonts w:hint="default" w:ascii="Times New Roman" w:hAnsi="Times New Roman" w:cs="Times New Roman"/>
              </w:rPr>
            </w:pPr>
            <w:r>
              <w:rPr>
                <w:rFonts w:hint="default" w:ascii="Times New Roman" w:hAnsi="Times New Roman" w:cs="Times New Roman"/>
              </w:rPr>
              <w:t>5,425,566.80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其他权益工具投资在持有期间取得的股利收入</w:t>
            </w:r>
          </w:p>
        </w:tc>
        <w:tc>
          <w:tcPr>
            <w:tcW w:w="1488" w:type="pct"/>
            <w:vAlign w:val="center"/>
          </w:tcPr>
          <w:p>
            <w:pPr>
              <w:jc w:val="right"/>
              <w:rPr>
                <w:rFonts w:hint="default" w:ascii="Times New Roman" w:hAnsi="Times New Roman" w:cs="Times New Roman"/>
                <w:szCs w:val="21"/>
              </w:rPr>
            </w:pPr>
            <w:r>
              <w:rPr>
                <w:rFonts w:hint="default" w:ascii="Times New Roman" w:hAnsi="Times New Roman" w:cs="Times New Roman"/>
              </w:rPr>
              <w:t>16,200,000.00</w:t>
            </w:r>
          </w:p>
        </w:tc>
        <w:tc>
          <w:tcPr>
            <w:tcW w:w="1494" w:type="pct"/>
            <w:vAlign w:val="center"/>
          </w:tcPr>
          <w:p>
            <w:pPr>
              <w:jc w:val="right"/>
              <w:rPr>
                <w:rFonts w:hint="default" w:ascii="Times New Roman" w:hAnsi="Times New Roman" w:cs="Times New Roman"/>
                <w:szCs w:val="21"/>
              </w:rPr>
            </w:pPr>
            <w:r>
              <w:rPr>
                <w:rFonts w:hint="default" w:ascii="Times New Roman" w:hAnsi="Times New Roman" w:cs="Times New Roman"/>
              </w:rPr>
              <w:t>13,860,000.00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债权投资在持有期间取得的利息收入</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其他债权投资在持有期间取得的利息收入</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处置交易性金融资产取得的投资收益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处置其他权益工具投资取得的投资收益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处置债权投资取得的投资收益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处置其他债权投资取得的投资收益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r>
              <w:rPr>
                <w:rFonts w:hint="eastAsia"/>
              </w:rPr>
              <w:t>债务重组收益</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pPr>
              <w:rPr>
                <w:rFonts w:hint="eastAsia" w:eastAsia="宋体"/>
                <w:lang w:val="en-US" w:eastAsia="zh-CN"/>
              </w:rPr>
            </w:pPr>
            <w:r>
              <w:rPr>
                <w:rFonts w:hint="eastAsia"/>
                <w:lang w:val="en-US" w:eastAsia="zh-CN"/>
              </w:rPr>
              <w:t>其他</w:t>
            </w:r>
          </w:p>
        </w:tc>
        <w:tc>
          <w:tcPr>
            <w:tcW w:w="1488" w:type="pct"/>
            <w:vAlign w:val="center"/>
          </w:tcPr>
          <w:p>
            <w:pPr>
              <w:jc w:val="right"/>
              <w:rPr>
                <w:rFonts w:hint="default" w:ascii="Times New Roman" w:hAnsi="Times New Roman" w:cs="Times New Roman"/>
                <w:szCs w:val="21"/>
              </w:rPr>
            </w:pPr>
          </w:p>
        </w:tc>
        <w:tc>
          <w:tcPr>
            <w:tcW w:w="1494" w:type="pct"/>
            <w:vAlign w:val="center"/>
          </w:tcPr>
          <w:p>
            <w:pPr>
              <w:jc w:val="righ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jc w:val="center"/>
              <w:rPr>
                <w:szCs w:val="21"/>
              </w:rPr>
            </w:pPr>
            <w:r>
              <w:rPr>
                <w:rFonts w:hint="eastAsia"/>
                <w:szCs w:val="21"/>
              </w:rPr>
              <w:t>合计</w:t>
            </w:r>
          </w:p>
        </w:tc>
        <w:tc>
          <w:tcPr>
            <w:tcW w:w="1488" w:type="pct"/>
            <w:vAlign w:val="center"/>
          </w:tcPr>
          <w:p>
            <w:pPr>
              <w:jc w:val="right"/>
              <w:rPr>
                <w:rFonts w:hint="default" w:ascii="Times New Roman" w:hAnsi="Times New Roman" w:cs="Times New Roman"/>
                <w:szCs w:val="21"/>
              </w:rPr>
            </w:pPr>
            <w:r>
              <w:rPr>
                <w:rFonts w:hint="default" w:ascii="Times New Roman" w:hAnsi="Times New Roman" w:cs="Times New Roman"/>
                <w:color w:val="auto"/>
              </w:rPr>
              <w:t>21,099,025.82</w:t>
            </w:r>
          </w:p>
        </w:tc>
        <w:tc>
          <w:tcPr>
            <w:tcW w:w="1494" w:type="pct"/>
            <w:vAlign w:val="center"/>
          </w:tcPr>
          <w:p>
            <w:pPr>
              <w:jc w:val="righ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19,285,566.80</w:t>
            </w:r>
          </w:p>
        </w:tc>
      </w:tr>
    </w:tbl>
    <w:p/>
    <w:p>
      <w:pPr>
        <w:spacing w:line="360" w:lineRule="exact"/>
        <w:rPr>
          <w:szCs w:val="21"/>
        </w:rPr>
      </w:pPr>
      <w:r>
        <w:rPr>
          <w:rFonts w:hint="eastAsia"/>
          <w:szCs w:val="21"/>
        </w:rPr>
        <w:t>其他说明：</w:t>
      </w:r>
      <w:bookmarkEnd w:id="368"/>
    </w:p>
    <w:sdt>
      <w:sdtPr>
        <w:rPr>
          <w:rFonts w:ascii="Times New Roman" w:hAnsi="Times New Roman" w:eastAsia="宋体"/>
          <w:sz w:val="21"/>
          <w:szCs w:val="21"/>
        </w:rPr>
        <w:alias w:val="投资收益说明"/>
        <w:tag w:val="_GBC_003661b91b5144cfbf329a4aeb060fe6"/>
        <w:id w:val="28272"/>
        <w:placeholder>
          <w:docPart w:val="GBC22222222222222222222222222222"/>
        </w:placeholder>
      </w:sdtPr>
      <w:sdtEndPr>
        <w:rPr>
          <w:rFonts w:ascii="Times New Roman" w:hAnsi="Times New Roman" w:eastAsia="宋体"/>
          <w:sz w:val="21"/>
          <w:szCs w:val="21"/>
        </w:rPr>
      </w:sdtEndPr>
      <w:sdtContent>
        <w:p>
          <w:pPr>
            <w:widowControl w:val="0"/>
            <w:autoSpaceDE w:val="0"/>
            <w:adjustRightInd w:val="0"/>
            <w:snapToGrid w:val="0"/>
            <w:spacing w:line="460" w:lineRule="atLeast"/>
            <w:ind w:firstLine="420" w:firstLineChars="200"/>
            <w:jc w:val="both"/>
            <w:textAlignment w:val="baseline"/>
            <w:rPr>
              <w:rFonts w:ascii="Times New Roman" w:hAnsi="Times New Roman" w:eastAsia="宋体" w:cs="Arial"/>
              <w:bCs/>
              <w:kern w:val="2"/>
              <w:sz w:val="21"/>
            </w:rPr>
          </w:pPr>
          <w:r>
            <w:rPr>
              <w:rFonts w:hint="eastAsia" w:ascii="Times New Roman" w:hAnsi="Times New Roman" w:eastAsia="宋体" w:cs="Arial"/>
              <w:bCs/>
              <w:kern w:val="2"/>
              <w:sz w:val="21"/>
            </w:rPr>
            <w:t>交易性金融资产持有期间的投资收益</w:t>
          </w:r>
        </w:p>
        <w:tbl>
          <w:tblPr>
            <w:tblStyle w:val="3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545"/>
            <w:gridCol w:w="298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251" w:type="pct"/>
                <w:shd w:val="clear" w:color="auto" w:fill="auto"/>
                <w:vAlign w:val="center"/>
              </w:tcPr>
              <w:p>
                <w:pPr>
                  <w:widowControl w:val="0"/>
                  <w:tabs>
                    <w:tab w:val="left" w:pos="196"/>
                    <w:tab w:val="left" w:pos="426"/>
                  </w:tabs>
                  <w:snapToGrid w:val="0"/>
                  <w:spacing w:line="460" w:lineRule="exact"/>
                  <w:ind w:firstLine="360" w:firstLineChars="0"/>
                  <w:jc w:val="center"/>
                  <w:rPr>
                    <w:rFonts w:ascii="Times New Roman" w:hAnsi="Times New Roman" w:eastAsia="宋体" w:cs="Times New Roman"/>
                    <w:kern w:val="2"/>
                    <w:sz w:val="21"/>
                    <w:szCs w:val="18"/>
                  </w:rPr>
                </w:pPr>
                <w:r>
                  <w:rPr>
                    <w:rFonts w:ascii="Times New Roman" w:hAnsi="Times New Roman" w:eastAsia="宋体" w:cs="Times New Roman"/>
                    <w:kern w:val="2"/>
                    <w:sz w:val="21"/>
                    <w:szCs w:val="18"/>
                  </w:rPr>
                  <w:t>项目</w:t>
                </w:r>
              </w:p>
            </w:tc>
            <w:tc>
              <w:tcPr>
                <w:tcW w:w="1749" w:type="pct"/>
                <w:shd w:val="clear" w:color="auto" w:fill="auto"/>
                <w:vAlign w:val="center"/>
              </w:tcPr>
              <w:p>
                <w:pPr>
                  <w:widowControl w:val="0"/>
                  <w:tabs>
                    <w:tab w:val="left" w:pos="196"/>
                    <w:tab w:val="left" w:pos="426"/>
                  </w:tabs>
                  <w:snapToGrid w:val="0"/>
                  <w:spacing w:line="460" w:lineRule="exact"/>
                  <w:ind w:firstLine="360" w:firstLineChars="0"/>
                  <w:jc w:val="center"/>
                  <w:rPr>
                    <w:rFonts w:ascii="Times New Roman" w:hAnsi="Times New Roman" w:eastAsia="宋体" w:cs="Times New Roman"/>
                    <w:kern w:val="2"/>
                    <w:sz w:val="21"/>
                    <w:szCs w:val="18"/>
                  </w:rPr>
                </w:pPr>
                <w:r>
                  <w:rPr>
                    <w:rFonts w:ascii="Times New Roman" w:hAnsi="Times New Roman" w:eastAsia="宋体" w:cs="Times New Roman"/>
                    <w:kern w:val="2"/>
                    <w:sz w:val="21"/>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spacing w:line="460" w:lineRule="exact"/>
                  <w:ind w:firstLine="0" w:firstLineChars="0"/>
                  <w:jc w:val="left"/>
                  <w:rPr>
                    <w:rFonts w:ascii="Times New Roman" w:hAnsi="Times New Roman" w:eastAsia="宋体" w:cs="宋体"/>
                    <w:color w:val="000000"/>
                    <w:kern w:val="2"/>
                    <w:sz w:val="21"/>
                    <w:szCs w:val="18"/>
                  </w:rPr>
                </w:pPr>
                <w:r>
                  <w:rPr>
                    <w:rFonts w:hint="eastAsia" w:ascii="Times New Roman" w:hAnsi="Times New Roman" w:eastAsia="宋体" w:cs="Times New Roman"/>
                    <w:color w:val="000000"/>
                    <w:kern w:val="2"/>
                    <w:sz w:val="21"/>
                    <w:szCs w:val="18"/>
                  </w:rPr>
                  <w:t>交通银行A股红利</w:t>
                </w:r>
              </w:p>
            </w:tc>
            <w:tc>
              <w:tcPr>
                <w:tcW w:w="1749" w:type="pct"/>
                <w:shd w:val="clear" w:color="auto" w:fill="auto"/>
                <w:vAlign w:val="center"/>
              </w:tcPr>
              <w:p>
                <w:pPr>
                  <w:widowControl/>
                  <w:spacing w:line="460" w:lineRule="exact"/>
                  <w:ind w:firstLine="360" w:firstLineChars="0"/>
                  <w:jc w:val="right"/>
                  <w:rPr>
                    <w:rFonts w:ascii="Times New Roman" w:hAnsi="Times New Roman" w:eastAsia="宋体" w:cs="Arial"/>
                    <w:color w:val="000000"/>
                    <w:kern w:val="2"/>
                    <w:sz w:val="21"/>
                    <w:szCs w:val="21"/>
                  </w:rPr>
                </w:pPr>
                <w:r>
                  <w:rPr>
                    <w:rFonts w:ascii="Times New Roman" w:hAnsi="Times New Roman" w:eastAsia="宋体" w:cs="Arial"/>
                    <w:kern w:val="2"/>
                    <w:sz w:val="21"/>
                    <w:szCs w:val="21"/>
                  </w:rPr>
                  <w:t>19,228.52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spacing w:line="460" w:lineRule="exact"/>
                  <w:ind w:firstLine="0" w:firstLineChars="0"/>
                  <w:jc w:val="left"/>
                  <w:rPr>
                    <w:rFonts w:ascii="Times New Roman" w:hAnsi="Times New Roman" w:eastAsia="宋体" w:cs="宋体"/>
                    <w:color w:val="000000"/>
                    <w:kern w:val="2"/>
                    <w:sz w:val="21"/>
                    <w:szCs w:val="18"/>
                  </w:rPr>
                </w:pPr>
                <w:r>
                  <w:rPr>
                    <w:rFonts w:hint="eastAsia" w:ascii="Times New Roman" w:hAnsi="Times New Roman" w:eastAsia="宋体" w:cs="Times New Roman"/>
                    <w:color w:val="000000"/>
                    <w:kern w:val="2"/>
                    <w:sz w:val="21"/>
                    <w:szCs w:val="18"/>
                  </w:rPr>
                  <w:t>中信证券A股红利</w:t>
                </w:r>
              </w:p>
            </w:tc>
            <w:tc>
              <w:tcPr>
                <w:tcW w:w="1749" w:type="pct"/>
                <w:shd w:val="clear" w:color="auto" w:fill="auto"/>
                <w:vAlign w:val="center"/>
              </w:tcPr>
              <w:p>
                <w:pPr>
                  <w:widowControl/>
                  <w:spacing w:line="460" w:lineRule="exact"/>
                  <w:ind w:firstLine="360" w:firstLineChars="0"/>
                  <w:jc w:val="right"/>
                  <w:rPr>
                    <w:rFonts w:ascii="Times New Roman" w:hAnsi="Times New Roman" w:eastAsia="宋体" w:cs="Arial"/>
                    <w:color w:val="000000"/>
                    <w:kern w:val="2"/>
                    <w:sz w:val="21"/>
                    <w:szCs w:val="21"/>
                  </w:rPr>
                </w:pPr>
                <w:r>
                  <w:rPr>
                    <w:rFonts w:ascii="Times New Roman" w:hAnsi="Times New Roman" w:eastAsia="宋体" w:cs="Arial"/>
                    <w:kern w:val="2"/>
                    <w:sz w:val="21"/>
                    <w:szCs w:val="21"/>
                  </w:rPr>
                  <w:t>4,879,797.30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spacing w:line="460" w:lineRule="exact"/>
                  <w:ind w:firstLine="360" w:firstLineChars="0"/>
                  <w:jc w:val="center"/>
                  <w:rPr>
                    <w:rFonts w:ascii="Times New Roman" w:hAnsi="Times New Roman" w:eastAsia="宋体" w:cs="宋体"/>
                    <w:color w:val="000000"/>
                    <w:kern w:val="2"/>
                    <w:sz w:val="21"/>
                    <w:szCs w:val="18"/>
                  </w:rPr>
                </w:pPr>
                <w:r>
                  <w:rPr>
                    <w:rFonts w:hint="eastAsia" w:ascii="Times New Roman" w:hAnsi="Times New Roman" w:eastAsia="宋体" w:cs="Times New Roman"/>
                    <w:color w:val="000000"/>
                    <w:kern w:val="2"/>
                    <w:sz w:val="21"/>
                    <w:szCs w:val="18"/>
                  </w:rPr>
                  <w:t>合计</w:t>
                </w:r>
              </w:p>
            </w:tc>
            <w:tc>
              <w:tcPr>
                <w:tcW w:w="1749" w:type="pct"/>
                <w:shd w:val="clear" w:color="auto" w:fill="auto"/>
                <w:vAlign w:val="center"/>
              </w:tcPr>
              <w:p>
                <w:pPr>
                  <w:widowControl/>
                  <w:spacing w:line="460" w:lineRule="exact"/>
                  <w:ind w:firstLine="360" w:firstLineChars="0"/>
                  <w:jc w:val="right"/>
                  <w:rPr>
                    <w:rFonts w:ascii="Times New Roman" w:hAnsi="Times New Roman" w:eastAsia="宋体" w:cs="Arial"/>
                    <w:color w:val="000000"/>
                    <w:kern w:val="2"/>
                    <w:sz w:val="21"/>
                    <w:szCs w:val="21"/>
                  </w:rPr>
                </w:pPr>
                <w:r>
                  <w:rPr>
                    <w:rFonts w:ascii="Times New Roman" w:hAnsi="Times New Roman" w:eastAsia="宋体" w:cs="Arial"/>
                    <w:kern w:val="2"/>
                    <w:sz w:val="21"/>
                    <w:szCs w:val="21"/>
                  </w:rPr>
                  <w:t>4,899,025.82</w:t>
                </w:r>
              </w:p>
            </w:tc>
          </w:tr>
        </w:tbl>
        <w:p>
          <w:pPr>
            <w:widowControl w:val="0"/>
            <w:autoSpaceDE w:val="0"/>
            <w:adjustRightInd w:val="0"/>
            <w:snapToGrid w:val="0"/>
            <w:spacing w:line="460" w:lineRule="atLeast"/>
            <w:ind w:firstLine="420" w:firstLineChars="200"/>
            <w:jc w:val="both"/>
            <w:textAlignment w:val="baseline"/>
            <w:rPr>
              <w:rFonts w:ascii="Times New Roman" w:hAnsi="Times New Roman" w:eastAsia="宋体" w:cs="Arial"/>
              <w:bCs/>
              <w:kern w:val="2"/>
              <w:sz w:val="21"/>
            </w:rPr>
          </w:pPr>
          <w:r>
            <w:rPr>
              <w:rFonts w:hint="eastAsia" w:ascii="Times New Roman" w:hAnsi="Times New Roman" w:eastAsia="宋体" w:cs="Arial"/>
              <w:bCs/>
              <w:kern w:val="2"/>
              <w:sz w:val="21"/>
            </w:rPr>
            <w:t>其他权益工具投资持有期间的股利收入</w:t>
          </w:r>
        </w:p>
        <w:tbl>
          <w:tblPr>
            <w:tblStyle w:val="37"/>
            <w:tblW w:w="4789"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256"/>
            <w:gridCol w:w="341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032" w:type="pct"/>
                <w:shd w:val="clear" w:color="auto" w:fill="auto"/>
                <w:vAlign w:val="center"/>
              </w:tcPr>
              <w:p>
                <w:pPr>
                  <w:widowControl w:val="0"/>
                  <w:tabs>
                    <w:tab w:val="left" w:pos="196"/>
                    <w:tab w:val="left" w:pos="426"/>
                  </w:tabs>
                  <w:snapToGrid w:val="0"/>
                  <w:spacing w:line="460" w:lineRule="exact"/>
                  <w:ind w:firstLine="360" w:firstLineChars="0"/>
                  <w:jc w:val="center"/>
                  <w:rPr>
                    <w:rFonts w:ascii="Times New Roman" w:hAnsi="Times New Roman" w:eastAsia="宋体" w:cs="Times New Roman"/>
                    <w:kern w:val="2"/>
                    <w:sz w:val="21"/>
                    <w:szCs w:val="18"/>
                  </w:rPr>
                </w:pPr>
                <w:r>
                  <w:rPr>
                    <w:rFonts w:ascii="Times New Roman" w:hAnsi="Times New Roman" w:eastAsia="宋体" w:cs="Times New Roman"/>
                    <w:kern w:val="2"/>
                    <w:sz w:val="21"/>
                    <w:szCs w:val="18"/>
                  </w:rPr>
                  <w:t>项目</w:t>
                </w:r>
              </w:p>
            </w:tc>
            <w:tc>
              <w:tcPr>
                <w:tcW w:w="1968" w:type="pct"/>
                <w:shd w:val="clear" w:color="auto" w:fill="auto"/>
                <w:vAlign w:val="center"/>
              </w:tcPr>
              <w:p>
                <w:pPr>
                  <w:widowControl w:val="0"/>
                  <w:tabs>
                    <w:tab w:val="left" w:pos="196"/>
                    <w:tab w:val="left" w:pos="426"/>
                  </w:tabs>
                  <w:snapToGrid w:val="0"/>
                  <w:spacing w:line="460" w:lineRule="exact"/>
                  <w:ind w:firstLine="360" w:firstLineChars="0"/>
                  <w:jc w:val="center"/>
                  <w:rPr>
                    <w:rFonts w:ascii="Times New Roman" w:hAnsi="Times New Roman" w:eastAsia="宋体" w:cs="Times New Roman"/>
                    <w:kern w:val="2"/>
                    <w:sz w:val="21"/>
                    <w:szCs w:val="18"/>
                  </w:rPr>
                </w:pPr>
                <w:r>
                  <w:rPr>
                    <w:rFonts w:ascii="Times New Roman" w:hAnsi="Times New Roman" w:eastAsia="宋体" w:cs="Times New Roman"/>
                    <w:kern w:val="2"/>
                    <w:sz w:val="21"/>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032" w:type="pct"/>
                <w:shd w:val="clear" w:color="auto" w:fill="auto"/>
                <w:vAlign w:val="center"/>
              </w:tcPr>
              <w:p>
                <w:pPr>
                  <w:widowControl w:val="0"/>
                  <w:spacing w:line="460" w:lineRule="exact"/>
                  <w:ind w:firstLine="0" w:firstLineChars="0"/>
                  <w:jc w:val="left"/>
                  <w:rPr>
                    <w:rFonts w:ascii="Times New Roman" w:hAnsi="Times New Roman" w:eastAsia="宋体" w:cs="宋体"/>
                    <w:color w:val="000000"/>
                    <w:kern w:val="2"/>
                    <w:sz w:val="21"/>
                    <w:szCs w:val="18"/>
                  </w:rPr>
                </w:pPr>
                <w:r>
                  <w:rPr>
                    <w:rFonts w:hint="eastAsia" w:ascii="Times New Roman" w:hAnsi="Times New Roman" w:eastAsia="宋体" w:cs="Times New Roman"/>
                    <w:color w:val="000000"/>
                    <w:kern w:val="2"/>
                    <w:sz w:val="21"/>
                    <w:szCs w:val="18"/>
                  </w:rPr>
                  <w:t>广西北部湾银行股份有限公司</w:t>
                </w:r>
              </w:p>
            </w:tc>
            <w:tc>
              <w:tcPr>
                <w:tcW w:w="1968" w:type="pct"/>
                <w:shd w:val="clear" w:color="auto" w:fill="auto"/>
                <w:vAlign w:val="center"/>
              </w:tcPr>
              <w:p>
                <w:pPr>
                  <w:widowControl w:val="0"/>
                  <w:spacing w:line="460" w:lineRule="exact"/>
                  <w:ind w:firstLine="360" w:firstLineChars="0"/>
                  <w:jc w:val="right"/>
                  <w:rPr>
                    <w:rFonts w:ascii="Times New Roman" w:hAnsi="Times New Roman" w:eastAsia="宋体" w:cs="Arial"/>
                    <w:color w:val="000000"/>
                    <w:kern w:val="2"/>
                    <w:sz w:val="21"/>
                    <w:szCs w:val="21"/>
                  </w:rPr>
                </w:pPr>
                <w:r>
                  <w:rPr>
                    <w:rFonts w:ascii="Times New Roman" w:hAnsi="Times New Roman" w:eastAsia="宋体" w:cs="Arial"/>
                    <w:kern w:val="2"/>
                    <w:sz w:val="21"/>
                    <w:szCs w:val="21"/>
                  </w:rPr>
                  <w:t>15,400,000.00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032" w:type="pct"/>
                <w:shd w:val="clear" w:color="auto" w:fill="auto"/>
                <w:vAlign w:val="center"/>
              </w:tcPr>
              <w:p>
                <w:pPr>
                  <w:widowControl w:val="0"/>
                  <w:spacing w:line="460" w:lineRule="exact"/>
                  <w:ind w:firstLine="0" w:firstLineChars="0"/>
                  <w:jc w:val="left"/>
                  <w:rPr>
                    <w:rFonts w:ascii="Times New Roman" w:hAnsi="Times New Roman" w:eastAsia="宋体" w:cs="Times New Roman"/>
                    <w:color w:val="000000"/>
                    <w:kern w:val="2"/>
                    <w:sz w:val="21"/>
                    <w:szCs w:val="18"/>
                  </w:rPr>
                </w:pPr>
                <w:r>
                  <w:rPr>
                    <w:rFonts w:hint="eastAsia" w:ascii="Times New Roman" w:hAnsi="Times New Roman" w:eastAsia="宋体" w:cs="Times New Roman"/>
                    <w:color w:val="000000"/>
                    <w:kern w:val="2"/>
                    <w:sz w:val="21"/>
                    <w:szCs w:val="18"/>
                  </w:rPr>
                  <w:t>柳州银行股份有限公司</w:t>
                </w:r>
              </w:p>
            </w:tc>
            <w:tc>
              <w:tcPr>
                <w:tcW w:w="1968" w:type="pct"/>
                <w:shd w:val="clear" w:color="auto" w:fill="auto"/>
                <w:vAlign w:val="center"/>
              </w:tcPr>
              <w:p>
                <w:pPr>
                  <w:widowControl w:val="0"/>
                  <w:spacing w:line="460" w:lineRule="exact"/>
                  <w:ind w:firstLine="360" w:firstLineChars="0"/>
                  <w:jc w:val="right"/>
                  <w:rPr>
                    <w:rFonts w:ascii="Times New Roman" w:hAnsi="Times New Roman" w:eastAsia="宋体" w:cs="Arial"/>
                    <w:color w:val="000000"/>
                    <w:kern w:val="2"/>
                    <w:sz w:val="21"/>
                    <w:szCs w:val="21"/>
                  </w:rPr>
                </w:pPr>
                <w:r>
                  <w:rPr>
                    <w:rFonts w:ascii="Times New Roman" w:hAnsi="Times New Roman" w:eastAsia="宋体" w:cs="Arial"/>
                    <w:kern w:val="2"/>
                    <w:sz w:val="21"/>
                    <w:szCs w:val="21"/>
                  </w:rPr>
                  <w:t>800,000.00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032" w:type="pct"/>
                <w:shd w:val="clear" w:color="auto" w:fill="auto"/>
                <w:vAlign w:val="center"/>
              </w:tcPr>
              <w:p>
                <w:pPr>
                  <w:widowControl w:val="0"/>
                  <w:spacing w:line="460" w:lineRule="exact"/>
                  <w:ind w:firstLine="360" w:firstLineChars="0"/>
                  <w:jc w:val="center"/>
                  <w:rPr>
                    <w:rFonts w:ascii="Times New Roman" w:hAnsi="Times New Roman" w:eastAsia="宋体" w:cs="宋体"/>
                    <w:color w:val="000000"/>
                    <w:kern w:val="2"/>
                    <w:sz w:val="21"/>
                    <w:szCs w:val="18"/>
                  </w:rPr>
                </w:pPr>
                <w:r>
                  <w:rPr>
                    <w:rFonts w:hint="eastAsia" w:ascii="Times New Roman" w:hAnsi="Times New Roman" w:eastAsia="宋体" w:cs="Times New Roman"/>
                    <w:color w:val="000000"/>
                    <w:kern w:val="2"/>
                    <w:sz w:val="21"/>
                    <w:szCs w:val="18"/>
                  </w:rPr>
                  <w:t>合计</w:t>
                </w:r>
              </w:p>
            </w:tc>
            <w:tc>
              <w:tcPr>
                <w:tcW w:w="1968" w:type="pct"/>
                <w:shd w:val="clear" w:color="auto" w:fill="auto"/>
                <w:vAlign w:val="center"/>
              </w:tcPr>
              <w:p>
                <w:pPr>
                  <w:widowControl w:val="0"/>
                  <w:spacing w:line="460" w:lineRule="exact"/>
                  <w:ind w:firstLine="360" w:firstLineChars="0"/>
                  <w:jc w:val="right"/>
                  <w:rPr>
                    <w:rFonts w:ascii="Times New Roman" w:hAnsi="Times New Roman" w:eastAsia="宋体" w:cs="Arial"/>
                    <w:color w:val="000000"/>
                    <w:kern w:val="2"/>
                    <w:sz w:val="21"/>
                    <w:szCs w:val="21"/>
                  </w:rPr>
                </w:pPr>
                <w:r>
                  <w:rPr>
                    <w:rFonts w:ascii="Times New Roman" w:hAnsi="Times New Roman" w:eastAsia="宋体" w:cs="Arial"/>
                    <w:kern w:val="2"/>
                    <w:sz w:val="21"/>
                    <w:szCs w:val="21"/>
                  </w:rPr>
                  <w:t>16,200,000.00</w:t>
                </w:r>
              </w:p>
            </w:tc>
          </w:tr>
        </w:tbl>
        <w:p>
          <w:pPr>
            <w:rPr>
              <w:szCs w:val="21"/>
            </w:rPr>
          </w:pPr>
        </w:p>
      </w:sdtContent>
    </w:sdt>
    <w:p>
      <w:pPr>
        <w:rPr>
          <w:szCs w:val="21"/>
        </w:rPr>
      </w:pPr>
    </w:p>
    <w:bookmarkEnd w:id="367"/>
    <w:p>
      <w:pPr>
        <w:pStyle w:val="4"/>
        <w:numPr>
          <w:ilvl w:val="0"/>
          <w:numId w:val="132"/>
        </w:numPr>
        <w:rPr>
          <w:szCs w:val="21"/>
        </w:rPr>
      </w:pPr>
      <w:r>
        <w:rPr>
          <w:rFonts w:hint="eastAsia"/>
          <w:szCs w:val="21"/>
        </w:rPr>
        <w:t>其他</w:t>
      </w:r>
    </w:p>
    <w:p/>
    <w:sdt>
      <w:sdtPr>
        <w:rPr>
          <w:rFonts w:hint="eastAsia"/>
          <w:szCs w:val="21"/>
        </w:rPr>
        <w:alias w:val="是否适用：母公司会计报表附注的其他说明事项[双击切换]"/>
        <w:tag w:val="_GBC_da1bbbf487cd4e98b945920735517f12"/>
        <w:id w:val="28273"/>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ind w:right="-1594" w:rightChars="-759"/>
        <w:rPr>
          <w:szCs w:val="21"/>
        </w:rPr>
      </w:pPr>
    </w:p>
    <w:p>
      <w:pPr>
        <w:pStyle w:val="3"/>
        <w:numPr>
          <w:ilvl w:val="0"/>
          <w:numId w:val="60"/>
        </w:numPr>
        <w:rPr>
          <w:rFonts w:ascii="宋体" w:hAnsi="宋体"/>
        </w:rPr>
      </w:pPr>
      <w:r>
        <w:rPr>
          <w:rFonts w:hint="eastAsia" w:ascii="宋体" w:hAnsi="宋体"/>
        </w:rPr>
        <w:t>补充资料</w:t>
      </w:r>
    </w:p>
    <w:p>
      <w:pPr>
        <w:pStyle w:val="4"/>
        <w:numPr>
          <w:ilvl w:val="0"/>
          <w:numId w:val="139"/>
        </w:numPr>
        <w:rPr>
          <w:rFonts w:ascii="宋体" w:hAnsi="宋体"/>
          <w:szCs w:val="21"/>
        </w:rPr>
      </w:pPr>
      <w:bookmarkStart w:id="369" w:name="_Hlk535584690"/>
      <w:bookmarkStart w:id="370" w:name="_Hlk152579827"/>
      <w:r>
        <w:rPr>
          <w:rFonts w:hint="eastAsia" w:ascii="宋体" w:hAnsi="宋体"/>
          <w:szCs w:val="21"/>
        </w:rPr>
        <w:t>当期非经常性损益明细表</w:t>
      </w:r>
    </w:p>
    <w:sdt>
      <w:sdtPr>
        <w:alias w:val="是否适用：当期非经常性损益明细表[双击切换]"/>
        <w:tag w:val="_GBC_b3c7aec730db408a9d46da725d5662b4"/>
        <w:id w:val="28274"/>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p>
      <w:pPr>
        <w:jc w:val="right"/>
        <w:rPr>
          <w:szCs w:val="21"/>
        </w:rPr>
      </w:pPr>
      <w:r>
        <w:rPr>
          <w:rFonts w:hint="eastAsia"/>
          <w:szCs w:val="21"/>
        </w:rPr>
        <w:t>单位：</w:t>
      </w:r>
      <w:sdt>
        <w:sdtPr>
          <w:rPr>
            <w:rFonts w:hint="eastAsia"/>
            <w:szCs w:val="21"/>
          </w:rPr>
          <w:alias w:val="单位：扣除非经常性损益项目和金额"/>
          <w:tag w:val="_GBC_63d386bc1f1d45a9803caa6346ef271f"/>
          <w:id w:val="282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282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219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882777d10a4346880b6d11ab006214"/>
            <w:id w:val="26095"/>
          </w:sdtPr>
          <w:sdtContent>
            <w:tc>
              <w:tcPr>
                <w:tcW w:w="2474" w:type="pct"/>
                <w:vAlign w:val="center"/>
              </w:tcPr>
              <w:p>
                <w:pPr>
                  <w:pStyle w:val="63"/>
                  <w:ind w:firstLine="0" w:firstLineChars="0"/>
                  <w:jc w:val="center"/>
                  <w:rPr>
                    <w:rFonts w:ascii="宋体" w:hAnsi="宋体"/>
                    <w:szCs w:val="21"/>
                  </w:rPr>
                </w:pPr>
                <w:r>
                  <w:rPr>
                    <w:rFonts w:hint="eastAsia" w:ascii="宋体" w:hAnsi="宋体"/>
                    <w:szCs w:val="21"/>
                  </w:rPr>
                  <w:t>项目</w:t>
                </w:r>
              </w:p>
            </w:tc>
          </w:sdtContent>
        </w:sdt>
        <w:sdt>
          <w:sdtPr>
            <w:tag w:val="_PLD_1f5c769dc7ea434a90d739329712e1ed"/>
            <w:id w:val="26096"/>
          </w:sdtPr>
          <w:sdtContent>
            <w:tc>
              <w:tcPr>
                <w:tcW w:w="1209" w:type="pct"/>
                <w:vAlign w:val="center"/>
              </w:tcPr>
              <w:p>
                <w:pPr>
                  <w:pStyle w:val="63"/>
                  <w:ind w:firstLine="0" w:firstLineChars="0"/>
                  <w:jc w:val="center"/>
                  <w:rPr>
                    <w:rFonts w:ascii="宋体" w:hAnsi="宋体"/>
                    <w:szCs w:val="21"/>
                  </w:rPr>
                </w:pPr>
                <w:r>
                  <w:rPr>
                    <w:rFonts w:hint="eastAsia" w:ascii="宋体" w:hAnsi="宋体"/>
                    <w:szCs w:val="21"/>
                  </w:rPr>
                  <w:t>金额</w:t>
                </w:r>
              </w:p>
            </w:tc>
          </w:sdtContent>
        </w:sdt>
        <w:sdt>
          <w:sdtPr>
            <w:tag w:val="_PLD_e78492b22a7c4b8aa4989eb26eb4c98c"/>
            <w:id w:val="26097"/>
          </w:sdtPr>
          <w:sdtContent>
            <w:tc>
              <w:tcPr>
                <w:tcW w:w="1313" w:type="pct"/>
                <w:vAlign w:val="center"/>
              </w:tcPr>
              <w:p>
                <w:pPr>
                  <w:pStyle w:val="63"/>
                  <w:ind w:firstLine="0" w:firstLineChars="0"/>
                  <w:jc w:val="center"/>
                  <w:rPr>
                    <w:rFonts w:ascii="宋体" w:hAnsi="宋体"/>
                    <w:szCs w:val="21"/>
                  </w:rPr>
                </w:pPr>
                <w:r>
                  <w:rPr>
                    <w:rFonts w:hint="eastAsia" w:ascii="宋体" w:hAnsi="宋体"/>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209" w:type="pct"/>
            <w:vAlign w:val="center"/>
          </w:tcPr>
          <w:p>
            <w:pPr>
              <w:widowControl w:val="0"/>
              <w:jc w:val="right"/>
              <w:rPr>
                <w:szCs w:val="21"/>
              </w:rPr>
            </w:pPr>
            <w:r>
              <w:rPr>
                <w:rFonts w:hint="eastAsia"/>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20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 6,938,601.93</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09" w:type="pct"/>
            <w:vAlign w:val="center"/>
          </w:tcPr>
          <w:p>
            <w:pPr>
              <w:widowControl w:val="0"/>
              <w:jc w:val="right"/>
              <w:rPr>
                <w:rFonts w:hint="default" w:ascii="Times New Roman" w:hAnsi="Times New Roman" w:cs="Times New Roman"/>
                <w:sz w:val="21"/>
                <w:szCs w:val="21"/>
              </w:rPr>
            </w:pPr>
            <w:r>
              <w:rPr>
                <w:rFonts w:hint="default" w:ascii="Times New Roman" w:hAnsi="Times New Roman" w:cs="Times New Roman"/>
                <w:color w:val="auto"/>
                <w:sz w:val="21"/>
                <w:szCs w:val="21"/>
              </w:rPr>
              <w:t> 4,632,585.20</w:t>
            </w:r>
          </w:p>
        </w:tc>
        <w:tc>
          <w:tcPr>
            <w:tcW w:w="1313" w:type="pct"/>
            <w:vAlign w:val="center"/>
          </w:tcPr>
          <w:p>
            <w:pPr>
              <w:widowControl w:val="0"/>
              <w:jc w:val="both"/>
              <w:rPr>
                <w:szCs w:val="21"/>
              </w:rPr>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计入当期损益的对非金融企业收取的资金占用费</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委托他人投资或管理资产的损益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对外委托贷款取得的损益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因不可抗力因</w:t>
            </w:r>
            <w:r>
              <w:rPr>
                <w:rFonts w:hint="eastAsia"/>
                <w:szCs w:val="21"/>
              </w:rPr>
              <w:t>素，如遭受自然灾害而产生的各项资产损失</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pPr>
            <w:r>
              <w:rPr>
                <w:rFonts w:hint="eastAsia"/>
              </w:rPr>
              <w:t>单独进行减值测试的应收款项减值准备转回</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　</w:t>
            </w:r>
          </w:p>
        </w:tc>
        <w:tc>
          <w:tcPr>
            <w:tcW w:w="1313" w:type="pct"/>
            <w:vAlign w:val="center"/>
          </w:tcPr>
          <w:p>
            <w:pPr>
              <w:widowControl w:val="0"/>
              <w:jc w:val="both"/>
              <w:rPr>
                <w:szCs w:val="21"/>
              </w:rPr>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企业取得子公司、联营企业及合营企业的投资成本小于取得投资时应享有被投资单位可辨认净资产公允价值产生的收益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同一控制下企业合并产生的子公司期初至合并日的当期净损益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非货币性资产交换损益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债务重组损益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企业</w:t>
            </w:r>
            <w:r>
              <w:rPr>
                <w:rFonts w:hint="eastAsia"/>
                <w:szCs w:val="21"/>
              </w:rPr>
              <w:t>因相关经营活动不再持续而发生的一次性费用，如安置职工的支出等</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因税收、会计等法律、法规</w:t>
            </w:r>
            <w:r>
              <w:rPr>
                <w:rFonts w:hint="eastAsia"/>
                <w:szCs w:val="21"/>
              </w:rPr>
              <w:t>的调整对当期损益产生的一次性影响</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pPr>
            <w:r>
              <w:t>因取消、修改股权激励计划一次性确认的股份支付费用</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　</w:t>
            </w:r>
          </w:p>
        </w:tc>
        <w:tc>
          <w:tcPr>
            <w:tcW w:w="1313" w:type="pct"/>
            <w:vAlign w:val="center"/>
          </w:tcPr>
          <w:p>
            <w:pPr>
              <w:widowControl w:val="0"/>
              <w:jc w:val="both"/>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pPr>
            <w:r>
              <w:t>对于现金结算的股份支付，在可行权日之后，应付职工薪酬的公允价值变动产生的损益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rPr>
              <w:t>　</w:t>
            </w:r>
          </w:p>
        </w:tc>
        <w:tc>
          <w:tcPr>
            <w:tcW w:w="1313" w:type="pct"/>
            <w:vAlign w:val="center"/>
          </w:tcPr>
          <w:p>
            <w:pPr>
              <w:widowControl w:val="0"/>
              <w:jc w:val="both"/>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采用公允价值模式进行后续计量的投资性房地产公允价值变动产生的损益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rFonts w:hint="eastAsia"/>
                <w:szCs w:val="21"/>
              </w:rPr>
              <w:t>交易价格显失公允的交易产生的收益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与公司正常经营业务无关的或有事项产生的损益</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受托经营取得的托管费收入</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除上述各项之外的其他营业外收入和支出</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 -804,200.99</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szCs w:val="21"/>
              </w:rPr>
              <w:t>其他符合非经常性损益定义的损益项目</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szCs w:val="21"/>
              </w:rPr>
              <w:t>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ind w:firstLine="0" w:firstLineChars="0"/>
              <w:jc w:val="left"/>
              <w:rPr>
                <w:szCs w:val="21"/>
              </w:rPr>
            </w:pPr>
            <w:r>
              <w:rPr>
                <w:rFonts w:hint="eastAsia"/>
              </w:rPr>
              <w:t>减：</w:t>
            </w:r>
            <w:r>
              <w:rPr>
                <w:szCs w:val="21"/>
              </w:rPr>
              <w:t>所得税影响额</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 xml:space="preserve">2,167,728.68 </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63"/>
              <w:jc w:val="left"/>
              <w:rPr>
                <w:szCs w:val="21"/>
              </w:rPr>
            </w:pPr>
            <w:r>
              <w:rPr>
                <w:szCs w:val="21"/>
              </w:rPr>
              <w:t>少数股东权益影响额</w:t>
            </w:r>
            <w:r>
              <w:rPr>
                <w:rFonts w:hint="eastAsia"/>
                <w:szCs w:val="21"/>
              </w:rPr>
              <w:t>（税后）</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szCs w:val="21"/>
              </w:rPr>
              <w:t> 23,750.13</w:t>
            </w:r>
          </w:p>
        </w:tc>
        <w:tc>
          <w:tcPr>
            <w:tcW w:w="1313" w:type="pct"/>
            <w:vAlign w:val="center"/>
          </w:tcPr>
          <w:p>
            <w:pPr>
              <w:widowControl w:val="0"/>
              <w:jc w:val="both"/>
              <w:rPr>
                <w:szCs w:val="21"/>
              </w:rPr>
            </w:pPr>
            <w:r>
              <w:rPr>
                <w:rFonts w:hint="eastAsia"/>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63"/>
              <w:ind w:firstLine="0" w:firstLineChars="0"/>
              <w:jc w:val="center"/>
              <w:rPr>
                <w:szCs w:val="21"/>
              </w:rPr>
            </w:pPr>
            <w:r>
              <w:rPr>
                <w:szCs w:val="21"/>
              </w:rPr>
              <w:t>合计</w:t>
            </w:r>
          </w:p>
        </w:tc>
        <w:tc>
          <w:tcPr>
            <w:tcW w:w="1209" w:type="pct"/>
            <w:vAlign w:val="center"/>
          </w:tcPr>
          <w:p>
            <w:pPr>
              <w:widowControl w:val="0"/>
              <w:jc w:val="right"/>
              <w:rPr>
                <w:rFonts w:hint="default" w:ascii="Times New Roman" w:hAnsi="Times New Roman" w:cs="Times New Roman"/>
                <w:szCs w:val="21"/>
              </w:rPr>
            </w:pPr>
            <w:r>
              <w:rPr>
                <w:rFonts w:hint="default" w:ascii="Times New Roman" w:hAnsi="Times New Roman" w:cs="Times New Roman"/>
                <w:color w:val="auto"/>
              </w:rPr>
              <w:t xml:space="preserve">8,575,507.33 </w:t>
            </w:r>
          </w:p>
        </w:tc>
        <w:tc>
          <w:tcPr>
            <w:tcW w:w="1313" w:type="pct"/>
            <w:vAlign w:val="center"/>
          </w:tcPr>
          <w:p>
            <w:pPr>
              <w:widowControl w:val="0"/>
              <w:jc w:val="both"/>
              <w:rPr>
                <w:szCs w:val="21"/>
              </w:rPr>
            </w:pPr>
            <w:r>
              <w:rPr>
                <w:rFonts w:hint="eastAsia"/>
                <w:szCs w:val="21"/>
              </w:rPr>
              <w:t>　</w:t>
            </w:r>
          </w:p>
        </w:tc>
      </w:tr>
    </w:tbl>
    <w:p/>
    <w:bookmarkEnd w:id="369"/>
    <w:bookmarkEnd w:id="370"/>
    <w:p>
      <w:pPr>
        <w:rPr>
          <w:szCs w:val="21"/>
        </w:rPr>
      </w:pPr>
      <w:bookmarkStart w:id="371" w:name="_Hlk154752626"/>
      <w:r>
        <w:rPr>
          <w:rFonts w:hint="eastAsia"/>
          <w:szCs w:val="21"/>
        </w:rPr>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8280"/>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28281"/>
        <w:placeholder>
          <w:docPart w:val="GBC22222222222222222222222222222"/>
        </w:placeholder>
      </w:sdtPr>
      <w:sdtEndPr>
        <w:rPr>
          <w:szCs w:val="21"/>
        </w:rPr>
      </w:sdtEndPr>
      <w:sdtContent>
        <w:p>
          <w:pPr>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outlineLvl w:val="9"/>
        <w:rPr>
          <w:szCs w:val="21"/>
        </w:rPr>
      </w:pPr>
    </w:p>
    <w:bookmarkEnd w:id="371"/>
    <w:p>
      <w:pPr>
        <w:pStyle w:val="4"/>
        <w:numPr>
          <w:ilvl w:val="0"/>
          <w:numId w:val="139"/>
        </w:numPr>
        <w:rPr>
          <w:szCs w:val="21"/>
        </w:rPr>
      </w:pPr>
      <w:r>
        <w:rPr>
          <w:rFonts w:hint="eastAsia"/>
          <w:szCs w:val="21"/>
        </w:rPr>
        <w:t>净资产</w:t>
      </w:r>
      <w:r>
        <w:rPr>
          <w:rFonts w:hint="eastAsia" w:ascii="宋体" w:hAnsi="宋体"/>
          <w:szCs w:val="21"/>
        </w:rPr>
        <w:t>收益率</w:t>
      </w:r>
      <w:r>
        <w:rPr>
          <w:rFonts w:hint="eastAsia"/>
          <w:szCs w:val="21"/>
        </w:rPr>
        <w:t>及每股收益</w:t>
      </w:r>
    </w:p>
    <w:sdt>
      <w:sdtPr>
        <w:alias w:val="是否适用：净资产收益率及每股收益[双击切换]"/>
        <w:tag w:val="_GBC_c0f530bdf9ee48239f470eda08b303d7"/>
        <w:id w:val="28283"/>
        <w:placeholder>
          <w:docPart w:val="GBC22222222222222222222222222222"/>
        </w:placeholder>
      </w:sdtPr>
      <w:sdtContent>
        <w:p>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14"/>
        <w:gridCol w:w="1841"/>
        <w:gridCol w:w="2146"/>
        <w:gridCol w:w="21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70" w:hRule="atLeast"/>
        </w:trPr>
        <w:sdt>
          <w:sdtPr>
            <w:tag w:val="_PLD_85d9a7abc9cd45768b2b5f99afa4a4ef"/>
            <w:id w:val="28284"/>
          </w:sdt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报告期利润</w:t>
                </w:r>
              </w:p>
            </w:tc>
          </w:sdtContent>
        </w:sdt>
        <w:sdt>
          <w:sdtPr>
            <w:tag w:val="_PLD_7f5ad103cbb04f7d904001b07266bf41"/>
            <w:id w:val="28285"/>
          </w:sdtPr>
          <w:sdtContent>
            <w:tc>
              <w:tcPr>
                <w:tcW w:w="1017" w:type="pct"/>
                <w:vMerge w:val="restart"/>
                <w:tcBorders>
                  <w:top w:val="single" w:color="auto" w:sz="4" w:space="0"/>
                  <w:left w:val="single" w:color="auto" w:sz="4" w:space="0"/>
                  <w:right w:val="single" w:color="auto" w:sz="4" w:space="0"/>
                </w:tcBorders>
                <w:vAlign w:val="center"/>
              </w:tcPr>
              <w:p>
                <w:pPr>
                  <w:jc w:val="center"/>
                  <w:rPr>
                    <w:szCs w:val="21"/>
                  </w:rPr>
                </w:pPr>
                <w:r>
                  <w:rPr>
                    <w:szCs w:val="21"/>
                  </w:rPr>
                  <w:t>加权平均净资产收益率（%）</w:t>
                </w:r>
              </w:p>
            </w:tc>
          </w:sdtContent>
        </w:sdt>
        <w:sdt>
          <w:sdtPr>
            <w:tag w:val="_PLD_adaa515ff68f455d8bcd75e516da3040"/>
            <w:id w:val="28286"/>
          </w:sdtPr>
          <w:sdtContent>
            <w:tc>
              <w:tcPr>
                <w:tcW w:w="2373"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017"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503a9e353572491fb64751c75881b5ac"/>
            <w:id w:val="28287"/>
          </w:sdt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基本每股收益</w:t>
                </w:r>
              </w:p>
            </w:tc>
          </w:sdtContent>
        </w:sdt>
        <w:sdt>
          <w:sdtPr>
            <w:tag w:val="_PLD_b57959d0e3714f2590eb4529892e5c18"/>
            <w:id w:val="28288"/>
          </w:sdtPr>
          <w:sdtContent>
            <w:tc>
              <w:tcPr>
                <w:tcW w:w="118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tcBorders>
              <w:top w:val="single" w:color="auto" w:sz="4" w:space="0"/>
              <w:left w:val="single" w:color="auto" w:sz="4" w:space="0"/>
              <w:bottom w:val="single" w:color="auto" w:sz="4" w:space="0"/>
              <w:right w:val="single" w:color="auto" w:sz="4" w:space="0"/>
            </w:tcBorders>
          </w:tcPr>
          <w:p>
            <w:pPr>
              <w:rPr>
                <w:szCs w:val="21"/>
              </w:rPr>
            </w:pPr>
            <w:r>
              <w:rPr>
                <w:szCs w:val="21"/>
              </w:rPr>
              <w:t>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1.08</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0.04</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tcBorders>
              <w:top w:val="single" w:color="auto" w:sz="4" w:space="0"/>
              <w:left w:val="single" w:color="auto" w:sz="4" w:space="0"/>
              <w:bottom w:val="single" w:color="auto" w:sz="4" w:space="0"/>
              <w:right w:val="single" w:color="auto" w:sz="4" w:space="0"/>
            </w:tcBorders>
          </w:tcPr>
          <w:p>
            <w:pPr>
              <w:rPr>
                <w:szCs w:val="21"/>
              </w:rPr>
            </w:pPr>
            <w:r>
              <w:rPr>
                <w:szCs w:val="21"/>
              </w:rPr>
              <w:t>扣除非经常性损益后归属于公司普通股股东的净利润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eastAsia="宋体" w:cs="Times New Roman"/>
                <w:szCs w:val="21"/>
                <w:lang w:val="en-US" w:eastAsia="zh-CN"/>
              </w:rPr>
            </w:pPr>
            <w:r>
              <w:rPr>
                <w:rFonts w:hint="default" w:ascii="Times New Roman" w:hAnsi="Times New Roman" w:cs="Times New Roman"/>
              </w:rPr>
              <w:t>0.6</w:t>
            </w:r>
            <w:r>
              <w:rPr>
                <w:rFonts w:hint="eastAsia" w:ascii="Times New Roman" w:hAnsi="Times New Roman" w:cs="Times New Roman"/>
                <w:lang w:val="en-US" w:eastAsia="zh-CN"/>
              </w:rPr>
              <w:t>8</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0.03</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szCs w:val="21"/>
              </w:rPr>
            </w:pPr>
            <w:r>
              <w:rPr>
                <w:rFonts w:hint="default" w:ascii="Times New Roman" w:hAnsi="Times New Roman" w:cs="Times New Roman"/>
              </w:rPr>
              <w:t>0.03</w:t>
            </w:r>
          </w:p>
        </w:tc>
      </w:tr>
    </w:tbl>
    <w:p/>
    <w:p/>
    <w:p>
      <w:pPr>
        <w:rPr>
          <w:szCs w:val="21"/>
        </w:rPr>
      </w:pPr>
    </w:p>
    <w:p>
      <w:pPr>
        <w:pStyle w:val="4"/>
        <w:numPr>
          <w:ilvl w:val="0"/>
          <w:numId w:val="139"/>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28289"/>
        <w:placeholder>
          <w:docPart w:val="GBC22222222222222222222222222222"/>
        </w:placeholder>
      </w:sdtPr>
      <w:sdtContent>
        <w:p>
          <w:pPr>
            <w:outlineLvl w:val="9"/>
            <w:rPr>
              <w:rFonts w:cstheme="minorBidi"/>
              <w:kern w:val="2"/>
              <w:szCs w:val="21"/>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p>
      <w:pPr>
        <w:rPr>
          <w:szCs w:val="21"/>
        </w:rPr>
      </w:pPr>
    </w:p>
    <w:p>
      <w:pPr>
        <w:pStyle w:val="4"/>
        <w:numPr>
          <w:ilvl w:val="0"/>
          <w:numId w:val="139"/>
        </w:numPr>
        <w:rPr>
          <w:szCs w:val="21"/>
        </w:rPr>
      </w:pPr>
      <w:r>
        <w:rPr>
          <w:rFonts w:hint="eastAsia"/>
          <w:szCs w:val="21"/>
        </w:rPr>
        <w:t>其他</w:t>
      </w:r>
    </w:p>
    <w:sdt>
      <w:sdtPr>
        <w:rPr>
          <w:rFonts w:hint="eastAsia"/>
          <w:szCs w:val="21"/>
        </w:rPr>
        <w:alias w:val="是否适用：补充资料其他说明事项[双击切换]"/>
        <w:tag w:val="_GBC_96c49cb17ab64891ac1d396be649be3c"/>
        <w:id w:val="28290"/>
        <w:placeholder>
          <w:docPart w:val="GBC22222222222222222222222222222"/>
        </w:placeholder>
      </w:sdtPr>
      <w:sdtEndPr>
        <w:rPr>
          <w:rFonts w:hint="eastAsia"/>
          <w:szCs w:val="21"/>
        </w:rPr>
      </w:sdtEndPr>
      <w:sdtContent>
        <w:p>
          <w:pPr>
            <w:outlineLvl w:val="9"/>
            <w:rPr>
              <w:szCs w:val="21"/>
            </w:rPr>
          </w:pPr>
          <w:r>
            <w:rPr>
              <w:szCs w:val="21"/>
            </w:rPr>
            <w:fldChar w:fldCharType="begin"/>
          </w:r>
          <w:r>
            <w:rPr>
              <w:rFonts w:hint="eastAsia"/>
              <w:szCs w:val="21"/>
              <w:lang w:eastAsia="zh-CN"/>
            </w:rPr>
            <w:instrText xml:space="preserve"> MACROBUTTON  SnrToggleCheckbox □适用  </w:instrText>
          </w:r>
          <w:r>
            <w:rPr>
              <w:szCs w:val="21"/>
            </w:rPr>
            <w:fldChar w:fldCharType="end"/>
          </w:r>
          <w:r>
            <w:rPr>
              <w:szCs w:val="21"/>
            </w:rPr>
            <w:fldChar w:fldCharType="begin"/>
          </w:r>
          <w:r>
            <w:rPr>
              <w:rFonts w:hint="eastAsia"/>
              <w:szCs w:val="21"/>
              <w:lang w:eastAsia="zh-CN"/>
            </w:rPr>
            <w:instrText xml:space="preserve"> MACROBUTTON  SnrToggleCheckbox √不适用 </w:instrText>
          </w:r>
          <w:r>
            <w:rPr>
              <w:szCs w:val="21"/>
            </w:rPr>
            <w:fldChar w:fldCharType="end"/>
          </w:r>
        </w:p>
      </w:sdtContent>
    </w:sdt>
    <w:p>
      <w:pPr>
        <w:rPr>
          <w:szCs w:val="21"/>
        </w:rPr>
      </w:pPr>
    </w:p>
    <w:p>
      <w:pPr>
        <w:spacing w:line="360" w:lineRule="exact"/>
        <w:ind w:right="5"/>
        <w:rPr>
          <w:b/>
          <w:bCs/>
          <w:sz w:val="24"/>
        </w:rPr>
      </w:pPr>
      <w:bookmarkStart w:id="372" w:name="_Hlk89951888"/>
      <w:bookmarkStart w:id="373" w:name="_Hlk90043452"/>
    </w:p>
    <w:p>
      <w:pPr>
        <w:wordWrap w:val="0"/>
        <w:spacing w:line="360" w:lineRule="exact"/>
        <w:jc w:val="right"/>
        <w:rPr>
          <w:u w:val="single"/>
        </w:rPr>
      </w:pPr>
      <w:r>
        <w:t>董事长：</w:t>
      </w:r>
      <w:sdt>
        <w:sdtPr>
          <w:alias w:val="报告发布人"/>
          <w:tag w:val="_GBC_728ad6dff57942a69e22fcccc1f10a3c"/>
          <w:id w:val="28291"/>
          <w:placeholder>
            <w:docPart w:val="GBC22222222222222222222222222222"/>
          </w:placeholder>
        </w:sdtPr>
        <w:sdtContent>
          <w:r>
            <w:rPr>
              <w:rFonts w:hint="eastAsia"/>
              <w:lang w:val="en-US" w:eastAsia="zh-CN"/>
            </w:rPr>
            <w:t>林钻煌</w:t>
          </w:r>
        </w:sdtContent>
      </w:sdt>
      <w:r>
        <w:rPr>
          <w:rFonts w:hint="eastAsia"/>
        </w:rPr>
        <w:t xml:space="preserve"> </w:t>
      </w:r>
    </w:p>
    <w:p>
      <w:pPr>
        <w:spacing w:line="360" w:lineRule="exact"/>
        <w:jc w:val="right"/>
        <w:rPr>
          <w:rFonts w:hint="default" w:ascii="Times New Roman" w:hAnsi="Times New Roman" w:cs="Times New Roman"/>
        </w:rPr>
      </w:pPr>
      <w:r>
        <w:t>董事会批准报送日期：</w:t>
      </w:r>
      <w:sdt>
        <w:sdtPr>
          <w:alias w:val="报告董事会批准报送日期"/>
          <w:tag w:val="_GBC_7b8c4a7926dc47299591537f5943936d"/>
          <w:id w:val="28292"/>
          <w:placeholder>
            <w:docPart w:val="GBC22222222222222222222222222222"/>
          </w:placeholder>
          <w:date w:fullDate="2024-03-27T00:00:00Z">
            <w:dateFormat w:val="yyyy'年'M'月'd'日'"/>
            <w:lid w:val="zh-CN"/>
            <w:storeMappedDataAs w:val="datetime"/>
            <w:calendar w:val="gregorian"/>
          </w:date>
        </w:sdtPr>
        <w:sdtEndPr>
          <w:rPr>
            <w:rFonts w:hint="default" w:ascii="Times New Roman" w:hAnsi="Times New Roman" w:cs="Times New Roman"/>
          </w:rPr>
        </w:sdtEndPr>
        <w:sdtContent>
          <w:r>
            <w:rPr>
              <w:rFonts w:hint="default" w:ascii="Times New Roman" w:hAnsi="Times New Roman" w:eastAsia="宋体" w:cs="Times New Roman"/>
              <w:sz w:val="21"/>
              <w:szCs w:val="24"/>
              <w:lang w:val="en-US" w:eastAsia="zh-CN" w:bidi="ar-SA"/>
            </w:rPr>
            <w:t>2024年3月27日</w:t>
          </w:r>
        </w:sdtContent>
      </w:sdt>
      <w:r>
        <w:rPr>
          <w:rFonts w:hint="default" w:ascii="Times New Roman" w:hAnsi="Times New Roman" w:cs="Times New Roman"/>
        </w:rPr>
        <w:t xml:space="preserve"> </w:t>
      </w:r>
    </w:p>
    <w:bookmarkEnd w:id="372"/>
    <w:bookmarkEnd w:id="373"/>
    <w:p>
      <w:pPr>
        <w:spacing w:line="360" w:lineRule="exact"/>
        <w:ind w:right="5"/>
        <w:rPr>
          <w:u w:val="single"/>
        </w:rPr>
      </w:pPr>
    </w:p>
    <w:p>
      <w:pPr>
        <w:spacing w:line="360" w:lineRule="exact"/>
        <w:ind w:right="5"/>
      </w:pPr>
    </w:p>
    <w:p>
      <w:pPr>
        <w:spacing w:line="360" w:lineRule="exact"/>
        <w:ind w:right="5"/>
        <w:rPr>
          <w:b/>
          <w:sz w:val="24"/>
        </w:rPr>
      </w:pPr>
      <w:r>
        <w:rPr>
          <w:b/>
          <w:sz w:val="24"/>
        </w:rPr>
        <w:t>修订信息</w:t>
      </w:r>
    </w:p>
    <w:sdt>
      <w:sdtPr>
        <w:alias w:val="是否适用：修订信息表[双击切换]"/>
        <w:tag w:val="_GBC_888e757d42a24d3a87b71f50b0589b0a"/>
        <w:id w:val="28293"/>
        <w:placeholder>
          <w:docPart w:val="GBC22222222222222222222222222222"/>
        </w:placeholder>
      </w:sdtPr>
      <w:sdtContent>
        <w:p>
          <w:pPr>
            <w:spacing w:line="360" w:lineRule="exact"/>
            <w:ind w:right="5"/>
            <w:outlineLvl w:val="9"/>
            <w:rPr>
              <w:rFonts w:hint="eastAsia"/>
            </w:rPr>
          </w:pPr>
          <w:r>
            <w:fldChar w:fldCharType="begin"/>
          </w:r>
          <w:r>
            <w:rPr>
              <w:rFonts w:hint="eastAsia"/>
              <w:lang w:eastAsia="zh-CN"/>
            </w:rPr>
            <w:instrText xml:space="preserve">MACROBUTTON  SnrToggleCheckbox □适用 </w:instrText>
          </w:r>
          <w:r>
            <w:fldChar w:fldCharType="end"/>
          </w:r>
          <w:r>
            <w:fldChar w:fldCharType="begin"/>
          </w:r>
          <w:r>
            <w:rPr>
              <w:rFonts w:hint="eastAsia"/>
              <w:lang w:eastAsia="zh-CN"/>
            </w:rPr>
            <w:instrText xml:space="preserve"> MACROBUTTON  SnrToggleCheckbox √不适用 </w:instrText>
          </w:r>
          <w:r>
            <w:fldChar w:fldCharType="end"/>
          </w:r>
        </w:p>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FZLTSK--GBK1-0">
    <w:altName w:val="Times New Roman"/>
    <w:panose1 w:val="00000000000000000000"/>
    <w:charset w:val="00"/>
    <w:family w:val="roman"/>
    <w:pitch w:val="default"/>
    <w:sig w:usb0="00000000" w:usb1="00000000" w:usb2="00000000" w:usb3="00000000" w:csb0="00000000" w:csb1="00000000"/>
  </w:font>
  <w:font w:name="Arial Narrow">
    <w:altName w:val="Arial"/>
    <w:panose1 w:val="00000000000000000000"/>
    <w:charset w:val="00"/>
    <w:family w:val="auto"/>
    <w:pitch w:val="default"/>
    <w:sig w:usb0="00000000" w:usb1="00000000" w:usb2="00000000" w:usb3="00000000" w:csb0="00000000" w:csb1="00000000"/>
  </w:font>
  <w:font w:name="宋体-方正超大字符集">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835307"/>
      <w:docPartObj>
        <w:docPartGallery w:val="autotext"/>
      </w:docPartObj>
    </w:sdtPr>
    <w:sdtContent>
      <w:sdt>
        <w:sdtPr>
          <w:id w:val="1080646581"/>
          <w:docPartObj>
            <w:docPartGallery w:val="autotext"/>
          </w:docPartObj>
        </w:sdtPr>
        <w:sdtContent>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82</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2023年年度报告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3C832"/>
    <w:multiLevelType w:val="singleLevel"/>
    <w:tmpl w:val="9423C832"/>
    <w:lvl w:ilvl="0" w:tentative="0">
      <w:start w:val="1"/>
      <w:numFmt w:val="decimal"/>
      <w:suff w:val="nothing"/>
      <w:lvlText w:val="%1、"/>
      <w:lvlJc w:val="left"/>
    </w:lvl>
  </w:abstractNum>
  <w:abstractNum w:abstractNumId="1">
    <w:nsid w:val="00533058"/>
    <w:multiLevelType w:val="multilevel"/>
    <w:tmpl w:val="00533058"/>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1C7576E"/>
    <w:multiLevelType w:val="multilevel"/>
    <w:tmpl w:val="01C7576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2E66CBA"/>
    <w:multiLevelType w:val="multilevel"/>
    <w:tmpl w:val="02E66CBA"/>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7142FD"/>
    <w:multiLevelType w:val="multilevel"/>
    <w:tmpl w:val="037142FD"/>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B7239C"/>
    <w:multiLevelType w:val="multilevel"/>
    <w:tmpl w:val="03B7239C"/>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322D58"/>
    <w:multiLevelType w:val="multilevel"/>
    <w:tmpl w:val="04322D5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4364DD5"/>
    <w:multiLevelType w:val="multilevel"/>
    <w:tmpl w:val="04364DD5"/>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5BF2AD3"/>
    <w:multiLevelType w:val="multilevel"/>
    <w:tmpl w:val="05BF2A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76A22C6"/>
    <w:multiLevelType w:val="multilevel"/>
    <w:tmpl w:val="076A22C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80D0CFB"/>
    <w:multiLevelType w:val="multilevel"/>
    <w:tmpl w:val="080D0CF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93C6900"/>
    <w:multiLevelType w:val="multilevel"/>
    <w:tmpl w:val="093C6900"/>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0C000243"/>
    <w:multiLevelType w:val="multilevel"/>
    <w:tmpl w:val="0C00024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CAE1B45"/>
    <w:multiLevelType w:val="multilevel"/>
    <w:tmpl w:val="0CAE1B4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DC97DB7"/>
    <w:multiLevelType w:val="multilevel"/>
    <w:tmpl w:val="0DC97DB7"/>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0EE939DD"/>
    <w:multiLevelType w:val="multilevel"/>
    <w:tmpl w:val="0EE939DD"/>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51215BB"/>
    <w:multiLevelType w:val="multilevel"/>
    <w:tmpl w:val="151215BB"/>
    <w:lvl w:ilvl="0" w:tentative="0">
      <w:start w:val="1"/>
      <w:numFmt w:val="decimal"/>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1">
    <w:nsid w:val="16265715"/>
    <w:multiLevelType w:val="multilevel"/>
    <w:tmpl w:val="1626571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18982D2E"/>
    <w:multiLevelType w:val="multilevel"/>
    <w:tmpl w:val="18982D2E"/>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4">
    <w:nsid w:val="18A52FB9"/>
    <w:multiLevelType w:val="multilevel"/>
    <w:tmpl w:val="18A52FB9"/>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9B61093"/>
    <w:multiLevelType w:val="multilevel"/>
    <w:tmpl w:val="19B61093"/>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A876789"/>
    <w:multiLevelType w:val="multilevel"/>
    <w:tmpl w:val="1A876789"/>
    <w:lvl w:ilvl="0" w:tentative="0">
      <w:start w:val="1"/>
      <w:numFmt w:val="decimal"/>
      <w:lvlText w:val="%1."/>
      <w:lvlJc w:val="left"/>
      <w:pPr>
        <w:ind w:left="420" w:hanging="420"/>
      </w:pPr>
      <w:rPr>
        <w:rFonts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B0970AA"/>
    <w:multiLevelType w:val="multilevel"/>
    <w:tmpl w:val="1B0970A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8">
    <w:nsid w:val="1BCF0D86"/>
    <w:multiLevelType w:val="multilevel"/>
    <w:tmpl w:val="1BCF0D86"/>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C0A5E4B"/>
    <w:multiLevelType w:val="multilevel"/>
    <w:tmpl w:val="1C0A5E4B"/>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1CEC30BF"/>
    <w:multiLevelType w:val="multilevel"/>
    <w:tmpl w:val="1CEC30B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1E235F8B"/>
    <w:multiLevelType w:val="multilevel"/>
    <w:tmpl w:val="1E235F8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3">
    <w:nsid w:val="1F4131F6"/>
    <w:multiLevelType w:val="multilevel"/>
    <w:tmpl w:val="1F4131F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F6D425C"/>
    <w:multiLevelType w:val="multilevel"/>
    <w:tmpl w:val="1F6D425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F9677B9"/>
    <w:multiLevelType w:val="multilevel"/>
    <w:tmpl w:val="1F9677B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6">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7">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8">
    <w:nsid w:val="2052160B"/>
    <w:multiLevelType w:val="multilevel"/>
    <w:tmpl w:val="205216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121200C"/>
    <w:multiLevelType w:val="multilevel"/>
    <w:tmpl w:val="2121200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217F3B1B"/>
    <w:multiLevelType w:val="multilevel"/>
    <w:tmpl w:val="217F3B1B"/>
    <w:lvl w:ilvl="0" w:tentative="0">
      <w:start w:val="1"/>
      <w:numFmt w:val="decimal"/>
      <w:lvlText w:val="(%1)."/>
      <w:lvlJc w:val="left"/>
      <w:pPr>
        <w:ind w:left="1842" w:hanging="425"/>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21A7388C"/>
    <w:multiLevelType w:val="multilevel"/>
    <w:tmpl w:val="21A7388C"/>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246C0E3A"/>
    <w:multiLevelType w:val="multilevel"/>
    <w:tmpl w:val="246C0E3A"/>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273131BF"/>
    <w:multiLevelType w:val="multilevel"/>
    <w:tmpl w:val="273131B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4">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5">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8">
    <w:nsid w:val="2C6C7566"/>
    <w:multiLevelType w:val="multilevel"/>
    <w:tmpl w:val="2C6C7566"/>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D223BC3"/>
    <w:multiLevelType w:val="multilevel"/>
    <w:tmpl w:val="2D223BC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1">
    <w:nsid w:val="2DE55932"/>
    <w:multiLevelType w:val="multilevel"/>
    <w:tmpl w:val="2DE55932"/>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EE12A98"/>
    <w:multiLevelType w:val="multilevel"/>
    <w:tmpl w:val="2EE12A98"/>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3">
    <w:nsid w:val="304B6811"/>
    <w:multiLevelType w:val="multilevel"/>
    <w:tmpl w:val="304B6811"/>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54">
    <w:nsid w:val="30712312"/>
    <w:multiLevelType w:val="multilevel"/>
    <w:tmpl w:val="3071231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5">
    <w:nsid w:val="31042AC8"/>
    <w:multiLevelType w:val="multilevel"/>
    <w:tmpl w:val="31042AC8"/>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6">
    <w:nsid w:val="322A2C22"/>
    <w:multiLevelType w:val="multilevel"/>
    <w:tmpl w:val="322A2C2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26F7C0F"/>
    <w:multiLevelType w:val="multilevel"/>
    <w:tmpl w:val="326F7C0F"/>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9">
    <w:nsid w:val="346B3069"/>
    <w:multiLevelType w:val="multilevel"/>
    <w:tmpl w:val="346B3069"/>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0">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391941CF"/>
    <w:multiLevelType w:val="multilevel"/>
    <w:tmpl w:val="391941CF"/>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3">
    <w:nsid w:val="3D2B6D0A"/>
    <w:multiLevelType w:val="multilevel"/>
    <w:tmpl w:val="3D2B6D0A"/>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3DC039A2"/>
    <w:multiLevelType w:val="multilevel"/>
    <w:tmpl w:val="3DC039A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6">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7">
    <w:nsid w:val="3F1C5616"/>
    <w:multiLevelType w:val="multilevel"/>
    <w:tmpl w:val="3F1C561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3FAB46A5"/>
    <w:multiLevelType w:val="multilevel"/>
    <w:tmpl w:val="3FAB46A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9">
    <w:nsid w:val="401A73B0"/>
    <w:multiLevelType w:val="multilevel"/>
    <w:tmpl w:val="401A73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0">
    <w:nsid w:val="40973487"/>
    <w:multiLevelType w:val="multilevel"/>
    <w:tmpl w:val="4097348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1">
    <w:nsid w:val="42F33200"/>
    <w:multiLevelType w:val="multilevel"/>
    <w:tmpl w:val="42F3320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44360F32"/>
    <w:multiLevelType w:val="multilevel"/>
    <w:tmpl w:val="44360F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3">
    <w:nsid w:val="452D24C2"/>
    <w:multiLevelType w:val="multilevel"/>
    <w:tmpl w:val="452D24C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4">
    <w:nsid w:val="45D95701"/>
    <w:multiLevelType w:val="multilevel"/>
    <w:tmpl w:val="45D9570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5">
    <w:nsid w:val="45EE0604"/>
    <w:multiLevelType w:val="multilevel"/>
    <w:tmpl w:val="45EE0604"/>
    <w:lvl w:ilvl="0" w:tentative="0">
      <w:start w:val="1"/>
      <w:numFmt w:val="japaneseCount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463E0B3C"/>
    <w:multiLevelType w:val="multilevel"/>
    <w:tmpl w:val="463E0B3C"/>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7">
    <w:nsid w:val="46D6F956"/>
    <w:multiLevelType w:val="singleLevel"/>
    <w:tmpl w:val="46D6F956"/>
    <w:lvl w:ilvl="0" w:tentative="0">
      <w:start w:val="1"/>
      <w:numFmt w:val="decimal"/>
      <w:suff w:val="nothing"/>
      <w:lvlText w:val="%1、"/>
      <w:lvlJc w:val="left"/>
    </w:lvl>
  </w:abstractNum>
  <w:abstractNum w:abstractNumId="78">
    <w:nsid w:val="46E20981"/>
    <w:multiLevelType w:val="multilevel"/>
    <w:tmpl w:val="46E2098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9">
    <w:nsid w:val="47B412BD"/>
    <w:multiLevelType w:val="multilevel"/>
    <w:tmpl w:val="47B412B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0">
    <w:nsid w:val="49C71EB0"/>
    <w:multiLevelType w:val="multilevel"/>
    <w:tmpl w:val="49C71E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1">
    <w:nsid w:val="4A125FEF"/>
    <w:multiLevelType w:val="multilevel"/>
    <w:tmpl w:val="4A125FE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4AC23DB8"/>
    <w:multiLevelType w:val="multilevel"/>
    <w:tmpl w:val="4AC23DB8"/>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ACD5C44"/>
    <w:multiLevelType w:val="multilevel"/>
    <w:tmpl w:val="4ACD5C4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5">
    <w:nsid w:val="4FF23454"/>
    <w:multiLevelType w:val="multilevel"/>
    <w:tmpl w:val="4FF23454"/>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50F33864"/>
    <w:multiLevelType w:val="multilevel"/>
    <w:tmpl w:val="50F33864"/>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8">
    <w:nsid w:val="51265863"/>
    <w:multiLevelType w:val="multilevel"/>
    <w:tmpl w:val="51265863"/>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20C604D"/>
    <w:multiLevelType w:val="multilevel"/>
    <w:tmpl w:val="520C604D"/>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31A49E7"/>
    <w:multiLevelType w:val="multilevel"/>
    <w:tmpl w:val="531A49E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1">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573E2AF3"/>
    <w:multiLevelType w:val="multilevel"/>
    <w:tmpl w:val="573E2AF3"/>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93">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4">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5">
    <w:nsid w:val="59EF7C0F"/>
    <w:multiLevelType w:val="multilevel"/>
    <w:tmpl w:val="59EF7C0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6">
    <w:nsid w:val="5BDC5A30"/>
    <w:multiLevelType w:val="multilevel"/>
    <w:tmpl w:val="5BDC5A3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7">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8">
    <w:nsid w:val="5CA85E2E"/>
    <w:multiLevelType w:val="multilevel"/>
    <w:tmpl w:val="5CA85E2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9">
    <w:nsid w:val="5CED316C"/>
    <w:multiLevelType w:val="multilevel"/>
    <w:tmpl w:val="5CED316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5D107713"/>
    <w:multiLevelType w:val="multilevel"/>
    <w:tmpl w:val="5D10771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1">
    <w:nsid w:val="5D9A1F7E"/>
    <w:multiLevelType w:val="multilevel"/>
    <w:tmpl w:val="5D9A1F7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2">
    <w:nsid w:val="5DB24638"/>
    <w:multiLevelType w:val="multilevel"/>
    <w:tmpl w:val="5DB2463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3">
    <w:nsid w:val="5DD2799E"/>
    <w:multiLevelType w:val="multilevel"/>
    <w:tmpl w:val="5DD2799E"/>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4">
    <w:nsid w:val="5DED1C0B"/>
    <w:multiLevelType w:val="multilevel"/>
    <w:tmpl w:val="5DED1C0B"/>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05">
    <w:nsid w:val="5F405219"/>
    <w:multiLevelType w:val="multilevel"/>
    <w:tmpl w:val="5F405219"/>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6">
    <w:nsid w:val="5F755A71"/>
    <w:multiLevelType w:val="multilevel"/>
    <w:tmpl w:val="5F755A7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7">
    <w:nsid w:val="5FD64E01"/>
    <w:multiLevelType w:val="multilevel"/>
    <w:tmpl w:val="5FD64E01"/>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8">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63C5513C"/>
    <w:multiLevelType w:val="multilevel"/>
    <w:tmpl w:val="63C5513C"/>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0">
    <w:nsid w:val="650F40B7"/>
    <w:multiLevelType w:val="multilevel"/>
    <w:tmpl w:val="650F40B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7183EE7"/>
    <w:multiLevelType w:val="multilevel"/>
    <w:tmpl w:val="67183E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69535DE9"/>
    <w:multiLevelType w:val="multilevel"/>
    <w:tmpl w:val="69535DE9"/>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69BA4BB7"/>
    <w:multiLevelType w:val="multilevel"/>
    <w:tmpl w:val="69BA4BB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B96254F"/>
    <w:multiLevelType w:val="multilevel"/>
    <w:tmpl w:val="6B96254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5">
    <w:nsid w:val="6E97785F"/>
    <w:multiLevelType w:val="multilevel"/>
    <w:tmpl w:val="6E97785F"/>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7">
    <w:nsid w:val="700C4404"/>
    <w:multiLevelType w:val="multilevel"/>
    <w:tmpl w:val="700C4404"/>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18">
    <w:nsid w:val="701D5786"/>
    <w:multiLevelType w:val="multilevel"/>
    <w:tmpl w:val="701D578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9">
    <w:nsid w:val="70A4034A"/>
    <w:multiLevelType w:val="multilevel"/>
    <w:tmpl w:val="70A4034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0">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1">
    <w:nsid w:val="71052507"/>
    <w:multiLevelType w:val="multilevel"/>
    <w:tmpl w:val="71052507"/>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22">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3">
    <w:nsid w:val="7405377B"/>
    <w:multiLevelType w:val="multilevel"/>
    <w:tmpl w:val="7405377B"/>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6">
    <w:nsid w:val="76DD5C82"/>
    <w:multiLevelType w:val="multilevel"/>
    <w:tmpl w:val="76DD5C8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77111D1D"/>
    <w:multiLevelType w:val="multilevel"/>
    <w:tmpl w:val="77111D1D"/>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8">
    <w:nsid w:val="77194021"/>
    <w:multiLevelType w:val="multilevel"/>
    <w:tmpl w:val="771940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9">
    <w:nsid w:val="772B7E65"/>
    <w:multiLevelType w:val="multilevel"/>
    <w:tmpl w:val="772B7E65"/>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1">
    <w:nsid w:val="7A1266A0"/>
    <w:multiLevelType w:val="multilevel"/>
    <w:tmpl w:val="7A1266A0"/>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2">
    <w:nsid w:val="7A6140D4"/>
    <w:multiLevelType w:val="multilevel"/>
    <w:tmpl w:val="7A6140D4"/>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3">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7D07444B"/>
    <w:multiLevelType w:val="multilevel"/>
    <w:tmpl w:val="7D07444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5">
    <w:nsid w:val="7D1B5BAE"/>
    <w:multiLevelType w:val="multilevel"/>
    <w:tmpl w:val="7D1B5BA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7DDF1B1D"/>
    <w:multiLevelType w:val="multilevel"/>
    <w:tmpl w:val="7DDF1B1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7">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8">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61"/>
  </w:num>
  <w:num w:numId="2">
    <w:abstractNumId w:val="32"/>
  </w:num>
  <w:num w:numId="3">
    <w:abstractNumId w:val="5"/>
  </w:num>
  <w:num w:numId="4">
    <w:abstractNumId w:val="42"/>
  </w:num>
  <w:num w:numId="5">
    <w:abstractNumId w:val="37"/>
  </w:num>
  <w:num w:numId="6">
    <w:abstractNumId w:val="88"/>
  </w:num>
  <w:num w:numId="7">
    <w:abstractNumId w:val="51"/>
  </w:num>
  <w:num w:numId="8">
    <w:abstractNumId w:val="63"/>
  </w:num>
  <w:num w:numId="9">
    <w:abstractNumId w:val="56"/>
  </w:num>
  <w:num w:numId="10">
    <w:abstractNumId w:val="40"/>
  </w:num>
  <w:num w:numId="11">
    <w:abstractNumId w:val="57"/>
  </w:num>
  <w:num w:numId="12">
    <w:abstractNumId w:val="31"/>
  </w:num>
  <w:num w:numId="13">
    <w:abstractNumId w:val="12"/>
  </w:num>
  <w:num w:numId="14">
    <w:abstractNumId w:val="6"/>
  </w:num>
  <w:num w:numId="15">
    <w:abstractNumId w:val="107"/>
  </w:num>
  <w:num w:numId="16">
    <w:abstractNumId w:val="11"/>
  </w:num>
  <w:num w:numId="17">
    <w:abstractNumId w:val="21"/>
  </w:num>
  <w:num w:numId="18">
    <w:abstractNumId w:val="13"/>
  </w:num>
  <w:num w:numId="19">
    <w:abstractNumId w:val="101"/>
  </w:num>
  <w:num w:numId="20">
    <w:abstractNumId w:val="86"/>
  </w:num>
  <w:num w:numId="21">
    <w:abstractNumId w:val="95"/>
  </w:num>
  <w:num w:numId="22">
    <w:abstractNumId w:val="67"/>
  </w:num>
  <w:num w:numId="23">
    <w:abstractNumId w:val="26"/>
  </w:num>
  <w:num w:numId="24">
    <w:abstractNumId w:val="77"/>
  </w:num>
  <w:num w:numId="25">
    <w:abstractNumId w:val="0"/>
  </w:num>
  <w:num w:numId="26">
    <w:abstractNumId w:val="76"/>
  </w:num>
  <w:num w:numId="27">
    <w:abstractNumId w:val="75"/>
  </w:num>
  <w:num w:numId="28">
    <w:abstractNumId w:val="30"/>
  </w:num>
  <w:num w:numId="29">
    <w:abstractNumId w:val="24"/>
  </w:num>
  <w:num w:numId="30">
    <w:abstractNumId w:val="44"/>
  </w:num>
  <w:num w:numId="31">
    <w:abstractNumId w:val="113"/>
  </w:num>
  <w:num w:numId="32">
    <w:abstractNumId w:val="7"/>
  </w:num>
  <w:num w:numId="33">
    <w:abstractNumId w:val="50"/>
  </w:num>
  <w:num w:numId="34">
    <w:abstractNumId w:val="132"/>
  </w:num>
  <w:num w:numId="35">
    <w:abstractNumId w:val="14"/>
  </w:num>
  <w:num w:numId="36">
    <w:abstractNumId w:val="55"/>
  </w:num>
  <w:num w:numId="37">
    <w:abstractNumId w:val="36"/>
  </w:num>
  <w:num w:numId="38">
    <w:abstractNumId w:val="119"/>
  </w:num>
  <w:num w:numId="39">
    <w:abstractNumId w:val="3"/>
  </w:num>
  <w:num w:numId="40">
    <w:abstractNumId w:val="74"/>
  </w:num>
  <w:num w:numId="41">
    <w:abstractNumId w:val="133"/>
  </w:num>
  <w:num w:numId="42">
    <w:abstractNumId w:val="91"/>
  </w:num>
  <w:num w:numId="43">
    <w:abstractNumId w:val="64"/>
  </w:num>
  <w:num w:numId="44">
    <w:abstractNumId w:val="82"/>
  </w:num>
  <w:num w:numId="45">
    <w:abstractNumId w:val="81"/>
  </w:num>
  <w:num w:numId="46">
    <w:abstractNumId w:val="114"/>
  </w:num>
  <w:num w:numId="47">
    <w:abstractNumId w:val="89"/>
  </w:num>
  <w:num w:numId="48">
    <w:abstractNumId w:val="28"/>
  </w:num>
  <w:num w:numId="49">
    <w:abstractNumId w:val="129"/>
  </w:num>
  <w:num w:numId="50">
    <w:abstractNumId w:val="111"/>
  </w:num>
  <w:num w:numId="51">
    <w:abstractNumId w:val="45"/>
  </w:num>
  <w:num w:numId="52">
    <w:abstractNumId w:val="120"/>
  </w:num>
  <w:num w:numId="53">
    <w:abstractNumId w:val="97"/>
  </w:num>
  <w:num w:numId="54">
    <w:abstractNumId w:val="41"/>
  </w:num>
  <w:num w:numId="55">
    <w:abstractNumId w:val="20"/>
  </w:num>
  <w:num w:numId="56">
    <w:abstractNumId w:val="123"/>
  </w:num>
  <w:num w:numId="57">
    <w:abstractNumId w:val="33"/>
  </w:num>
  <w:num w:numId="58">
    <w:abstractNumId w:val="73"/>
  </w:num>
  <w:num w:numId="59">
    <w:abstractNumId w:val="25"/>
  </w:num>
  <w:num w:numId="60">
    <w:abstractNumId w:val="127"/>
  </w:num>
  <w:num w:numId="61">
    <w:abstractNumId w:val="71"/>
  </w:num>
  <w:num w:numId="62">
    <w:abstractNumId w:val="65"/>
  </w:num>
  <w:num w:numId="63">
    <w:abstractNumId w:val="2"/>
  </w:num>
  <w:num w:numId="64">
    <w:abstractNumId w:val="54"/>
  </w:num>
  <w:num w:numId="65">
    <w:abstractNumId w:val="39"/>
  </w:num>
  <w:num w:numId="66">
    <w:abstractNumId w:val="116"/>
  </w:num>
  <w:num w:numId="67">
    <w:abstractNumId w:val="23"/>
  </w:num>
  <w:num w:numId="68">
    <w:abstractNumId w:val="35"/>
  </w:num>
  <w:num w:numId="69">
    <w:abstractNumId w:val="52"/>
  </w:num>
  <w:num w:numId="70">
    <w:abstractNumId w:val="118"/>
  </w:num>
  <w:num w:numId="71">
    <w:abstractNumId w:val="125"/>
  </w:num>
  <w:num w:numId="72">
    <w:abstractNumId w:val="98"/>
  </w:num>
  <w:num w:numId="73">
    <w:abstractNumId w:val="22"/>
  </w:num>
  <w:num w:numId="74">
    <w:abstractNumId w:val="128"/>
  </w:num>
  <w:num w:numId="75">
    <w:abstractNumId w:val="109"/>
  </w:num>
  <w:num w:numId="76">
    <w:abstractNumId w:val="78"/>
  </w:num>
  <w:num w:numId="77">
    <w:abstractNumId w:val="53"/>
  </w:num>
  <w:num w:numId="78">
    <w:abstractNumId w:val="69"/>
  </w:num>
  <w:num w:numId="79">
    <w:abstractNumId w:val="137"/>
  </w:num>
  <w:num w:numId="80">
    <w:abstractNumId w:val="138"/>
  </w:num>
  <w:num w:numId="81">
    <w:abstractNumId w:val="43"/>
  </w:num>
  <w:num w:numId="82">
    <w:abstractNumId w:val="105"/>
  </w:num>
  <w:num w:numId="83">
    <w:abstractNumId w:val="17"/>
  </w:num>
  <w:num w:numId="84">
    <w:abstractNumId w:val="79"/>
  </w:num>
  <w:num w:numId="85">
    <w:abstractNumId w:val="59"/>
  </w:num>
  <w:num w:numId="86">
    <w:abstractNumId w:val="104"/>
  </w:num>
  <w:num w:numId="87">
    <w:abstractNumId w:val="96"/>
  </w:num>
  <w:num w:numId="88">
    <w:abstractNumId w:val="110"/>
  </w:num>
  <w:num w:numId="89">
    <w:abstractNumId w:val="38"/>
  </w:num>
  <w:num w:numId="90">
    <w:abstractNumId w:val="80"/>
  </w:num>
  <w:num w:numId="91">
    <w:abstractNumId w:val="72"/>
  </w:num>
  <w:num w:numId="92">
    <w:abstractNumId w:val="130"/>
  </w:num>
  <w:num w:numId="93">
    <w:abstractNumId w:val="34"/>
  </w:num>
  <w:num w:numId="94">
    <w:abstractNumId w:val="83"/>
  </w:num>
  <w:num w:numId="95">
    <w:abstractNumId w:val="135"/>
  </w:num>
  <w:num w:numId="96">
    <w:abstractNumId w:val="46"/>
  </w:num>
  <w:num w:numId="97">
    <w:abstractNumId w:val="134"/>
  </w:num>
  <w:num w:numId="98">
    <w:abstractNumId w:val="100"/>
  </w:num>
  <w:num w:numId="99">
    <w:abstractNumId w:val="29"/>
  </w:num>
  <w:num w:numId="100">
    <w:abstractNumId w:val="136"/>
  </w:num>
  <w:num w:numId="101">
    <w:abstractNumId w:val="18"/>
  </w:num>
  <w:num w:numId="102">
    <w:abstractNumId w:val="117"/>
  </w:num>
  <w:num w:numId="103">
    <w:abstractNumId w:val="115"/>
  </w:num>
  <w:num w:numId="104">
    <w:abstractNumId w:val="85"/>
  </w:num>
  <w:num w:numId="105">
    <w:abstractNumId w:val="60"/>
  </w:num>
  <w:num w:numId="106">
    <w:abstractNumId w:val="4"/>
  </w:num>
  <w:num w:numId="107">
    <w:abstractNumId w:val="9"/>
  </w:num>
  <w:num w:numId="108">
    <w:abstractNumId w:val="10"/>
  </w:num>
  <w:num w:numId="109">
    <w:abstractNumId w:val="126"/>
  </w:num>
  <w:num w:numId="110">
    <w:abstractNumId w:val="19"/>
  </w:num>
  <w:num w:numId="111">
    <w:abstractNumId w:val="103"/>
  </w:num>
  <w:num w:numId="112">
    <w:abstractNumId w:val="108"/>
  </w:num>
  <w:num w:numId="113">
    <w:abstractNumId w:val="84"/>
  </w:num>
  <w:num w:numId="114">
    <w:abstractNumId w:val="87"/>
  </w:num>
  <w:num w:numId="115">
    <w:abstractNumId w:val="122"/>
  </w:num>
  <w:num w:numId="116">
    <w:abstractNumId w:val="16"/>
  </w:num>
  <w:num w:numId="117">
    <w:abstractNumId w:val="48"/>
  </w:num>
  <w:num w:numId="118">
    <w:abstractNumId w:val="99"/>
  </w:num>
  <w:num w:numId="119">
    <w:abstractNumId w:val="8"/>
  </w:num>
  <w:num w:numId="120">
    <w:abstractNumId w:val="58"/>
  </w:num>
  <w:num w:numId="121">
    <w:abstractNumId w:val="15"/>
  </w:num>
  <w:num w:numId="122">
    <w:abstractNumId w:val="70"/>
  </w:num>
  <w:num w:numId="123">
    <w:abstractNumId w:val="90"/>
  </w:num>
  <w:num w:numId="124">
    <w:abstractNumId w:val="66"/>
  </w:num>
  <w:num w:numId="125">
    <w:abstractNumId w:val="93"/>
  </w:num>
  <w:num w:numId="126">
    <w:abstractNumId w:val="102"/>
  </w:num>
  <w:num w:numId="127">
    <w:abstractNumId w:val="47"/>
  </w:num>
  <w:num w:numId="128">
    <w:abstractNumId w:val="94"/>
  </w:num>
  <w:num w:numId="129">
    <w:abstractNumId w:val="106"/>
  </w:num>
  <w:num w:numId="130">
    <w:abstractNumId w:val="27"/>
  </w:num>
  <w:num w:numId="131">
    <w:abstractNumId w:val="68"/>
  </w:num>
  <w:num w:numId="132">
    <w:abstractNumId w:val="1"/>
  </w:num>
  <w:num w:numId="133">
    <w:abstractNumId w:val="131"/>
  </w:num>
  <w:num w:numId="134">
    <w:abstractNumId w:val="62"/>
  </w:num>
  <w:num w:numId="135">
    <w:abstractNumId w:val="121"/>
  </w:num>
  <w:num w:numId="136">
    <w:abstractNumId w:val="92"/>
  </w:num>
  <w:num w:numId="137">
    <w:abstractNumId w:val="112"/>
  </w:num>
  <w:num w:numId="138">
    <w:abstractNumId w:val="124"/>
  </w:num>
  <w:num w:numId="13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wNzI4MTcwNmU4MTFkMGE1MWU1M2E5MGNmNTE3MmEifQ=="/>
    <w:docVar w:name="Disclosure_Version" w:val="true"/>
    <w:docVar w:name="KSO_WPS_MARK_KEY" w:val="683b90b3-fe6f-4451-8083-09e5f041df66"/>
    <w:docVar w:name="RemovedBindingXPath" w:val="true"/>
  </w:docVars>
  <w:rsids>
    <w:rsidRoot w:val="00172A27"/>
    <w:rsid w:val="000005A6"/>
    <w:rsid w:val="00000ADC"/>
    <w:rsid w:val="0000102D"/>
    <w:rsid w:val="00001263"/>
    <w:rsid w:val="00001469"/>
    <w:rsid w:val="000014FF"/>
    <w:rsid w:val="000018A3"/>
    <w:rsid w:val="000018FD"/>
    <w:rsid w:val="00001B33"/>
    <w:rsid w:val="00001E8C"/>
    <w:rsid w:val="0000230E"/>
    <w:rsid w:val="000028BC"/>
    <w:rsid w:val="0000290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69AE"/>
    <w:rsid w:val="00007207"/>
    <w:rsid w:val="000072B9"/>
    <w:rsid w:val="000076BF"/>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44E"/>
    <w:rsid w:val="00016B1C"/>
    <w:rsid w:val="00016D21"/>
    <w:rsid w:val="00016F6C"/>
    <w:rsid w:val="00016FD1"/>
    <w:rsid w:val="00017658"/>
    <w:rsid w:val="000176B6"/>
    <w:rsid w:val="00017D54"/>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0E55"/>
    <w:rsid w:val="0004102B"/>
    <w:rsid w:val="000411AF"/>
    <w:rsid w:val="0004146D"/>
    <w:rsid w:val="00041525"/>
    <w:rsid w:val="00041800"/>
    <w:rsid w:val="00041AC3"/>
    <w:rsid w:val="00041D4C"/>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74F"/>
    <w:rsid w:val="00050C12"/>
    <w:rsid w:val="00050DB9"/>
    <w:rsid w:val="000510E3"/>
    <w:rsid w:val="0005154F"/>
    <w:rsid w:val="000515B0"/>
    <w:rsid w:val="000517E2"/>
    <w:rsid w:val="00051BE5"/>
    <w:rsid w:val="00052B89"/>
    <w:rsid w:val="00052D38"/>
    <w:rsid w:val="000539E4"/>
    <w:rsid w:val="00053E2E"/>
    <w:rsid w:val="00053F3F"/>
    <w:rsid w:val="000543F4"/>
    <w:rsid w:val="00054612"/>
    <w:rsid w:val="00054860"/>
    <w:rsid w:val="0005486C"/>
    <w:rsid w:val="00054C31"/>
    <w:rsid w:val="00054D34"/>
    <w:rsid w:val="00055089"/>
    <w:rsid w:val="00055307"/>
    <w:rsid w:val="00055534"/>
    <w:rsid w:val="00055816"/>
    <w:rsid w:val="00055C3F"/>
    <w:rsid w:val="00055F23"/>
    <w:rsid w:val="000561D7"/>
    <w:rsid w:val="000562C7"/>
    <w:rsid w:val="000569CC"/>
    <w:rsid w:val="00056AA5"/>
    <w:rsid w:val="00057032"/>
    <w:rsid w:val="000578C2"/>
    <w:rsid w:val="00057AD2"/>
    <w:rsid w:val="00057C64"/>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98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9CD"/>
    <w:rsid w:val="00096E12"/>
    <w:rsid w:val="00097097"/>
    <w:rsid w:val="000974B2"/>
    <w:rsid w:val="000975B1"/>
    <w:rsid w:val="00097610"/>
    <w:rsid w:val="000976C1"/>
    <w:rsid w:val="00097B67"/>
    <w:rsid w:val="00097C70"/>
    <w:rsid w:val="00097E3C"/>
    <w:rsid w:val="000A029B"/>
    <w:rsid w:val="000A044E"/>
    <w:rsid w:val="000A04A2"/>
    <w:rsid w:val="000A0989"/>
    <w:rsid w:val="000A0F9B"/>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A95"/>
    <w:rsid w:val="000A6D3A"/>
    <w:rsid w:val="000A6E99"/>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31F"/>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BCB"/>
    <w:rsid w:val="000C60FC"/>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57C"/>
    <w:rsid w:val="000D0614"/>
    <w:rsid w:val="000D072A"/>
    <w:rsid w:val="000D0BE9"/>
    <w:rsid w:val="000D0E23"/>
    <w:rsid w:val="000D1028"/>
    <w:rsid w:val="000D136D"/>
    <w:rsid w:val="000D14E3"/>
    <w:rsid w:val="000D15CB"/>
    <w:rsid w:val="000D1BE4"/>
    <w:rsid w:val="000D1F3F"/>
    <w:rsid w:val="000D26CD"/>
    <w:rsid w:val="000D28CF"/>
    <w:rsid w:val="000D2B20"/>
    <w:rsid w:val="000D2C5E"/>
    <w:rsid w:val="000D2D1C"/>
    <w:rsid w:val="000D2E18"/>
    <w:rsid w:val="000D2F52"/>
    <w:rsid w:val="000D32D4"/>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31D"/>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4F1"/>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03A"/>
    <w:rsid w:val="00114189"/>
    <w:rsid w:val="001146AD"/>
    <w:rsid w:val="00114B0A"/>
    <w:rsid w:val="00114C57"/>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16"/>
    <w:rsid w:val="00121CFD"/>
    <w:rsid w:val="00121D25"/>
    <w:rsid w:val="0012227A"/>
    <w:rsid w:val="00122BA4"/>
    <w:rsid w:val="001230A0"/>
    <w:rsid w:val="001230F3"/>
    <w:rsid w:val="001231A5"/>
    <w:rsid w:val="001234DF"/>
    <w:rsid w:val="001235D7"/>
    <w:rsid w:val="00123F0A"/>
    <w:rsid w:val="00124417"/>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16"/>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83C"/>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9FD"/>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6A"/>
    <w:rsid w:val="00145CC9"/>
    <w:rsid w:val="00145CD4"/>
    <w:rsid w:val="001464BB"/>
    <w:rsid w:val="00146D46"/>
    <w:rsid w:val="00146FA2"/>
    <w:rsid w:val="00147584"/>
    <w:rsid w:val="00147900"/>
    <w:rsid w:val="001479ED"/>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7D"/>
    <w:rsid w:val="001715BD"/>
    <w:rsid w:val="00171B16"/>
    <w:rsid w:val="001721E1"/>
    <w:rsid w:val="00172229"/>
    <w:rsid w:val="001729CE"/>
    <w:rsid w:val="00172A2E"/>
    <w:rsid w:val="00172B99"/>
    <w:rsid w:val="00172D67"/>
    <w:rsid w:val="00172E95"/>
    <w:rsid w:val="00173329"/>
    <w:rsid w:val="00173821"/>
    <w:rsid w:val="00174BD5"/>
    <w:rsid w:val="00174E30"/>
    <w:rsid w:val="00175145"/>
    <w:rsid w:val="0017520D"/>
    <w:rsid w:val="001754A4"/>
    <w:rsid w:val="00175D8D"/>
    <w:rsid w:val="00175EDA"/>
    <w:rsid w:val="00176294"/>
    <w:rsid w:val="00176395"/>
    <w:rsid w:val="001767C6"/>
    <w:rsid w:val="00176886"/>
    <w:rsid w:val="0017692B"/>
    <w:rsid w:val="00176C58"/>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9BE"/>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0E6"/>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C9E"/>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C72"/>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E12"/>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55DF"/>
    <w:rsid w:val="001B5903"/>
    <w:rsid w:val="001B592F"/>
    <w:rsid w:val="001B5AA9"/>
    <w:rsid w:val="001B5EAC"/>
    <w:rsid w:val="001B616C"/>
    <w:rsid w:val="001B627A"/>
    <w:rsid w:val="001B6C5E"/>
    <w:rsid w:val="001B75FB"/>
    <w:rsid w:val="001B76F4"/>
    <w:rsid w:val="001B77C3"/>
    <w:rsid w:val="001B7BF7"/>
    <w:rsid w:val="001B7E08"/>
    <w:rsid w:val="001C00B3"/>
    <w:rsid w:val="001C0611"/>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589"/>
    <w:rsid w:val="001D599D"/>
    <w:rsid w:val="001D5DD4"/>
    <w:rsid w:val="001D61BD"/>
    <w:rsid w:val="001D70BF"/>
    <w:rsid w:val="001D75E3"/>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1EB"/>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A53"/>
    <w:rsid w:val="001E5B59"/>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B25"/>
    <w:rsid w:val="001F4C39"/>
    <w:rsid w:val="001F5EEA"/>
    <w:rsid w:val="001F62EA"/>
    <w:rsid w:val="001F65A3"/>
    <w:rsid w:val="001F6856"/>
    <w:rsid w:val="001F6F1E"/>
    <w:rsid w:val="001F7258"/>
    <w:rsid w:val="001F73D9"/>
    <w:rsid w:val="001F7478"/>
    <w:rsid w:val="001F7EDD"/>
    <w:rsid w:val="001F7FCA"/>
    <w:rsid w:val="00200212"/>
    <w:rsid w:val="002008BE"/>
    <w:rsid w:val="0020111B"/>
    <w:rsid w:val="002019C7"/>
    <w:rsid w:val="00201C08"/>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A35"/>
    <w:rsid w:val="00204F84"/>
    <w:rsid w:val="00205192"/>
    <w:rsid w:val="002051D4"/>
    <w:rsid w:val="002053A2"/>
    <w:rsid w:val="002053E5"/>
    <w:rsid w:val="00205678"/>
    <w:rsid w:val="00205758"/>
    <w:rsid w:val="00205786"/>
    <w:rsid w:val="00205B56"/>
    <w:rsid w:val="00205C40"/>
    <w:rsid w:val="00205EF7"/>
    <w:rsid w:val="0020627A"/>
    <w:rsid w:val="0020640C"/>
    <w:rsid w:val="002069B7"/>
    <w:rsid w:val="00206B72"/>
    <w:rsid w:val="00206CE5"/>
    <w:rsid w:val="00206F81"/>
    <w:rsid w:val="00207016"/>
    <w:rsid w:val="002102F6"/>
    <w:rsid w:val="002104A6"/>
    <w:rsid w:val="00210673"/>
    <w:rsid w:val="00210D2D"/>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238"/>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811"/>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7F3"/>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DB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F58"/>
    <w:rsid w:val="002362FD"/>
    <w:rsid w:val="002366AC"/>
    <w:rsid w:val="002366DD"/>
    <w:rsid w:val="00236E9F"/>
    <w:rsid w:val="00237A44"/>
    <w:rsid w:val="00237BC1"/>
    <w:rsid w:val="00237D72"/>
    <w:rsid w:val="0024010C"/>
    <w:rsid w:val="002405B2"/>
    <w:rsid w:val="0024061C"/>
    <w:rsid w:val="0024082D"/>
    <w:rsid w:val="0024082E"/>
    <w:rsid w:val="00240EEA"/>
    <w:rsid w:val="00241021"/>
    <w:rsid w:val="0024107A"/>
    <w:rsid w:val="002411E8"/>
    <w:rsid w:val="002417AE"/>
    <w:rsid w:val="00241BC8"/>
    <w:rsid w:val="00241D41"/>
    <w:rsid w:val="0024280E"/>
    <w:rsid w:val="00242895"/>
    <w:rsid w:val="002429EB"/>
    <w:rsid w:val="00242D9E"/>
    <w:rsid w:val="00242F37"/>
    <w:rsid w:val="00243224"/>
    <w:rsid w:val="002434A7"/>
    <w:rsid w:val="00243CBD"/>
    <w:rsid w:val="00244291"/>
    <w:rsid w:val="00244512"/>
    <w:rsid w:val="002447CC"/>
    <w:rsid w:val="00244882"/>
    <w:rsid w:val="00244CD1"/>
    <w:rsid w:val="00245225"/>
    <w:rsid w:val="0024556F"/>
    <w:rsid w:val="002459B6"/>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4F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67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178"/>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4D2"/>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CE"/>
    <w:rsid w:val="002B3E02"/>
    <w:rsid w:val="002B407B"/>
    <w:rsid w:val="002B417F"/>
    <w:rsid w:val="002B468E"/>
    <w:rsid w:val="002B49C5"/>
    <w:rsid w:val="002B4BEB"/>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9AF"/>
    <w:rsid w:val="002C3DB9"/>
    <w:rsid w:val="002C431F"/>
    <w:rsid w:val="002C437A"/>
    <w:rsid w:val="002C4C80"/>
    <w:rsid w:val="002C522F"/>
    <w:rsid w:val="002C52BF"/>
    <w:rsid w:val="002C54C1"/>
    <w:rsid w:val="002C556D"/>
    <w:rsid w:val="002C5D05"/>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7F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6FFE"/>
    <w:rsid w:val="002D7100"/>
    <w:rsid w:val="002D7A8B"/>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1D9"/>
    <w:rsid w:val="002E231E"/>
    <w:rsid w:val="002E26B3"/>
    <w:rsid w:val="002E2CBA"/>
    <w:rsid w:val="002E2D95"/>
    <w:rsid w:val="002E31A4"/>
    <w:rsid w:val="002E346E"/>
    <w:rsid w:val="002E374F"/>
    <w:rsid w:val="002E3AD5"/>
    <w:rsid w:val="002E3B74"/>
    <w:rsid w:val="002E3C2E"/>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E7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44D"/>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1F9B"/>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116"/>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8CF"/>
    <w:rsid w:val="00317969"/>
    <w:rsid w:val="00317C18"/>
    <w:rsid w:val="00317DE3"/>
    <w:rsid w:val="003203F1"/>
    <w:rsid w:val="00320566"/>
    <w:rsid w:val="00320678"/>
    <w:rsid w:val="00320996"/>
    <w:rsid w:val="00320C76"/>
    <w:rsid w:val="00320DBB"/>
    <w:rsid w:val="00321505"/>
    <w:rsid w:val="003216E4"/>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467"/>
    <w:rsid w:val="00335474"/>
    <w:rsid w:val="00335589"/>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E7"/>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B3D"/>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B6"/>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77F"/>
    <w:rsid w:val="00365A64"/>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21A"/>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49"/>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A3F"/>
    <w:rsid w:val="00386D50"/>
    <w:rsid w:val="003876EA"/>
    <w:rsid w:val="003879E4"/>
    <w:rsid w:val="00387EAE"/>
    <w:rsid w:val="00387EC3"/>
    <w:rsid w:val="003900E9"/>
    <w:rsid w:val="0039048C"/>
    <w:rsid w:val="003904FB"/>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71E"/>
    <w:rsid w:val="00395CF6"/>
    <w:rsid w:val="00395EDC"/>
    <w:rsid w:val="00395F99"/>
    <w:rsid w:val="00396437"/>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162"/>
    <w:rsid w:val="003A5438"/>
    <w:rsid w:val="003A54F3"/>
    <w:rsid w:val="003A550E"/>
    <w:rsid w:val="003A58D3"/>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04"/>
    <w:rsid w:val="003B6FEC"/>
    <w:rsid w:val="003B70FD"/>
    <w:rsid w:val="003B730A"/>
    <w:rsid w:val="003B769E"/>
    <w:rsid w:val="003B7B96"/>
    <w:rsid w:val="003B7C0A"/>
    <w:rsid w:val="003C0190"/>
    <w:rsid w:val="003C021F"/>
    <w:rsid w:val="003C048B"/>
    <w:rsid w:val="003C0504"/>
    <w:rsid w:val="003C0C33"/>
    <w:rsid w:val="003C0E43"/>
    <w:rsid w:val="003C0EB4"/>
    <w:rsid w:val="003C0FB8"/>
    <w:rsid w:val="003C105F"/>
    <w:rsid w:val="003C11A8"/>
    <w:rsid w:val="003C1E6D"/>
    <w:rsid w:val="003C2F67"/>
    <w:rsid w:val="003C30BF"/>
    <w:rsid w:val="003C3307"/>
    <w:rsid w:val="003C33A6"/>
    <w:rsid w:val="003C346F"/>
    <w:rsid w:val="003C34EA"/>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5E7"/>
    <w:rsid w:val="003C78AC"/>
    <w:rsid w:val="003C7E88"/>
    <w:rsid w:val="003D000A"/>
    <w:rsid w:val="003D04CC"/>
    <w:rsid w:val="003D04D6"/>
    <w:rsid w:val="003D0AB5"/>
    <w:rsid w:val="003D0BAF"/>
    <w:rsid w:val="003D0C96"/>
    <w:rsid w:val="003D0D3C"/>
    <w:rsid w:val="003D0F30"/>
    <w:rsid w:val="003D1175"/>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ECA"/>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E21"/>
    <w:rsid w:val="003E6F40"/>
    <w:rsid w:val="003E710B"/>
    <w:rsid w:val="003E7163"/>
    <w:rsid w:val="003E7A91"/>
    <w:rsid w:val="003E7B17"/>
    <w:rsid w:val="003E7B8C"/>
    <w:rsid w:val="003E7EB1"/>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6F7"/>
    <w:rsid w:val="004168DB"/>
    <w:rsid w:val="00416D3B"/>
    <w:rsid w:val="00416F71"/>
    <w:rsid w:val="00417094"/>
    <w:rsid w:val="004171B0"/>
    <w:rsid w:val="00417431"/>
    <w:rsid w:val="004174A9"/>
    <w:rsid w:val="00417B83"/>
    <w:rsid w:val="004204F9"/>
    <w:rsid w:val="00420510"/>
    <w:rsid w:val="00420766"/>
    <w:rsid w:val="004207BD"/>
    <w:rsid w:val="00420984"/>
    <w:rsid w:val="004209EC"/>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437"/>
    <w:rsid w:val="00423689"/>
    <w:rsid w:val="0042379C"/>
    <w:rsid w:val="004237D9"/>
    <w:rsid w:val="004237DE"/>
    <w:rsid w:val="00423847"/>
    <w:rsid w:val="00423B1B"/>
    <w:rsid w:val="00423C21"/>
    <w:rsid w:val="00423D4D"/>
    <w:rsid w:val="00423FDE"/>
    <w:rsid w:val="0042443E"/>
    <w:rsid w:val="0042500C"/>
    <w:rsid w:val="0042520E"/>
    <w:rsid w:val="004255F9"/>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0D25"/>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632"/>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0DF0"/>
    <w:rsid w:val="0046107F"/>
    <w:rsid w:val="004611EC"/>
    <w:rsid w:val="00461576"/>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3A2"/>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3AD5"/>
    <w:rsid w:val="0048432C"/>
    <w:rsid w:val="004843F9"/>
    <w:rsid w:val="00484611"/>
    <w:rsid w:val="00484722"/>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8D4"/>
    <w:rsid w:val="00490A07"/>
    <w:rsid w:val="00490F8C"/>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9C9"/>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9A8"/>
    <w:rsid w:val="004A6BFE"/>
    <w:rsid w:val="004A6E93"/>
    <w:rsid w:val="004A731D"/>
    <w:rsid w:val="004A7556"/>
    <w:rsid w:val="004A7573"/>
    <w:rsid w:val="004A7B15"/>
    <w:rsid w:val="004B059F"/>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7E0"/>
    <w:rsid w:val="004B2C8E"/>
    <w:rsid w:val="004B30CF"/>
    <w:rsid w:val="004B35F0"/>
    <w:rsid w:val="004B3729"/>
    <w:rsid w:val="004B3C43"/>
    <w:rsid w:val="004B3D3A"/>
    <w:rsid w:val="004B3DF8"/>
    <w:rsid w:val="004B3F31"/>
    <w:rsid w:val="004B42EB"/>
    <w:rsid w:val="004B4468"/>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185"/>
    <w:rsid w:val="004C04D9"/>
    <w:rsid w:val="004C05AD"/>
    <w:rsid w:val="004C0720"/>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9FD"/>
    <w:rsid w:val="004D104F"/>
    <w:rsid w:val="004D13B9"/>
    <w:rsid w:val="004D162C"/>
    <w:rsid w:val="004D162D"/>
    <w:rsid w:val="004D16CD"/>
    <w:rsid w:val="004D16F6"/>
    <w:rsid w:val="004D1B47"/>
    <w:rsid w:val="004D1BE3"/>
    <w:rsid w:val="004D1F83"/>
    <w:rsid w:val="004D2158"/>
    <w:rsid w:val="004D21A7"/>
    <w:rsid w:val="004D2237"/>
    <w:rsid w:val="004D255A"/>
    <w:rsid w:val="004D261C"/>
    <w:rsid w:val="004D26DB"/>
    <w:rsid w:val="004D3381"/>
    <w:rsid w:val="004D36FF"/>
    <w:rsid w:val="004D3A32"/>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FF8"/>
    <w:rsid w:val="004E000C"/>
    <w:rsid w:val="004E05EF"/>
    <w:rsid w:val="004E0CB4"/>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2136"/>
    <w:rsid w:val="004F2188"/>
    <w:rsid w:val="004F260D"/>
    <w:rsid w:val="004F2989"/>
    <w:rsid w:val="004F2EE2"/>
    <w:rsid w:val="004F30C8"/>
    <w:rsid w:val="004F3164"/>
    <w:rsid w:val="004F32DA"/>
    <w:rsid w:val="004F3359"/>
    <w:rsid w:val="004F38F7"/>
    <w:rsid w:val="004F3D0C"/>
    <w:rsid w:val="004F3DC4"/>
    <w:rsid w:val="004F405D"/>
    <w:rsid w:val="004F40B5"/>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5C3"/>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7DA"/>
    <w:rsid w:val="00507BE6"/>
    <w:rsid w:val="00507DFB"/>
    <w:rsid w:val="0051006C"/>
    <w:rsid w:val="0051023B"/>
    <w:rsid w:val="00510368"/>
    <w:rsid w:val="00511241"/>
    <w:rsid w:val="00511400"/>
    <w:rsid w:val="005115FE"/>
    <w:rsid w:val="00511826"/>
    <w:rsid w:val="00512072"/>
    <w:rsid w:val="0051209F"/>
    <w:rsid w:val="005122D4"/>
    <w:rsid w:val="00512685"/>
    <w:rsid w:val="00512744"/>
    <w:rsid w:val="005129E1"/>
    <w:rsid w:val="00512EFF"/>
    <w:rsid w:val="00513274"/>
    <w:rsid w:val="00513872"/>
    <w:rsid w:val="00513BC9"/>
    <w:rsid w:val="005141D3"/>
    <w:rsid w:val="005142BD"/>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B53"/>
    <w:rsid w:val="00526D0E"/>
    <w:rsid w:val="00526E3D"/>
    <w:rsid w:val="00526E94"/>
    <w:rsid w:val="0052711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80"/>
    <w:rsid w:val="005537A5"/>
    <w:rsid w:val="005538DB"/>
    <w:rsid w:val="00553949"/>
    <w:rsid w:val="00553B1D"/>
    <w:rsid w:val="00553E68"/>
    <w:rsid w:val="00554002"/>
    <w:rsid w:val="0055406E"/>
    <w:rsid w:val="0055418D"/>
    <w:rsid w:val="00554240"/>
    <w:rsid w:val="00554333"/>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994"/>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3F9"/>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2F0F"/>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8AD"/>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0F88"/>
    <w:rsid w:val="005C1159"/>
    <w:rsid w:val="005C1430"/>
    <w:rsid w:val="005C254C"/>
    <w:rsid w:val="005C25AC"/>
    <w:rsid w:val="005C2B04"/>
    <w:rsid w:val="005C2B5F"/>
    <w:rsid w:val="005C3076"/>
    <w:rsid w:val="005C3215"/>
    <w:rsid w:val="005C3326"/>
    <w:rsid w:val="005C338A"/>
    <w:rsid w:val="005C3478"/>
    <w:rsid w:val="005C38AA"/>
    <w:rsid w:val="005C3B3D"/>
    <w:rsid w:val="005C3C88"/>
    <w:rsid w:val="005C3FA8"/>
    <w:rsid w:val="005C44B9"/>
    <w:rsid w:val="005C4632"/>
    <w:rsid w:val="005C46FB"/>
    <w:rsid w:val="005C4D49"/>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DFF"/>
    <w:rsid w:val="005D1436"/>
    <w:rsid w:val="005D149D"/>
    <w:rsid w:val="005D174B"/>
    <w:rsid w:val="005D1862"/>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D2"/>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27"/>
    <w:rsid w:val="005E48AA"/>
    <w:rsid w:val="005E51EC"/>
    <w:rsid w:val="005E5652"/>
    <w:rsid w:val="005E5AA7"/>
    <w:rsid w:val="005E5B2C"/>
    <w:rsid w:val="005E5C7E"/>
    <w:rsid w:val="005E61DE"/>
    <w:rsid w:val="005E6263"/>
    <w:rsid w:val="005E6304"/>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21B"/>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1FB8"/>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4F"/>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0EF6"/>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480"/>
    <w:rsid w:val="00624B0A"/>
    <w:rsid w:val="00624B65"/>
    <w:rsid w:val="00624D26"/>
    <w:rsid w:val="00624F98"/>
    <w:rsid w:val="006251CC"/>
    <w:rsid w:val="00625367"/>
    <w:rsid w:val="0062554B"/>
    <w:rsid w:val="0062589D"/>
    <w:rsid w:val="00625D70"/>
    <w:rsid w:val="00625E39"/>
    <w:rsid w:val="00625F92"/>
    <w:rsid w:val="00626082"/>
    <w:rsid w:val="00626598"/>
    <w:rsid w:val="00626D42"/>
    <w:rsid w:val="00626E22"/>
    <w:rsid w:val="00626E78"/>
    <w:rsid w:val="006272E4"/>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D91"/>
    <w:rsid w:val="00632F2C"/>
    <w:rsid w:val="006334D3"/>
    <w:rsid w:val="006335D5"/>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702"/>
    <w:rsid w:val="00646D13"/>
    <w:rsid w:val="00646FE1"/>
    <w:rsid w:val="006478C2"/>
    <w:rsid w:val="0064799B"/>
    <w:rsid w:val="006479BB"/>
    <w:rsid w:val="00647B7B"/>
    <w:rsid w:val="00647BC9"/>
    <w:rsid w:val="00647D67"/>
    <w:rsid w:val="00647F66"/>
    <w:rsid w:val="00650C4A"/>
    <w:rsid w:val="00650E53"/>
    <w:rsid w:val="00650ED6"/>
    <w:rsid w:val="0065101E"/>
    <w:rsid w:val="006512C1"/>
    <w:rsid w:val="0065142A"/>
    <w:rsid w:val="00651688"/>
    <w:rsid w:val="0065178C"/>
    <w:rsid w:val="00651AEA"/>
    <w:rsid w:val="00651B15"/>
    <w:rsid w:val="00652356"/>
    <w:rsid w:val="00652394"/>
    <w:rsid w:val="006527C9"/>
    <w:rsid w:val="00652C6D"/>
    <w:rsid w:val="00652FAF"/>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F28"/>
    <w:rsid w:val="00657032"/>
    <w:rsid w:val="006574FB"/>
    <w:rsid w:val="0065763A"/>
    <w:rsid w:val="00657BFA"/>
    <w:rsid w:val="00657D71"/>
    <w:rsid w:val="00657E5C"/>
    <w:rsid w:val="0066038B"/>
    <w:rsid w:val="00660A03"/>
    <w:rsid w:val="00660BFA"/>
    <w:rsid w:val="00660BFE"/>
    <w:rsid w:val="00661066"/>
    <w:rsid w:val="00661281"/>
    <w:rsid w:val="00661608"/>
    <w:rsid w:val="006618D7"/>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C71"/>
    <w:rsid w:val="00664FE6"/>
    <w:rsid w:val="0066509F"/>
    <w:rsid w:val="00665106"/>
    <w:rsid w:val="0066581A"/>
    <w:rsid w:val="006659AB"/>
    <w:rsid w:val="006659D5"/>
    <w:rsid w:val="00665AF6"/>
    <w:rsid w:val="00665B52"/>
    <w:rsid w:val="00665CD1"/>
    <w:rsid w:val="00665D69"/>
    <w:rsid w:val="00665E22"/>
    <w:rsid w:val="00665F6B"/>
    <w:rsid w:val="00665FBA"/>
    <w:rsid w:val="006663F2"/>
    <w:rsid w:val="006664F7"/>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2EB"/>
    <w:rsid w:val="00673763"/>
    <w:rsid w:val="006738EC"/>
    <w:rsid w:val="00673905"/>
    <w:rsid w:val="00673B25"/>
    <w:rsid w:val="00673C8D"/>
    <w:rsid w:val="00674223"/>
    <w:rsid w:val="0067451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9EA"/>
    <w:rsid w:val="00684D8B"/>
    <w:rsid w:val="0068547B"/>
    <w:rsid w:val="006854AB"/>
    <w:rsid w:val="006856C9"/>
    <w:rsid w:val="00685A70"/>
    <w:rsid w:val="00685D68"/>
    <w:rsid w:val="00685E1C"/>
    <w:rsid w:val="006861AD"/>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A7E8D"/>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2DD"/>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7FE"/>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E17"/>
    <w:rsid w:val="006E2E38"/>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35B"/>
    <w:rsid w:val="006E6CDD"/>
    <w:rsid w:val="006E70A6"/>
    <w:rsid w:val="006E7383"/>
    <w:rsid w:val="006E758C"/>
    <w:rsid w:val="006E769B"/>
    <w:rsid w:val="006E7729"/>
    <w:rsid w:val="006E77B9"/>
    <w:rsid w:val="006E7903"/>
    <w:rsid w:val="006E7FD6"/>
    <w:rsid w:val="006F0279"/>
    <w:rsid w:val="006F02F4"/>
    <w:rsid w:val="006F08D2"/>
    <w:rsid w:val="006F0AB0"/>
    <w:rsid w:val="006F0AF2"/>
    <w:rsid w:val="006F0EF3"/>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5C66"/>
    <w:rsid w:val="00706228"/>
    <w:rsid w:val="00706638"/>
    <w:rsid w:val="0070681D"/>
    <w:rsid w:val="0070741C"/>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E27"/>
    <w:rsid w:val="00723FB6"/>
    <w:rsid w:val="007244BA"/>
    <w:rsid w:val="007244EA"/>
    <w:rsid w:val="00724E53"/>
    <w:rsid w:val="0072535D"/>
    <w:rsid w:val="007254F9"/>
    <w:rsid w:val="00725689"/>
    <w:rsid w:val="00725731"/>
    <w:rsid w:val="007259EF"/>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1B91"/>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6FE"/>
    <w:rsid w:val="00735786"/>
    <w:rsid w:val="007357AB"/>
    <w:rsid w:val="00735CA2"/>
    <w:rsid w:val="00735EAA"/>
    <w:rsid w:val="0073610B"/>
    <w:rsid w:val="00736944"/>
    <w:rsid w:val="00736A63"/>
    <w:rsid w:val="00736D76"/>
    <w:rsid w:val="00737085"/>
    <w:rsid w:val="007372BC"/>
    <w:rsid w:val="007373A2"/>
    <w:rsid w:val="00737AB0"/>
    <w:rsid w:val="007405CB"/>
    <w:rsid w:val="007406E8"/>
    <w:rsid w:val="00740C55"/>
    <w:rsid w:val="00740D08"/>
    <w:rsid w:val="0074132B"/>
    <w:rsid w:val="0074155B"/>
    <w:rsid w:val="00741AC1"/>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0E"/>
    <w:rsid w:val="00751FE8"/>
    <w:rsid w:val="0075213D"/>
    <w:rsid w:val="007524F7"/>
    <w:rsid w:val="00752594"/>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6F26"/>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CB1"/>
    <w:rsid w:val="007652AF"/>
    <w:rsid w:val="007656A8"/>
    <w:rsid w:val="00765759"/>
    <w:rsid w:val="00765F75"/>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3ED3"/>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9E1"/>
    <w:rsid w:val="00781BDB"/>
    <w:rsid w:val="00781C30"/>
    <w:rsid w:val="00782DCC"/>
    <w:rsid w:val="0078343E"/>
    <w:rsid w:val="0078358C"/>
    <w:rsid w:val="007835AF"/>
    <w:rsid w:val="007836AB"/>
    <w:rsid w:val="007836FD"/>
    <w:rsid w:val="007837C5"/>
    <w:rsid w:val="0078384C"/>
    <w:rsid w:val="007838A5"/>
    <w:rsid w:val="00783D36"/>
    <w:rsid w:val="00784621"/>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D08"/>
    <w:rsid w:val="00786F74"/>
    <w:rsid w:val="00786FC1"/>
    <w:rsid w:val="007875DB"/>
    <w:rsid w:val="0078797B"/>
    <w:rsid w:val="0079047D"/>
    <w:rsid w:val="007905AE"/>
    <w:rsid w:val="007907AE"/>
    <w:rsid w:val="00790966"/>
    <w:rsid w:val="007909A2"/>
    <w:rsid w:val="00790B8E"/>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3ED4"/>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227"/>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489"/>
    <w:rsid w:val="007B3663"/>
    <w:rsid w:val="007B382A"/>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37"/>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121"/>
    <w:rsid w:val="007E43C7"/>
    <w:rsid w:val="007E4433"/>
    <w:rsid w:val="007E4530"/>
    <w:rsid w:val="007E460E"/>
    <w:rsid w:val="007E4718"/>
    <w:rsid w:val="007E4D70"/>
    <w:rsid w:val="007E5190"/>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AAC"/>
    <w:rsid w:val="00800D74"/>
    <w:rsid w:val="00801096"/>
    <w:rsid w:val="008014F8"/>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9A6"/>
    <w:rsid w:val="00806F22"/>
    <w:rsid w:val="00806F6F"/>
    <w:rsid w:val="00807166"/>
    <w:rsid w:val="008072EF"/>
    <w:rsid w:val="008077F3"/>
    <w:rsid w:val="0080792E"/>
    <w:rsid w:val="00807BC9"/>
    <w:rsid w:val="00807D01"/>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09A"/>
    <w:rsid w:val="00815271"/>
    <w:rsid w:val="008152E0"/>
    <w:rsid w:val="008156C3"/>
    <w:rsid w:val="008156E5"/>
    <w:rsid w:val="00815DB4"/>
    <w:rsid w:val="00815F07"/>
    <w:rsid w:val="00816276"/>
    <w:rsid w:val="008162FC"/>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11C9"/>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6BB2"/>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2090"/>
    <w:rsid w:val="00862420"/>
    <w:rsid w:val="00862F65"/>
    <w:rsid w:val="00862FC7"/>
    <w:rsid w:val="0086342F"/>
    <w:rsid w:val="0086360A"/>
    <w:rsid w:val="008638F0"/>
    <w:rsid w:val="00863A21"/>
    <w:rsid w:val="00863B9C"/>
    <w:rsid w:val="00863C18"/>
    <w:rsid w:val="008641C2"/>
    <w:rsid w:val="0086471E"/>
    <w:rsid w:val="0086475E"/>
    <w:rsid w:val="00864760"/>
    <w:rsid w:val="00864A63"/>
    <w:rsid w:val="00864A7D"/>
    <w:rsid w:val="00864B08"/>
    <w:rsid w:val="00864EE7"/>
    <w:rsid w:val="00865D57"/>
    <w:rsid w:val="00865D9B"/>
    <w:rsid w:val="00866092"/>
    <w:rsid w:val="0086614C"/>
    <w:rsid w:val="008664EE"/>
    <w:rsid w:val="0086653D"/>
    <w:rsid w:val="0086659C"/>
    <w:rsid w:val="008666EC"/>
    <w:rsid w:val="00867060"/>
    <w:rsid w:val="00867137"/>
    <w:rsid w:val="0086782F"/>
    <w:rsid w:val="0086785E"/>
    <w:rsid w:val="00867997"/>
    <w:rsid w:val="00867C38"/>
    <w:rsid w:val="00870002"/>
    <w:rsid w:val="0087073A"/>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31E"/>
    <w:rsid w:val="00873403"/>
    <w:rsid w:val="008735CE"/>
    <w:rsid w:val="008738B9"/>
    <w:rsid w:val="0087404B"/>
    <w:rsid w:val="008742E5"/>
    <w:rsid w:val="00874A5E"/>
    <w:rsid w:val="00874B4C"/>
    <w:rsid w:val="00874C17"/>
    <w:rsid w:val="00874F29"/>
    <w:rsid w:val="00874FEC"/>
    <w:rsid w:val="00875351"/>
    <w:rsid w:val="00875B37"/>
    <w:rsid w:val="0087606E"/>
    <w:rsid w:val="0087622B"/>
    <w:rsid w:val="008764A6"/>
    <w:rsid w:val="00876747"/>
    <w:rsid w:val="00876903"/>
    <w:rsid w:val="00876C6A"/>
    <w:rsid w:val="00876D2A"/>
    <w:rsid w:val="00877605"/>
    <w:rsid w:val="0087760E"/>
    <w:rsid w:val="008779C5"/>
    <w:rsid w:val="00877C13"/>
    <w:rsid w:val="00877DB5"/>
    <w:rsid w:val="00877DBE"/>
    <w:rsid w:val="008800EB"/>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4B6"/>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8DA"/>
    <w:rsid w:val="008A0B6B"/>
    <w:rsid w:val="008A0C6F"/>
    <w:rsid w:val="008A10DB"/>
    <w:rsid w:val="008A1319"/>
    <w:rsid w:val="008A1855"/>
    <w:rsid w:val="008A1E33"/>
    <w:rsid w:val="008A1FAD"/>
    <w:rsid w:val="008A2106"/>
    <w:rsid w:val="008A23E6"/>
    <w:rsid w:val="008A2B9F"/>
    <w:rsid w:val="008A3048"/>
    <w:rsid w:val="008A304D"/>
    <w:rsid w:val="008A31C9"/>
    <w:rsid w:val="008A3C47"/>
    <w:rsid w:val="008A3C6A"/>
    <w:rsid w:val="008A3CFB"/>
    <w:rsid w:val="008A3D5E"/>
    <w:rsid w:val="008A409C"/>
    <w:rsid w:val="008A48C5"/>
    <w:rsid w:val="008A4D70"/>
    <w:rsid w:val="008A50A5"/>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99C"/>
    <w:rsid w:val="008B2AC7"/>
    <w:rsid w:val="008B2ECE"/>
    <w:rsid w:val="008B3041"/>
    <w:rsid w:val="008B3407"/>
    <w:rsid w:val="008B3ACF"/>
    <w:rsid w:val="008B3D35"/>
    <w:rsid w:val="008B3FBB"/>
    <w:rsid w:val="008B41B4"/>
    <w:rsid w:val="008B42B9"/>
    <w:rsid w:val="008B4418"/>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EA0"/>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4FF9"/>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1B8"/>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DB5"/>
    <w:rsid w:val="008D4F97"/>
    <w:rsid w:val="008D50AC"/>
    <w:rsid w:val="008D514B"/>
    <w:rsid w:val="008D56A3"/>
    <w:rsid w:val="008D57D6"/>
    <w:rsid w:val="008D5BD2"/>
    <w:rsid w:val="008D5DEB"/>
    <w:rsid w:val="008D6553"/>
    <w:rsid w:val="008D663D"/>
    <w:rsid w:val="008D668C"/>
    <w:rsid w:val="008D671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3267"/>
    <w:rsid w:val="008E3357"/>
    <w:rsid w:val="008E3594"/>
    <w:rsid w:val="008E403B"/>
    <w:rsid w:val="008E41C3"/>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2DEC"/>
    <w:rsid w:val="008F364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8F7B34"/>
    <w:rsid w:val="009003AC"/>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989"/>
    <w:rsid w:val="00933B80"/>
    <w:rsid w:val="0093415B"/>
    <w:rsid w:val="009341A0"/>
    <w:rsid w:val="009341D8"/>
    <w:rsid w:val="009347D4"/>
    <w:rsid w:val="0093508E"/>
    <w:rsid w:val="0093552B"/>
    <w:rsid w:val="009358A9"/>
    <w:rsid w:val="00936053"/>
    <w:rsid w:val="0093651D"/>
    <w:rsid w:val="00936B2E"/>
    <w:rsid w:val="00936F4A"/>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F3A"/>
    <w:rsid w:val="00953F9D"/>
    <w:rsid w:val="009544CB"/>
    <w:rsid w:val="00954506"/>
    <w:rsid w:val="009554C1"/>
    <w:rsid w:val="009559B4"/>
    <w:rsid w:val="00955A11"/>
    <w:rsid w:val="00955A6B"/>
    <w:rsid w:val="00955B29"/>
    <w:rsid w:val="00955B9C"/>
    <w:rsid w:val="00955C28"/>
    <w:rsid w:val="00955CA0"/>
    <w:rsid w:val="00955DBB"/>
    <w:rsid w:val="00955E00"/>
    <w:rsid w:val="00955E61"/>
    <w:rsid w:val="009560B3"/>
    <w:rsid w:val="00956235"/>
    <w:rsid w:val="0095683B"/>
    <w:rsid w:val="00956969"/>
    <w:rsid w:val="00956B8F"/>
    <w:rsid w:val="00956C16"/>
    <w:rsid w:val="0095710B"/>
    <w:rsid w:val="009575C4"/>
    <w:rsid w:val="0095762D"/>
    <w:rsid w:val="009578AA"/>
    <w:rsid w:val="00957C13"/>
    <w:rsid w:val="0096006A"/>
    <w:rsid w:val="00960180"/>
    <w:rsid w:val="00960A50"/>
    <w:rsid w:val="00960B83"/>
    <w:rsid w:val="00960DD4"/>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774"/>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EC1"/>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BB5"/>
    <w:rsid w:val="009844E3"/>
    <w:rsid w:val="009846CB"/>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311B"/>
    <w:rsid w:val="009A32C9"/>
    <w:rsid w:val="009A3BEB"/>
    <w:rsid w:val="009A3C4D"/>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7AE"/>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9F9"/>
    <w:rsid w:val="009D1A6C"/>
    <w:rsid w:val="009D21F3"/>
    <w:rsid w:val="009D2282"/>
    <w:rsid w:val="009D2551"/>
    <w:rsid w:val="009D26A5"/>
    <w:rsid w:val="009D2977"/>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BDF"/>
    <w:rsid w:val="009D5CD6"/>
    <w:rsid w:val="009D601F"/>
    <w:rsid w:val="009D6266"/>
    <w:rsid w:val="009D6820"/>
    <w:rsid w:val="009D6C31"/>
    <w:rsid w:val="009D6EEA"/>
    <w:rsid w:val="009D7261"/>
    <w:rsid w:val="009D72F9"/>
    <w:rsid w:val="009D73F4"/>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493"/>
    <w:rsid w:val="009F7915"/>
    <w:rsid w:val="009F7B27"/>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259"/>
    <w:rsid w:val="00A07717"/>
    <w:rsid w:val="00A07B83"/>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0C6"/>
    <w:rsid w:val="00A17134"/>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3F14"/>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50F"/>
    <w:rsid w:val="00A348CD"/>
    <w:rsid w:val="00A3507F"/>
    <w:rsid w:val="00A354C9"/>
    <w:rsid w:val="00A356FA"/>
    <w:rsid w:val="00A357E2"/>
    <w:rsid w:val="00A35807"/>
    <w:rsid w:val="00A35873"/>
    <w:rsid w:val="00A359E5"/>
    <w:rsid w:val="00A35EE4"/>
    <w:rsid w:val="00A363E2"/>
    <w:rsid w:val="00A3678C"/>
    <w:rsid w:val="00A368E7"/>
    <w:rsid w:val="00A3690E"/>
    <w:rsid w:val="00A36E74"/>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1056"/>
    <w:rsid w:val="00A411B6"/>
    <w:rsid w:val="00A4149C"/>
    <w:rsid w:val="00A41F8C"/>
    <w:rsid w:val="00A42132"/>
    <w:rsid w:val="00A42594"/>
    <w:rsid w:val="00A42691"/>
    <w:rsid w:val="00A42C1E"/>
    <w:rsid w:val="00A43091"/>
    <w:rsid w:val="00A434DE"/>
    <w:rsid w:val="00A435B0"/>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9B7"/>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8F9"/>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946"/>
    <w:rsid w:val="00A71E6A"/>
    <w:rsid w:val="00A71FEF"/>
    <w:rsid w:val="00A722C7"/>
    <w:rsid w:val="00A724D9"/>
    <w:rsid w:val="00A72F92"/>
    <w:rsid w:val="00A73031"/>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7E"/>
    <w:rsid w:val="00A95DF0"/>
    <w:rsid w:val="00A962A4"/>
    <w:rsid w:val="00A96424"/>
    <w:rsid w:val="00A96456"/>
    <w:rsid w:val="00A969BF"/>
    <w:rsid w:val="00A96A9D"/>
    <w:rsid w:val="00A974BB"/>
    <w:rsid w:val="00A97508"/>
    <w:rsid w:val="00A97961"/>
    <w:rsid w:val="00AA0121"/>
    <w:rsid w:val="00AA0268"/>
    <w:rsid w:val="00AA08E3"/>
    <w:rsid w:val="00AA094A"/>
    <w:rsid w:val="00AA0E2B"/>
    <w:rsid w:val="00AA0EB9"/>
    <w:rsid w:val="00AA1075"/>
    <w:rsid w:val="00AA1427"/>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278"/>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1E98"/>
    <w:rsid w:val="00AC2804"/>
    <w:rsid w:val="00AC29F8"/>
    <w:rsid w:val="00AC2C64"/>
    <w:rsid w:val="00AC34BD"/>
    <w:rsid w:val="00AC34F4"/>
    <w:rsid w:val="00AC3C7A"/>
    <w:rsid w:val="00AC3E8A"/>
    <w:rsid w:val="00AC403A"/>
    <w:rsid w:val="00AC45AF"/>
    <w:rsid w:val="00AC4921"/>
    <w:rsid w:val="00AC4C0B"/>
    <w:rsid w:val="00AC4CB3"/>
    <w:rsid w:val="00AC4E36"/>
    <w:rsid w:val="00AC50EE"/>
    <w:rsid w:val="00AC57C5"/>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48A"/>
    <w:rsid w:val="00AD4DD7"/>
    <w:rsid w:val="00AD507F"/>
    <w:rsid w:val="00AD51FD"/>
    <w:rsid w:val="00AD550E"/>
    <w:rsid w:val="00AD59B0"/>
    <w:rsid w:val="00AD5F2F"/>
    <w:rsid w:val="00AD615A"/>
    <w:rsid w:val="00AD62AB"/>
    <w:rsid w:val="00AD658E"/>
    <w:rsid w:val="00AD6E7C"/>
    <w:rsid w:val="00AD752B"/>
    <w:rsid w:val="00AE05E2"/>
    <w:rsid w:val="00AE0A60"/>
    <w:rsid w:val="00AE0FC2"/>
    <w:rsid w:val="00AE1710"/>
    <w:rsid w:val="00AE1A9F"/>
    <w:rsid w:val="00AE1B44"/>
    <w:rsid w:val="00AE1D35"/>
    <w:rsid w:val="00AE1FB1"/>
    <w:rsid w:val="00AE27DE"/>
    <w:rsid w:val="00AE2A19"/>
    <w:rsid w:val="00AE2AEE"/>
    <w:rsid w:val="00AE2DAF"/>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E7BC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759"/>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AF7CB1"/>
    <w:rsid w:val="00B0065B"/>
    <w:rsid w:val="00B00F85"/>
    <w:rsid w:val="00B00FBC"/>
    <w:rsid w:val="00B012F4"/>
    <w:rsid w:val="00B014A4"/>
    <w:rsid w:val="00B014D4"/>
    <w:rsid w:val="00B016B8"/>
    <w:rsid w:val="00B01E79"/>
    <w:rsid w:val="00B01F39"/>
    <w:rsid w:val="00B0200D"/>
    <w:rsid w:val="00B02010"/>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AD9"/>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E4A"/>
    <w:rsid w:val="00B13E87"/>
    <w:rsid w:val="00B141B3"/>
    <w:rsid w:val="00B1424B"/>
    <w:rsid w:val="00B143DF"/>
    <w:rsid w:val="00B14BBB"/>
    <w:rsid w:val="00B14BD2"/>
    <w:rsid w:val="00B15036"/>
    <w:rsid w:val="00B15321"/>
    <w:rsid w:val="00B15452"/>
    <w:rsid w:val="00B15639"/>
    <w:rsid w:val="00B1593E"/>
    <w:rsid w:val="00B15ABC"/>
    <w:rsid w:val="00B15C2F"/>
    <w:rsid w:val="00B15EAF"/>
    <w:rsid w:val="00B15F5A"/>
    <w:rsid w:val="00B15F9E"/>
    <w:rsid w:val="00B167F5"/>
    <w:rsid w:val="00B16912"/>
    <w:rsid w:val="00B16A40"/>
    <w:rsid w:val="00B16C0C"/>
    <w:rsid w:val="00B17440"/>
    <w:rsid w:val="00B175B5"/>
    <w:rsid w:val="00B17A20"/>
    <w:rsid w:val="00B17A42"/>
    <w:rsid w:val="00B17AA5"/>
    <w:rsid w:val="00B17C02"/>
    <w:rsid w:val="00B17D52"/>
    <w:rsid w:val="00B2040C"/>
    <w:rsid w:val="00B2063E"/>
    <w:rsid w:val="00B20D2F"/>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57C"/>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50F"/>
    <w:rsid w:val="00B43A28"/>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9CB"/>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76"/>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1B7"/>
    <w:rsid w:val="00B61319"/>
    <w:rsid w:val="00B617B7"/>
    <w:rsid w:val="00B61E74"/>
    <w:rsid w:val="00B622BB"/>
    <w:rsid w:val="00B622D7"/>
    <w:rsid w:val="00B6240B"/>
    <w:rsid w:val="00B62687"/>
    <w:rsid w:val="00B626B4"/>
    <w:rsid w:val="00B627F2"/>
    <w:rsid w:val="00B62A7D"/>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CBA"/>
    <w:rsid w:val="00B87F32"/>
    <w:rsid w:val="00B87F6D"/>
    <w:rsid w:val="00B90146"/>
    <w:rsid w:val="00B90153"/>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BAF"/>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6FA"/>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5FA1"/>
    <w:rsid w:val="00BB6393"/>
    <w:rsid w:val="00BB65F5"/>
    <w:rsid w:val="00BB6C0E"/>
    <w:rsid w:val="00BB73FD"/>
    <w:rsid w:val="00BB747A"/>
    <w:rsid w:val="00BB7629"/>
    <w:rsid w:val="00BB763A"/>
    <w:rsid w:val="00BB77B1"/>
    <w:rsid w:val="00BC002B"/>
    <w:rsid w:val="00BC0159"/>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CF8"/>
    <w:rsid w:val="00BC3D7B"/>
    <w:rsid w:val="00BC40CA"/>
    <w:rsid w:val="00BC41DE"/>
    <w:rsid w:val="00BC4209"/>
    <w:rsid w:val="00BC4273"/>
    <w:rsid w:val="00BC49AA"/>
    <w:rsid w:val="00BC49B3"/>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157"/>
    <w:rsid w:val="00BD3289"/>
    <w:rsid w:val="00BD3338"/>
    <w:rsid w:val="00BD34BC"/>
    <w:rsid w:val="00BD3DF5"/>
    <w:rsid w:val="00BD40BF"/>
    <w:rsid w:val="00BD46F3"/>
    <w:rsid w:val="00BD4931"/>
    <w:rsid w:val="00BD4BCC"/>
    <w:rsid w:val="00BD4C54"/>
    <w:rsid w:val="00BD5309"/>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A6F"/>
    <w:rsid w:val="00C04B50"/>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64D"/>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65E"/>
    <w:rsid w:val="00C20A5B"/>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72DC"/>
    <w:rsid w:val="00C27466"/>
    <w:rsid w:val="00C2795C"/>
    <w:rsid w:val="00C27C9F"/>
    <w:rsid w:val="00C30025"/>
    <w:rsid w:val="00C3040A"/>
    <w:rsid w:val="00C305B8"/>
    <w:rsid w:val="00C307FE"/>
    <w:rsid w:val="00C30A93"/>
    <w:rsid w:val="00C30ABC"/>
    <w:rsid w:val="00C30B7F"/>
    <w:rsid w:val="00C30C0A"/>
    <w:rsid w:val="00C318F3"/>
    <w:rsid w:val="00C31EE5"/>
    <w:rsid w:val="00C322C9"/>
    <w:rsid w:val="00C322E5"/>
    <w:rsid w:val="00C32BFC"/>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BEA"/>
    <w:rsid w:val="00C54D15"/>
    <w:rsid w:val="00C54FE0"/>
    <w:rsid w:val="00C5506E"/>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B3"/>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B59"/>
    <w:rsid w:val="00C63F92"/>
    <w:rsid w:val="00C646DB"/>
    <w:rsid w:val="00C64E5B"/>
    <w:rsid w:val="00C64FA6"/>
    <w:rsid w:val="00C64FBF"/>
    <w:rsid w:val="00C6545D"/>
    <w:rsid w:val="00C65585"/>
    <w:rsid w:val="00C656B5"/>
    <w:rsid w:val="00C658B2"/>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5F5"/>
    <w:rsid w:val="00C72AC5"/>
    <w:rsid w:val="00C72B46"/>
    <w:rsid w:val="00C72C64"/>
    <w:rsid w:val="00C7325E"/>
    <w:rsid w:val="00C735B9"/>
    <w:rsid w:val="00C7440E"/>
    <w:rsid w:val="00C7452A"/>
    <w:rsid w:val="00C749C9"/>
    <w:rsid w:val="00C74C29"/>
    <w:rsid w:val="00C75284"/>
    <w:rsid w:val="00C75367"/>
    <w:rsid w:val="00C75518"/>
    <w:rsid w:val="00C75667"/>
    <w:rsid w:val="00C75896"/>
    <w:rsid w:val="00C75A36"/>
    <w:rsid w:val="00C76132"/>
    <w:rsid w:val="00C76C8D"/>
    <w:rsid w:val="00C76C9E"/>
    <w:rsid w:val="00C76EAE"/>
    <w:rsid w:val="00C7714F"/>
    <w:rsid w:val="00C77152"/>
    <w:rsid w:val="00C77366"/>
    <w:rsid w:val="00C77394"/>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711"/>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DD8"/>
    <w:rsid w:val="00CA22B3"/>
    <w:rsid w:val="00CA2AE1"/>
    <w:rsid w:val="00CA2AE8"/>
    <w:rsid w:val="00CA2AFC"/>
    <w:rsid w:val="00CA2C80"/>
    <w:rsid w:val="00CA2DCD"/>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5805"/>
    <w:rsid w:val="00CA62ED"/>
    <w:rsid w:val="00CA690C"/>
    <w:rsid w:val="00CA6943"/>
    <w:rsid w:val="00CA6952"/>
    <w:rsid w:val="00CA6BC9"/>
    <w:rsid w:val="00CA6E06"/>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708"/>
    <w:rsid w:val="00CC0B03"/>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3F8"/>
    <w:rsid w:val="00CC7638"/>
    <w:rsid w:val="00CC7C47"/>
    <w:rsid w:val="00CD0031"/>
    <w:rsid w:val="00CD0059"/>
    <w:rsid w:val="00CD0D77"/>
    <w:rsid w:val="00CD0FB3"/>
    <w:rsid w:val="00CD10FC"/>
    <w:rsid w:val="00CD139C"/>
    <w:rsid w:val="00CD16D7"/>
    <w:rsid w:val="00CD1917"/>
    <w:rsid w:val="00CD1B95"/>
    <w:rsid w:val="00CD1BDF"/>
    <w:rsid w:val="00CD1E04"/>
    <w:rsid w:val="00CD25F6"/>
    <w:rsid w:val="00CD2B5B"/>
    <w:rsid w:val="00CD2F96"/>
    <w:rsid w:val="00CD34C3"/>
    <w:rsid w:val="00CD3593"/>
    <w:rsid w:val="00CD3604"/>
    <w:rsid w:val="00CD3909"/>
    <w:rsid w:val="00CD397C"/>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257"/>
    <w:rsid w:val="00CE3773"/>
    <w:rsid w:val="00CE4780"/>
    <w:rsid w:val="00CE49FD"/>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39B2"/>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9AF"/>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DD4"/>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BE6"/>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E00"/>
    <w:rsid w:val="00D43FEA"/>
    <w:rsid w:val="00D440C4"/>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409"/>
    <w:rsid w:val="00D50510"/>
    <w:rsid w:val="00D508D0"/>
    <w:rsid w:val="00D50DED"/>
    <w:rsid w:val="00D50ECC"/>
    <w:rsid w:val="00D511DD"/>
    <w:rsid w:val="00D514FE"/>
    <w:rsid w:val="00D516AB"/>
    <w:rsid w:val="00D518CF"/>
    <w:rsid w:val="00D519DB"/>
    <w:rsid w:val="00D51D27"/>
    <w:rsid w:val="00D51D4B"/>
    <w:rsid w:val="00D51E95"/>
    <w:rsid w:val="00D51F30"/>
    <w:rsid w:val="00D5203E"/>
    <w:rsid w:val="00D5219F"/>
    <w:rsid w:val="00D52398"/>
    <w:rsid w:val="00D5282D"/>
    <w:rsid w:val="00D52E71"/>
    <w:rsid w:val="00D52FBC"/>
    <w:rsid w:val="00D532AA"/>
    <w:rsid w:val="00D53589"/>
    <w:rsid w:val="00D5380F"/>
    <w:rsid w:val="00D53815"/>
    <w:rsid w:val="00D540FA"/>
    <w:rsid w:val="00D542C1"/>
    <w:rsid w:val="00D54599"/>
    <w:rsid w:val="00D54A66"/>
    <w:rsid w:val="00D54C35"/>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9E0"/>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571"/>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3E10"/>
    <w:rsid w:val="00D8434E"/>
    <w:rsid w:val="00D84418"/>
    <w:rsid w:val="00D84527"/>
    <w:rsid w:val="00D84C25"/>
    <w:rsid w:val="00D84D13"/>
    <w:rsid w:val="00D84E86"/>
    <w:rsid w:val="00D85348"/>
    <w:rsid w:val="00D8537C"/>
    <w:rsid w:val="00D8543E"/>
    <w:rsid w:val="00D85A3B"/>
    <w:rsid w:val="00D85D8D"/>
    <w:rsid w:val="00D862A5"/>
    <w:rsid w:val="00D867D2"/>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661"/>
    <w:rsid w:val="00D93C62"/>
    <w:rsid w:val="00D94153"/>
    <w:rsid w:val="00D943A3"/>
    <w:rsid w:val="00D948E4"/>
    <w:rsid w:val="00D94B6D"/>
    <w:rsid w:val="00D94BE4"/>
    <w:rsid w:val="00D9503A"/>
    <w:rsid w:val="00D951AD"/>
    <w:rsid w:val="00D952A5"/>
    <w:rsid w:val="00D953CC"/>
    <w:rsid w:val="00D95578"/>
    <w:rsid w:val="00D9589F"/>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A6A"/>
    <w:rsid w:val="00DA0CDD"/>
    <w:rsid w:val="00DA13AD"/>
    <w:rsid w:val="00DA19D4"/>
    <w:rsid w:val="00DA1A47"/>
    <w:rsid w:val="00DA1C12"/>
    <w:rsid w:val="00DA1CA3"/>
    <w:rsid w:val="00DA2630"/>
    <w:rsid w:val="00DA2661"/>
    <w:rsid w:val="00DA2864"/>
    <w:rsid w:val="00DA2C5B"/>
    <w:rsid w:val="00DA2FAF"/>
    <w:rsid w:val="00DA3078"/>
    <w:rsid w:val="00DA3282"/>
    <w:rsid w:val="00DA33BE"/>
    <w:rsid w:val="00DA356B"/>
    <w:rsid w:val="00DA3584"/>
    <w:rsid w:val="00DA3719"/>
    <w:rsid w:val="00DA39AF"/>
    <w:rsid w:val="00DA41D7"/>
    <w:rsid w:val="00DA4322"/>
    <w:rsid w:val="00DA4978"/>
    <w:rsid w:val="00DA49C7"/>
    <w:rsid w:val="00DA4BA5"/>
    <w:rsid w:val="00DA51A9"/>
    <w:rsid w:val="00DA5A68"/>
    <w:rsid w:val="00DA5F3B"/>
    <w:rsid w:val="00DA5FC3"/>
    <w:rsid w:val="00DA6004"/>
    <w:rsid w:val="00DA6122"/>
    <w:rsid w:val="00DA6275"/>
    <w:rsid w:val="00DA6302"/>
    <w:rsid w:val="00DA64ED"/>
    <w:rsid w:val="00DA681E"/>
    <w:rsid w:val="00DA68C4"/>
    <w:rsid w:val="00DA6DB6"/>
    <w:rsid w:val="00DA6F17"/>
    <w:rsid w:val="00DA78E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EE1"/>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C2B"/>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76EF"/>
    <w:rsid w:val="00DD7BF9"/>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2E9"/>
    <w:rsid w:val="00DE367F"/>
    <w:rsid w:val="00DE37F7"/>
    <w:rsid w:val="00DE3EE9"/>
    <w:rsid w:val="00DE4318"/>
    <w:rsid w:val="00DE48B3"/>
    <w:rsid w:val="00DE4D0C"/>
    <w:rsid w:val="00DE4DE2"/>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106A"/>
    <w:rsid w:val="00DF12C9"/>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2C"/>
    <w:rsid w:val="00DF73E9"/>
    <w:rsid w:val="00E004C0"/>
    <w:rsid w:val="00E00733"/>
    <w:rsid w:val="00E00749"/>
    <w:rsid w:val="00E00863"/>
    <w:rsid w:val="00E00F61"/>
    <w:rsid w:val="00E010C5"/>
    <w:rsid w:val="00E01254"/>
    <w:rsid w:val="00E0145F"/>
    <w:rsid w:val="00E01461"/>
    <w:rsid w:val="00E014B4"/>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5FE"/>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FE1"/>
    <w:rsid w:val="00E16109"/>
    <w:rsid w:val="00E16427"/>
    <w:rsid w:val="00E16E08"/>
    <w:rsid w:val="00E170BD"/>
    <w:rsid w:val="00E17C2C"/>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4FE1"/>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D22"/>
    <w:rsid w:val="00E33140"/>
    <w:rsid w:val="00E336F1"/>
    <w:rsid w:val="00E33BD8"/>
    <w:rsid w:val="00E33C8A"/>
    <w:rsid w:val="00E33F61"/>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F6A"/>
    <w:rsid w:val="00E57056"/>
    <w:rsid w:val="00E57182"/>
    <w:rsid w:val="00E57391"/>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0F82"/>
    <w:rsid w:val="00E711F6"/>
    <w:rsid w:val="00E71220"/>
    <w:rsid w:val="00E712B7"/>
    <w:rsid w:val="00E71602"/>
    <w:rsid w:val="00E718C9"/>
    <w:rsid w:val="00E71B00"/>
    <w:rsid w:val="00E7244E"/>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4B1"/>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688"/>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8D4"/>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284"/>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B72"/>
    <w:rsid w:val="00ED2EF1"/>
    <w:rsid w:val="00ED3125"/>
    <w:rsid w:val="00ED31E8"/>
    <w:rsid w:val="00ED3241"/>
    <w:rsid w:val="00ED372A"/>
    <w:rsid w:val="00ED383D"/>
    <w:rsid w:val="00ED398B"/>
    <w:rsid w:val="00ED3A99"/>
    <w:rsid w:val="00ED4081"/>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897"/>
    <w:rsid w:val="00EE1B32"/>
    <w:rsid w:val="00EE242E"/>
    <w:rsid w:val="00EE2B0B"/>
    <w:rsid w:val="00EE2C20"/>
    <w:rsid w:val="00EE2DDA"/>
    <w:rsid w:val="00EE2E1D"/>
    <w:rsid w:val="00EE300F"/>
    <w:rsid w:val="00EE3199"/>
    <w:rsid w:val="00EE3B57"/>
    <w:rsid w:val="00EE3D23"/>
    <w:rsid w:val="00EE4103"/>
    <w:rsid w:val="00EE4106"/>
    <w:rsid w:val="00EE42C3"/>
    <w:rsid w:val="00EE46C5"/>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838"/>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BD7"/>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6EF"/>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2"/>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1FA9"/>
    <w:rsid w:val="00F21FF6"/>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681"/>
    <w:rsid w:val="00F35B9A"/>
    <w:rsid w:val="00F35D62"/>
    <w:rsid w:val="00F36548"/>
    <w:rsid w:val="00F3664C"/>
    <w:rsid w:val="00F36826"/>
    <w:rsid w:val="00F36AF3"/>
    <w:rsid w:val="00F36B36"/>
    <w:rsid w:val="00F36E8F"/>
    <w:rsid w:val="00F37149"/>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BCB"/>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3D1"/>
    <w:rsid w:val="00F56754"/>
    <w:rsid w:val="00F567C9"/>
    <w:rsid w:val="00F568C0"/>
    <w:rsid w:val="00F568D9"/>
    <w:rsid w:val="00F56AF3"/>
    <w:rsid w:val="00F56D12"/>
    <w:rsid w:val="00F56DD4"/>
    <w:rsid w:val="00F56DFE"/>
    <w:rsid w:val="00F571F2"/>
    <w:rsid w:val="00F574A1"/>
    <w:rsid w:val="00F57539"/>
    <w:rsid w:val="00F5759E"/>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5D5F"/>
    <w:rsid w:val="00F6615C"/>
    <w:rsid w:val="00F66436"/>
    <w:rsid w:val="00F668DF"/>
    <w:rsid w:val="00F66957"/>
    <w:rsid w:val="00F66B2E"/>
    <w:rsid w:val="00F66BB4"/>
    <w:rsid w:val="00F6706D"/>
    <w:rsid w:val="00F67579"/>
    <w:rsid w:val="00F675E3"/>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15"/>
    <w:rsid w:val="00F76F6F"/>
    <w:rsid w:val="00F772D0"/>
    <w:rsid w:val="00F773DD"/>
    <w:rsid w:val="00F779BA"/>
    <w:rsid w:val="00F77A1B"/>
    <w:rsid w:val="00F8020E"/>
    <w:rsid w:val="00F8071B"/>
    <w:rsid w:val="00F807C9"/>
    <w:rsid w:val="00F80B9E"/>
    <w:rsid w:val="00F80F70"/>
    <w:rsid w:val="00F813BA"/>
    <w:rsid w:val="00F81B69"/>
    <w:rsid w:val="00F821B2"/>
    <w:rsid w:val="00F823A4"/>
    <w:rsid w:val="00F82459"/>
    <w:rsid w:val="00F828CA"/>
    <w:rsid w:val="00F829C6"/>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5B2"/>
    <w:rsid w:val="00F94883"/>
    <w:rsid w:val="00F94B6A"/>
    <w:rsid w:val="00F94B93"/>
    <w:rsid w:val="00F9542A"/>
    <w:rsid w:val="00F9574B"/>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4F79"/>
    <w:rsid w:val="00FA5036"/>
    <w:rsid w:val="00FA5370"/>
    <w:rsid w:val="00FA5411"/>
    <w:rsid w:val="00FA54C8"/>
    <w:rsid w:val="00FA5616"/>
    <w:rsid w:val="00FA5654"/>
    <w:rsid w:val="00FA572C"/>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573"/>
    <w:rsid w:val="00FB29F6"/>
    <w:rsid w:val="00FB2C38"/>
    <w:rsid w:val="00FB2C86"/>
    <w:rsid w:val="00FB2FD0"/>
    <w:rsid w:val="00FB3400"/>
    <w:rsid w:val="00FB342E"/>
    <w:rsid w:val="00FB3509"/>
    <w:rsid w:val="00FB36BD"/>
    <w:rsid w:val="00FB3831"/>
    <w:rsid w:val="00FB38B0"/>
    <w:rsid w:val="00FB3D15"/>
    <w:rsid w:val="00FB43F0"/>
    <w:rsid w:val="00FB4913"/>
    <w:rsid w:val="00FB4AF5"/>
    <w:rsid w:val="00FB4EF8"/>
    <w:rsid w:val="00FB50A7"/>
    <w:rsid w:val="00FB528C"/>
    <w:rsid w:val="00FB554A"/>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0B7"/>
    <w:rsid w:val="00FC47DD"/>
    <w:rsid w:val="00FC486B"/>
    <w:rsid w:val="00FC4C85"/>
    <w:rsid w:val="00FC520C"/>
    <w:rsid w:val="00FC540C"/>
    <w:rsid w:val="00FC541E"/>
    <w:rsid w:val="00FC5540"/>
    <w:rsid w:val="00FC564A"/>
    <w:rsid w:val="00FC59E1"/>
    <w:rsid w:val="00FC5E07"/>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C04"/>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644"/>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3C27"/>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3BF"/>
    <w:rsid w:val="00FE767F"/>
    <w:rsid w:val="00FE76E4"/>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15"/>
    <w:rsid w:val="00FF2FEC"/>
    <w:rsid w:val="00FF31F9"/>
    <w:rsid w:val="00FF3365"/>
    <w:rsid w:val="00FF3601"/>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 w:val="01461178"/>
    <w:rsid w:val="014C7E5D"/>
    <w:rsid w:val="01D844CB"/>
    <w:rsid w:val="01E37862"/>
    <w:rsid w:val="01FD0FE3"/>
    <w:rsid w:val="02001667"/>
    <w:rsid w:val="025A10BF"/>
    <w:rsid w:val="02751BE6"/>
    <w:rsid w:val="02A414E2"/>
    <w:rsid w:val="02C60017"/>
    <w:rsid w:val="02EA7A71"/>
    <w:rsid w:val="034A03DF"/>
    <w:rsid w:val="036A05D8"/>
    <w:rsid w:val="03842DE7"/>
    <w:rsid w:val="038D1AD3"/>
    <w:rsid w:val="04194099"/>
    <w:rsid w:val="04347952"/>
    <w:rsid w:val="04581271"/>
    <w:rsid w:val="045D2E23"/>
    <w:rsid w:val="04684391"/>
    <w:rsid w:val="046B19E4"/>
    <w:rsid w:val="04A56E5D"/>
    <w:rsid w:val="04AB6A7B"/>
    <w:rsid w:val="04B60AB0"/>
    <w:rsid w:val="04E672BC"/>
    <w:rsid w:val="05983C94"/>
    <w:rsid w:val="059C5121"/>
    <w:rsid w:val="05DF0774"/>
    <w:rsid w:val="06700636"/>
    <w:rsid w:val="06B14F19"/>
    <w:rsid w:val="075F6EB2"/>
    <w:rsid w:val="07660BE9"/>
    <w:rsid w:val="07913061"/>
    <w:rsid w:val="07D826C8"/>
    <w:rsid w:val="07E81F6E"/>
    <w:rsid w:val="080608AC"/>
    <w:rsid w:val="08172DDD"/>
    <w:rsid w:val="082F30B8"/>
    <w:rsid w:val="08367EDB"/>
    <w:rsid w:val="09442803"/>
    <w:rsid w:val="09897183"/>
    <w:rsid w:val="09E50DE4"/>
    <w:rsid w:val="0A15675A"/>
    <w:rsid w:val="0A767A5B"/>
    <w:rsid w:val="0A8F3239"/>
    <w:rsid w:val="0A951973"/>
    <w:rsid w:val="0AB77A85"/>
    <w:rsid w:val="0ABF326F"/>
    <w:rsid w:val="0B2E6DF8"/>
    <w:rsid w:val="0B640F3B"/>
    <w:rsid w:val="0B834D79"/>
    <w:rsid w:val="0B95685F"/>
    <w:rsid w:val="0BAA2C53"/>
    <w:rsid w:val="0BAB6506"/>
    <w:rsid w:val="0BB44929"/>
    <w:rsid w:val="0BB5368B"/>
    <w:rsid w:val="0BC67500"/>
    <w:rsid w:val="0BD11F8C"/>
    <w:rsid w:val="0BE070CA"/>
    <w:rsid w:val="0C023496"/>
    <w:rsid w:val="0CBE796A"/>
    <w:rsid w:val="0D3D31F4"/>
    <w:rsid w:val="0D6A478C"/>
    <w:rsid w:val="0DB54C6B"/>
    <w:rsid w:val="0DC42165"/>
    <w:rsid w:val="0E1406FE"/>
    <w:rsid w:val="0E1640FD"/>
    <w:rsid w:val="0E4A4226"/>
    <w:rsid w:val="0E633065"/>
    <w:rsid w:val="0E645FD4"/>
    <w:rsid w:val="0E664FCA"/>
    <w:rsid w:val="0F0D000E"/>
    <w:rsid w:val="0F305812"/>
    <w:rsid w:val="0F4B066E"/>
    <w:rsid w:val="0F7B28B8"/>
    <w:rsid w:val="0F7B5CD3"/>
    <w:rsid w:val="0F841BAC"/>
    <w:rsid w:val="0FCC10D3"/>
    <w:rsid w:val="0FF240CC"/>
    <w:rsid w:val="10340BFA"/>
    <w:rsid w:val="10425DCD"/>
    <w:rsid w:val="10A411CA"/>
    <w:rsid w:val="11622DBF"/>
    <w:rsid w:val="11757B5B"/>
    <w:rsid w:val="119C783D"/>
    <w:rsid w:val="1221067D"/>
    <w:rsid w:val="124473D0"/>
    <w:rsid w:val="12650510"/>
    <w:rsid w:val="12743D68"/>
    <w:rsid w:val="12AF1E01"/>
    <w:rsid w:val="12BC78AF"/>
    <w:rsid w:val="12C25381"/>
    <w:rsid w:val="12D375B3"/>
    <w:rsid w:val="131A6B94"/>
    <w:rsid w:val="131D3252"/>
    <w:rsid w:val="1331735E"/>
    <w:rsid w:val="133313BA"/>
    <w:rsid w:val="134A21C3"/>
    <w:rsid w:val="13524881"/>
    <w:rsid w:val="13ED0BA8"/>
    <w:rsid w:val="14344D9C"/>
    <w:rsid w:val="143E4496"/>
    <w:rsid w:val="146342CD"/>
    <w:rsid w:val="148B43B2"/>
    <w:rsid w:val="14AF2248"/>
    <w:rsid w:val="152116FE"/>
    <w:rsid w:val="15284D87"/>
    <w:rsid w:val="154A11A2"/>
    <w:rsid w:val="15D7772B"/>
    <w:rsid w:val="16075E0D"/>
    <w:rsid w:val="16215622"/>
    <w:rsid w:val="164B2352"/>
    <w:rsid w:val="167826B9"/>
    <w:rsid w:val="16831F71"/>
    <w:rsid w:val="16E31D87"/>
    <w:rsid w:val="172765DB"/>
    <w:rsid w:val="17642426"/>
    <w:rsid w:val="17854690"/>
    <w:rsid w:val="186067B6"/>
    <w:rsid w:val="186F7AE7"/>
    <w:rsid w:val="189D4FA6"/>
    <w:rsid w:val="18FA2F45"/>
    <w:rsid w:val="192577EF"/>
    <w:rsid w:val="19590104"/>
    <w:rsid w:val="195C50F4"/>
    <w:rsid w:val="198474DB"/>
    <w:rsid w:val="198C3F77"/>
    <w:rsid w:val="19A55C3A"/>
    <w:rsid w:val="1A133C00"/>
    <w:rsid w:val="1A1530EE"/>
    <w:rsid w:val="1A4626D7"/>
    <w:rsid w:val="1A5A5B62"/>
    <w:rsid w:val="1AAB4748"/>
    <w:rsid w:val="1B075E55"/>
    <w:rsid w:val="1B097409"/>
    <w:rsid w:val="1B107F30"/>
    <w:rsid w:val="1B2E0C1E"/>
    <w:rsid w:val="1B502E0D"/>
    <w:rsid w:val="1B773B32"/>
    <w:rsid w:val="1B9B0D53"/>
    <w:rsid w:val="1BAB2CE3"/>
    <w:rsid w:val="1BBC6A4E"/>
    <w:rsid w:val="1C5C23DC"/>
    <w:rsid w:val="1C8B3FD4"/>
    <w:rsid w:val="1CCC6723"/>
    <w:rsid w:val="1CCD1468"/>
    <w:rsid w:val="1CDA72AF"/>
    <w:rsid w:val="1D2B1C22"/>
    <w:rsid w:val="1D436AEB"/>
    <w:rsid w:val="1DDB508D"/>
    <w:rsid w:val="1DEE019F"/>
    <w:rsid w:val="1E2C09AB"/>
    <w:rsid w:val="1E2F5E17"/>
    <w:rsid w:val="1F025547"/>
    <w:rsid w:val="1F2B06B0"/>
    <w:rsid w:val="1F48047D"/>
    <w:rsid w:val="1F5454F1"/>
    <w:rsid w:val="1F552E57"/>
    <w:rsid w:val="1FD41516"/>
    <w:rsid w:val="1FEC200A"/>
    <w:rsid w:val="20776EAE"/>
    <w:rsid w:val="20AE2702"/>
    <w:rsid w:val="20C22527"/>
    <w:rsid w:val="20C7496E"/>
    <w:rsid w:val="217F2FC3"/>
    <w:rsid w:val="21A41C3A"/>
    <w:rsid w:val="21B80F99"/>
    <w:rsid w:val="222F42F9"/>
    <w:rsid w:val="226E2D08"/>
    <w:rsid w:val="22CF1B52"/>
    <w:rsid w:val="231C6840"/>
    <w:rsid w:val="23251A24"/>
    <w:rsid w:val="23262DD9"/>
    <w:rsid w:val="234E00AF"/>
    <w:rsid w:val="2369748A"/>
    <w:rsid w:val="23A423C5"/>
    <w:rsid w:val="23E33915"/>
    <w:rsid w:val="24206E02"/>
    <w:rsid w:val="245B4730"/>
    <w:rsid w:val="24800CBD"/>
    <w:rsid w:val="24A81F06"/>
    <w:rsid w:val="24AA3130"/>
    <w:rsid w:val="24B03B5D"/>
    <w:rsid w:val="24B36429"/>
    <w:rsid w:val="24D64731"/>
    <w:rsid w:val="24E54A43"/>
    <w:rsid w:val="24F34ABC"/>
    <w:rsid w:val="250A2789"/>
    <w:rsid w:val="257664BC"/>
    <w:rsid w:val="25AB7A3A"/>
    <w:rsid w:val="25D526B1"/>
    <w:rsid w:val="26760048"/>
    <w:rsid w:val="26C7760F"/>
    <w:rsid w:val="271F6166"/>
    <w:rsid w:val="272478C8"/>
    <w:rsid w:val="27301812"/>
    <w:rsid w:val="27555FAB"/>
    <w:rsid w:val="277F371D"/>
    <w:rsid w:val="279B5386"/>
    <w:rsid w:val="27B45EFC"/>
    <w:rsid w:val="27D229B8"/>
    <w:rsid w:val="287959AC"/>
    <w:rsid w:val="28BB774F"/>
    <w:rsid w:val="295212B6"/>
    <w:rsid w:val="2978015E"/>
    <w:rsid w:val="29AB7196"/>
    <w:rsid w:val="29BC0855"/>
    <w:rsid w:val="29C96307"/>
    <w:rsid w:val="29CD1953"/>
    <w:rsid w:val="29D656A1"/>
    <w:rsid w:val="29EC23D0"/>
    <w:rsid w:val="29F1126C"/>
    <w:rsid w:val="2A234EC4"/>
    <w:rsid w:val="2A765EFD"/>
    <w:rsid w:val="2A807095"/>
    <w:rsid w:val="2B0B0BAF"/>
    <w:rsid w:val="2B18314B"/>
    <w:rsid w:val="2B2333E5"/>
    <w:rsid w:val="2B61750D"/>
    <w:rsid w:val="2B643231"/>
    <w:rsid w:val="2B8C5BDF"/>
    <w:rsid w:val="2B990DED"/>
    <w:rsid w:val="2B9C4B6B"/>
    <w:rsid w:val="2BA10189"/>
    <w:rsid w:val="2BBE22F2"/>
    <w:rsid w:val="2BEB4AF2"/>
    <w:rsid w:val="2C1D328F"/>
    <w:rsid w:val="2C5E2660"/>
    <w:rsid w:val="2C78619D"/>
    <w:rsid w:val="2C7B6A1A"/>
    <w:rsid w:val="2C824853"/>
    <w:rsid w:val="2CC66F08"/>
    <w:rsid w:val="2CEE5C81"/>
    <w:rsid w:val="2D0C032C"/>
    <w:rsid w:val="2D3341A6"/>
    <w:rsid w:val="2DB43E82"/>
    <w:rsid w:val="2DD46034"/>
    <w:rsid w:val="2DD96765"/>
    <w:rsid w:val="2DE103F9"/>
    <w:rsid w:val="2E350548"/>
    <w:rsid w:val="2E584BDE"/>
    <w:rsid w:val="2EAA0051"/>
    <w:rsid w:val="2EBD4332"/>
    <w:rsid w:val="2EC11297"/>
    <w:rsid w:val="2F0A79CF"/>
    <w:rsid w:val="2F9C5934"/>
    <w:rsid w:val="2FAC5405"/>
    <w:rsid w:val="2FC52F80"/>
    <w:rsid w:val="300F506A"/>
    <w:rsid w:val="30240B15"/>
    <w:rsid w:val="307A0735"/>
    <w:rsid w:val="30B21A96"/>
    <w:rsid w:val="30B31E99"/>
    <w:rsid w:val="30BB206B"/>
    <w:rsid w:val="317729D0"/>
    <w:rsid w:val="31AB21B2"/>
    <w:rsid w:val="31AE23BF"/>
    <w:rsid w:val="31C73E18"/>
    <w:rsid w:val="31DD635B"/>
    <w:rsid w:val="320A5281"/>
    <w:rsid w:val="321A2D0F"/>
    <w:rsid w:val="332155C8"/>
    <w:rsid w:val="33603C1B"/>
    <w:rsid w:val="33890800"/>
    <w:rsid w:val="342F5CDB"/>
    <w:rsid w:val="34443AB5"/>
    <w:rsid w:val="347E2A4C"/>
    <w:rsid w:val="34AC75AB"/>
    <w:rsid w:val="34B9119A"/>
    <w:rsid w:val="356E0458"/>
    <w:rsid w:val="357E2A76"/>
    <w:rsid w:val="358010FC"/>
    <w:rsid w:val="35862558"/>
    <w:rsid w:val="35871078"/>
    <w:rsid w:val="35935EBC"/>
    <w:rsid w:val="35973B37"/>
    <w:rsid w:val="35F2297B"/>
    <w:rsid w:val="35F61E0D"/>
    <w:rsid w:val="362F3BFA"/>
    <w:rsid w:val="367516C1"/>
    <w:rsid w:val="36CA5847"/>
    <w:rsid w:val="370A3BE1"/>
    <w:rsid w:val="37113475"/>
    <w:rsid w:val="371271FE"/>
    <w:rsid w:val="37242B85"/>
    <w:rsid w:val="37423FD8"/>
    <w:rsid w:val="374966DA"/>
    <w:rsid w:val="37623CD1"/>
    <w:rsid w:val="37797999"/>
    <w:rsid w:val="37B60733"/>
    <w:rsid w:val="386A5533"/>
    <w:rsid w:val="38784367"/>
    <w:rsid w:val="388F207C"/>
    <w:rsid w:val="38916BF8"/>
    <w:rsid w:val="38967818"/>
    <w:rsid w:val="38F23D57"/>
    <w:rsid w:val="39A064C2"/>
    <w:rsid w:val="39CE4F86"/>
    <w:rsid w:val="39F21D74"/>
    <w:rsid w:val="3A695973"/>
    <w:rsid w:val="3A91381D"/>
    <w:rsid w:val="3A97078F"/>
    <w:rsid w:val="3AA723F0"/>
    <w:rsid w:val="3AC07DBA"/>
    <w:rsid w:val="3AF42518"/>
    <w:rsid w:val="3B0E03F8"/>
    <w:rsid w:val="3C4D4E8F"/>
    <w:rsid w:val="3CAA2264"/>
    <w:rsid w:val="3D3D6D72"/>
    <w:rsid w:val="3D544A44"/>
    <w:rsid w:val="3D69322B"/>
    <w:rsid w:val="3D8F06AB"/>
    <w:rsid w:val="3D921364"/>
    <w:rsid w:val="3DAE16A4"/>
    <w:rsid w:val="3DAF302E"/>
    <w:rsid w:val="3DCC6979"/>
    <w:rsid w:val="3DF913AC"/>
    <w:rsid w:val="3E281C5E"/>
    <w:rsid w:val="3E391F41"/>
    <w:rsid w:val="3E99004D"/>
    <w:rsid w:val="3EC25BF3"/>
    <w:rsid w:val="3ED3519E"/>
    <w:rsid w:val="3F263042"/>
    <w:rsid w:val="3F4D6A87"/>
    <w:rsid w:val="3FC62A5B"/>
    <w:rsid w:val="3FE31D61"/>
    <w:rsid w:val="40316D60"/>
    <w:rsid w:val="409F0A9C"/>
    <w:rsid w:val="40B136F8"/>
    <w:rsid w:val="40C97AE0"/>
    <w:rsid w:val="40E23811"/>
    <w:rsid w:val="41A45BBD"/>
    <w:rsid w:val="41A9200B"/>
    <w:rsid w:val="41AD2F43"/>
    <w:rsid w:val="41CE369A"/>
    <w:rsid w:val="41FB36A0"/>
    <w:rsid w:val="422140E3"/>
    <w:rsid w:val="4241417B"/>
    <w:rsid w:val="426F0C61"/>
    <w:rsid w:val="427A2817"/>
    <w:rsid w:val="428325BE"/>
    <w:rsid w:val="42C2545C"/>
    <w:rsid w:val="42E27F91"/>
    <w:rsid w:val="43257F5F"/>
    <w:rsid w:val="432E09F9"/>
    <w:rsid w:val="433C7F19"/>
    <w:rsid w:val="435F7705"/>
    <w:rsid w:val="43913F89"/>
    <w:rsid w:val="43A24539"/>
    <w:rsid w:val="43BB4E95"/>
    <w:rsid w:val="43D61A56"/>
    <w:rsid w:val="440C6AF7"/>
    <w:rsid w:val="440F6877"/>
    <w:rsid w:val="44314DCD"/>
    <w:rsid w:val="443B6AF3"/>
    <w:rsid w:val="44685AC8"/>
    <w:rsid w:val="44A96FDE"/>
    <w:rsid w:val="44EE31BA"/>
    <w:rsid w:val="459D6299"/>
    <w:rsid w:val="4623010C"/>
    <w:rsid w:val="463712A0"/>
    <w:rsid w:val="46465C5B"/>
    <w:rsid w:val="464C73F4"/>
    <w:rsid w:val="465332BF"/>
    <w:rsid w:val="469C2DE7"/>
    <w:rsid w:val="46DD1045"/>
    <w:rsid w:val="46E65767"/>
    <w:rsid w:val="4707626F"/>
    <w:rsid w:val="47150183"/>
    <w:rsid w:val="4715609E"/>
    <w:rsid w:val="473F2011"/>
    <w:rsid w:val="4770109E"/>
    <w:rsid w:val="478E726C"/>
    <w:rsid w:val="47B01673"/>
    <w:rsid w:val="481A6413"/>
    <w:rsid w:val="4832090C"/>
    <w:rsid w:val="48401E0D"/>
    <w:rsid w:val="48460696"/>
    <w:rsid w:val="485B4F92"/>
    <w:rsid w:val="487F0831"/>
    <w:rsid w:val="48877323"/>
    <w:rsid w:val="48923541"/>
    <w:rsid w:val="48BD01F5"/>
    <w:rsid w:val="48CB7A14"/>
    <w:rsid w:val="48DF5E0E"/>
    <w:rsid w:val="48E01D4B"/>
    <w:rsid w:val="48EA412D"/>
    <w:rsid w:val="492D2391"/>
    <w:rsid w:val="49542DFE"/>
    <w:rsid w:val="496916B2"/>
    <w:rsid w:val="4A1B48DF"/>
    <w:rsid w:val="4A1C2405"/>
    <w:rsid w:val="4A7A4EC0"/>
    <w:rsid w:val="4A991223"/>
    <w:rsid w:val="4B1033C4"/>
    <w:rsid w:val="4B8A4108"/>
    <w:rsid w:val="4BD56F21"/>
    <w:rsid w:val="4C286E3A"/>
    <w:rsid w:val="4C346E24"/>
    <w:rsid w:val="4C552529"/>
    <w:rsid w:val="4C644ADF"/>
    <w:rsid w:val="4C9700E7"/>
    <w:rsid w:val="4C9C6755"/>
    <w:rsid w:val="4CA1731E"/>
    <w:rsid w:val="4CA338D6"/>
    <w:rsid w:val="4CBB5989"/>
    <w:rsid w:val="4CC71CF1"/>
    <w:rsid w:val="4D0A0D72"/>
    <w:rsid w:val="4D3161C8"/>
    <w:rsid w:val="4D39050D"/>
    <w:rsid w:val="4DD813F4"/>
    <w:rsid w:val="4E015B9A"/>
    <w:rsid w:val="4E02277C"/>
    <w:rsid w:val="4E104BB2"/>
    <w:rsid w:val="4F71212E"/>
    <w:rsid w:val="4FF81EEA"/>
    <w:rsid w:val="4FFD40E4"/>
    <w:rsid w:val="4FFE6B9C"/>
    <w:rsid w:val="500E2647"/>
    <w:rsid w:val="506272F9"/>
    <w:rsid w:val="506B55B3"/>
    <w:rsid w:val="508743EC"/>
    <w:rsid w:val="508D4A0D"/>
    <w:rsid w:val="509A2603"/>
    <w:rsid w:val="518B74F8"/>
    <w:rsid w:val="51F973B9"/>
    <w:rsid w:val="5215355A"/>
    <w:rsid w:val="521C1FB9"/>
    <w:rsid w:val="524B5766"/>
    <w:rsid w:val="530A565C"/>
    <w:rsid w:val="53171558"/>
    <w:rsid w:val="537A44F5"/>
    <w:rsid w:val="538F2E12"/>
    <w:rsid w:val="53B556BD"/>
    <w:rsid w:val="53B76C04"/>
    <w:rsid w:val="54195EA7"/>
    <w:rsid w:val="542925D7"/>
    <w:rsid w:val="5463747F"/>
    <w:rsid w:val="548E5275"/>
    <w:rsid w:val="549239F0"/>
    <w:rsid w:val="54C33C51"/>
    <w:rsid w:val="54D9517B"/>
    <w:rsid w:val="550A618D"/>
    <w:rsid w:val="55A44089"/>
    <w:rsid w:val="563D5BDD"/>
    <w:rsid w:val="567B664E"/>
    <w:rsid w:val="56985BD8"/>
    <w:rsid w:val="56EB430F"/>
    <w:rsid w:val="570F5232"/>
    <w:rsid w:val="571173F0"/>
    <w:rsid w:val="58056EA2"/>
    <w:rsid w:val="580C3AB9"/>
    <w:rsid w:val="58446D4E"/>
    <w:rsid w:val="585A7187"/>
    <w:rsid w:val="587749F2"/>
    <w:rsid w:val="589E2AD0"/>
    <w:rsid w:val="58D51570"/>
    <w:rsid w:val="59171FE7"/>
    <w:rsid w:val="59483FC0"/>
    <w:rsid w:val="59712D8B"/>
    <w:rsid w:val="597E368D"/>
    <w:rsid w:val="598B5B85"/>
    <w:rsid w:val="59AA0427"/>
    <w:rsid w:val="59DA24E3"/>
    <w:rsid w:val="59E7033A"/>
    <w:rsid w:val="59F34F35"/>
    <w:rsid w:val="5A040EEC"/>
    <w:rsid w:val="5A0A227A"/>
    <w:rsid w:val="5A161EC7"/>
    <w:rsid w:val="5A2A46CB"/>
    <w:rsid w:val="5A7D55F4"/>
    <w:rsid w:val="5B170F9B"/>
    <w:rsid w:val="5B475461"/>
    <w:rsid w:val="5B6B1D66"/>
    <w:rsid w:val="5B851D8A"/>
    <w:rsid w:val="5B8B66C2"/>
    <w:rsid w:val="5B8C2279"/>
    <w:rsid w:val="5BEF179D"/>
    <w:rsid w:val="5C39038D"/>
    <w:rsid w:val="5C4907B6"/>
    <w:rsid w:val="5C6B5F1C"/>
    <w:rsid w:val="5C7F525B"/>
    <w:rsid w:val="5CDF6EFF"/>
    <w:rsid w:val="5CEA1BBD"/>
    <w:rsid w:val="5D3339CE"/>
    <w:rsid w:val="5D373386"/>
    <w:rsid w:val="5DE9715E"/>
    <w:rsid w:val="5E262DD2"/>
    <w:rsid w:val="5E510867"/>
    <w:rsid w:val="5E8D5C4B"/>
    <w:rsid w:val="5EA14AEC"/>
    <w:rsid w:val="5EA467FA"/>
    <w:rsid w:val="5F5F7BAF"/>
    <w:rsid w:val="60751661"/>
    <w:rsid w:val="60D948AE"/>
    <w:rsid w:val="610A29F0"/>
    <w:rsid w:val="61573869"/>
    <w:rsid w:val="61BA6826"/>
    <w:rsid w:val="61C20E69"/>
    <w:rsid w:val="61EB6489"/>
    <w:rsid w:val="620F0E91"/>
    <w:rsid w:val="62167F9B"/>
    <w:rsid w:val="627B1F67"/>
    <w:rsid w:val="62A67A0C"/>
    <w:rsid w:val="62CA338D"/>
    <w:rsid w:val="62FC753A"/>
    <w:rsid w:val="630C53F1"/>
    <w:rsid w:val="633816E7"/>
    <w:rsid w:val="63397F38"/>
    <w:rsid w:val="634C2EAB"/>
    <w:rsid w:val="635F3637"/>
    <w:rsid w:val="6391547F"/>
    <w:rsid w:val="63B84AF5"/>
    <w:rsid w:val="63B948A0"/>
    <w:rsid w:val="640F4BE8"/>
    <w:rsid w:val="64603094"/>
    <w:rsid w:val="647E642B"/>
    <w:rsid w:val="64A5235D"/>
    <w:rsid w:val="64D264EB"/>
    <w:rsid w:val="64DA3A31"/>
    <w:rsid w:val="65024AF2"/>
    <w:rsid w:val="652866AB"/>
    <w:rsid w:val="654E61D6"/>
    <w:rsid w:val="65521F0A"/>
    <w:rsid w:val="655B0F8F"/>
    <w:rsid w:val="659F41BF"/>
    <w:rsid w:val="65EA6788"/>
    <w:rsid w:val="668C7774"/>
    <w:rsid w:val="66AD48D4"/>
    <w:rsid w:val="66C03831"/>
    <w:rsid w:val="66C27892"/>
    <w:rsid w:val="67076623"/>
    <w:rsid w:val="671A4197"/>
    <w:rsid w:val="677551D7"/>
    <w:rsid w:val="67A64621"/>
    <w:rsid w:val="67CD3330"/>
    <w:rsid w:val="67D45BA5"/>
    <w:rsid w:val="67D47286"/>
    <w:rsid w:val="67F53CE1"/>
    <w:rsid w:val="6807416A"/>
    <w:rsid w:val="680E2F36"/>
    <w:rsid w:val="68266D64"/>
    <w:rsid w:val="682D4CF3"/>
    <w:rsid w:val="684D5F0A"/>
    <w:rsid w:val="68732536"/>
    <w:rsid w:val="68B735CD"/>
    <w:rsid w:val="68F760C0"/>
    <w:rsid w:val="690833DF"/>
    <w:rsid w:val="692B4279"/>
    <w:rsid w:val="693F2A28"/>
    <w:rsid w:val="69621EB2"/>
    <w:rsid w:val="69832DA7"/>
    <w:rsid w:val="69B859EE"/>
    <w:rsid w:val="69D27151"/>
    <w:rsid w:val="69F14BC9"/>
    <w:rsid w:val="6A17590F"/>
    <w:rsid w:val="6A552CE1"/>
    <w:rsid w:val="6A986E26"/>
    <w:rsid w:val="6ABC4F65"/>
    <w:rsid w:val="6B0B2424"/>
    <w:rsid w:val="6B91384B"/>
    <w:rsid w:val="6BD050D2"/>
    <w:rsid w:val="6C6B168C"/>
    <w:rsid w:val="6CFF2FD6"/>
    <w:rsid w:val="6D2F60CD"/>
    <w:rsid w:val="6D4832F0"/>
    <w:rsid w:val="6D692EFA"/>
    <w:rsid w:val="6D6F3E05"/>
    <w:rsid w:val="6DC448EF"/>
    <w:rsid w:val="6DCC3677"/>
    <w:rsid w:val="6E021F59"/>
    <w:rsid w:val="6E831A1C"/>
    <w:rsid w:val="6EC66661"/>
    <w:rsid w:val="6ECD40B4"/>
    <w:rsid w:val="6ECD7879"/>
    <w:rsid w:val="6EF94940"/>
    <w:rsid w:val="6F3239AE"/>
    <w:rsid w:val="6F6C3363"/>
    <w:rsid w:val="6F6C60B8"/>
    <w:rsid w:val="6FE173F3"/>
    <w:rsid w:val="6FF81B3C"/>
    <w:rsid w:val="702E0619"/>
    <w:rsid w:val="70390E2A"/>
    <w:rsid w:val="705931BC"/>
    <w:rsid w:val="70932B72"/>
    <w:rsid w:val="70D72A5F"/>
    <w:rsid w:val="70EC6F95"/>
    <w:rsid w:val="71100664"/>
    <w:rsid w:val="7152348D"/>
    <w:rsid w:val="71F146BE"/>
    <w:rsid w:val="71F62268"/>
    <w:rsid w:val="72286818"/>
    <w:rsid w:val="723A6B2A"/>
    <w:rsid w:val="72590AD6"/>
    <w:rsid w:val="72AE7B8D"/>
    <w:rsid w:val="72EE408F"/>
    <w:rsid w:val="72F141D5"/>
    <w:rsid w:val="72FF4A25"/>
    <w:rsid w:val="731F637B"/>
    <w:rsid w:val="733240D2"/>
    <w:rsid w:val="733B7E27"/>
    <w:rsid w:val="734A5C02"/>
    <w:rsid w:val="736C25D3"/>
    <w:rsid w:val="73780B60"/>
    <w:rsid w:val="73911760"/>
    <w:rsid w:val="739D6EF6"/>
    <w:rsid w:val="73CA6A1A"/>
    <w:rsid w:val="73DB38C1"/>
    <w:rsid w:val="741A7B28"/>
    <w:rsid w:val="741F4D77"/>
    <w:rsid w:val="74321B1E"/>
    <w:rsid w:val="743E55AF"/>
    <w:rsid w:val="74A263B4"/>
    <w:rsid w:val="74D817D4"/>
    <w:rsid w:val="74DB7549"/>
    <w:rsid w:val="7503711D"/>
    <w:rsid w:val="7541668A"/>
    <w:rsid w:val="754E7171"/>
    <w:rsid w:val="75843A60"/>
    <w:rsid w:val="759058D2"/>
    <w:rsid w:val="75A0768A"/>
    <w:rsid w:val="76334DA1"/>
    <w:rsid w:val="76675E07"/>
    <w:rsid w:val="76832D41"/>
    <w:rsid w:val="76937428"/>
    <w:rsid w:val="76A423A7"/>
    <w:rsid w:val="76EB699A"/>
    <w:rsid w:val="77433E76"/>
    <w:rsid w:val="779B0A76"/>
    <w:rsid w:val="77D95FAC"/>
    <w:rsid w:val="780F3BC1"/>
    <w:rsid w:val="78324A1E"/>
    <w:rsid w:val="7851386F"/>
    <w:rsid w:val="78661107"/>
    <w:rsid w:val="787406CF"/>
    <w:rsid w:val="78E8332F"/>
    <w:rsid w:val="78FC7CCC"/>
    <w:rsid w:val="79155BE7"/>
    <w:rsid w:val="796E3CC3"/>
    <w:rsid w:val="79A331B5"/>
    <w:rsid w:val="79B64857"/>
    <w:rsid w:val="7A2E30D0"/>
    <w:rsid w:val="7A4F4E61"/>
    <w:rsid w:val="7A7C5E18"/>
    <w:rsid w:val="7A902BE2"/>
    <w:rsid w:val="7ADE2C3C"/>
    <w:rsid w:val="7AE25B38"/>
    <w:rsid w:val="7B6A5D5B"/>
    <w:rsid w:val="7B7F3F20"/>
    <w:rsid w:val="7BA07FAC"/>
    <w:rsid w:val="7BB551E6"/>
    <w:rsid w:val="7BD10E19"/>
    <w:rsid w:val="7BD166CF"/>
    <w:rsid w:val="7C167562"/>
    <w:rsid w:val="7C5036C5"/>
    <w:rsid w:val="7C55170E"/>
    <w:rsid w:val="7C9E7B4B"/>
    <w:rsid w:val="7CE11BB8"/>
    <w:rsid w:val="7CFD4F05"/>
    <w:rsid w:val="7D235FB0"/>
    <w:rsid w:val="7D4F2A98"/>
    <w:rsid w:val="7D717D97"/>
    <w:rsid w:val="7D752E09"/>
    <w:rsid w:val="7DAC30D2"/>
    <w:rsid w:val="7DB008BF"/>
    <w:rsid w:val="7DBE3D37"/>
    <w:rsid w:val="7DE762AB"/>
    <w:rsid w:val="7E0D2D37"/>
    <w:rsid w:val="7E0F46B4"/>
    <w:rsid w:val="7E4B3139"/>
    <w:rsid w:val="7E9E68CB"/>
    <w:rsid w:val="7EA82013"/>
    <w:rsid w:val="7EC95149"/>
    <w:rsid w:val="7FA03C77"/>
    <w:rsid w:val="7FA94B86"/>
    <w:rsid w:val="7FC90A75"/>
    <w:rsid w:val="7FCF1B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0" w:name="Normal Indent"/>
    <w:lsdException w:uiPriority="99" w:name="footnote text"/>
    <w:lsdException w:qFormat="1" w:uiPriority="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uiPriority="99" w:name="Body Text First Indent 2"/>
    <w:lsdException w:qFormat="1"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1"/>
      <w:szCs w:val="24"/>
      <w:lang w:val="en-US" w:eastAsia="zh-CN" w:bidi="ar-SA"/>
    </w:rPr>
  </w:style>
  <w:style w:type="paragraph" w:styleId="2">
    <w:name w:val="heading 1"/>
    <w:basedOn w:val="1"/>
    <w:next w:val="1"/>
    <w:link w:val="375"/>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3">
    <w:name w:val="heading 2"/>
    <w:basedOn w:val="1"/>
    <w:next w:val="1"/>
    <w:link w:val="380"/>
    <w:qFormat/>
    <w:uiPriority w:val="0"/>
    <w:pPr>
      <w:keepNext/>
      <w:keepLines/>
      <w:widowControl w:val="0"/>
      <w:spacing w:before="60" w:after="60"/>
      <w:jc w:val="both"/>
      <w:outlineLvl w:val="1"/>
    </w:pPr>
    <w:rPr>
      <w:rFonts w:ascii="Arial" w:hAnsi="Arial" w:cs="Times New Roman"/>
      <w:b/>
      <w:bCs/>
      <w:kern w:val="2"/>
      <w:szCs w:val="21"/>
    </w:rPr>
  </w:style>
  <w:style w:type="paragraph" w:styleId="4">
    <w:name w:val="heading 3"/>
    <w:basedOn w:val="1"/>
    <w:next w:val="1"/>
    <w:link w:val="289"/>
    <w:qFormat/>
    <w:uiPriority w:val="9"/>
    <w:pPr>
      <w:keepNext/>
      <w:keepLines/>
      <w:widowControl w:val="0"/>
      <w:spacing w:before="60" w:after="60"/>
      <w:jc w:val="both"/>
      <w:outlineLvl w:val="2"/>
    </w:pPr>
    <w:rPr>
      <w:rFonts w:ascii="Calibri" w:hAnsi="Calibri" w:cs="Times New Roman"/>
      <w:b/>
      <w:bCs/>
      <w:kern w:val="2"/>
      <w:szCs w:val="32"/>
    </w:rPr>
  </w:style>
  <w:style w:type="paragraph" w:styleId="5">
    <w:name w:val="heading 4"/>
    <w:basedOn w:val="1"/>
    <w:next w:val="1"/>
    <w:link w:val="366"/>
    <w:qFormat/>
    <w:uiPriority w:val="9"/>
    <w:pPr>
      <w:keepNext/>
      <w:keepLines/>
      <w:widowControl w:val="0"/>
      <w:spacing w:before="60" w:after="60"/>
      <w:jc w:val="both"/>
      <w:outlineLvl w:val="3"/>
    </w:pPr>
    <w:rPr>
      <w:rFonts w:cs="Times New Roman" w:asciiTheme="minorEastAsia" w:hAnsiTheme="minorEastAsia" w:eastAsiaTheme="minorEastAsia"/>
      <w:b/>
      <w:bCs/>
      <w:kern w:val="2"/>
      <w:szCs w:val="28"/>
    </w:rPr>
  </w:style>
  <w:style w:type="paragraph" w:styleId="6">
    <w:name w:val="heading 5"/>
    <w:basedOn w:val="1"/>
    <w:next w:val="1"/>
    <w:link w:val="201"/>
    <w:qFormat/>
    <w:uiPriority w:val="9"/>
    <w:pPr>
      <w:keepNext/>
      <w:keepLines/>
      <w:widowControl w:val="0"/>
      <w:spacing w:before="60" w:after="60"/>
      <w:ind w:left="50" w:leftChars="50"/>
      <w:jc w:val="both"/>
      <w:outlineLvl w:val="4"/>
    </w:pPr>
    <w:rPr>
      <w:rFonts w:ascii="Calibri" w:hAnsi="Calibri" w:cs="Times New Roman"/>
      <w:b/>
      <w:bCs/>
      <w:kern w:val="2"/>
      <w:szCs w:val="28"/>
    </w:rPr>
  </w:style>
  <w:style w:type="paragraph" w:styleId="7">
    <w:name w:val="heading 6"/>
    <w:basedOn w:val="1"/>
    <w:next w:val="1"/>
    <w:link w:val="371"/>
    <w:semiHidden/>
    <w:unhideWhenUsed/>
    <w:qFormat/>
    <w:uiPriority w:val="9"/>
    <w:pPr>
      <w:keepNext/>
      <w:keepLines/>
      <w:spacing w:before="60" w:after="60"/>
      <w:ind w:left="50" w:leftChars="50"/>
      <w:outlineLvl w:val="5"/>
    </w:pPr>
    <w:rPr>
      <w:rFonts w:asciiTheme="majorHAnsi" w:hAnsiTheme="majorHAnsi" w:cstheme="majorBidi"/>
      <w:b/>
      <w:bCs/>
    </w:rPr>
  </w:style>
  <w:style w:type="paragraph" w:styleId="8">
    <w:name w:val="heading 7"/>
    <w:basedOn w:val="1"/>
    <w:next w:val="1"/>
    <w:semiHidden/>
    <w:unhideWhenUsed/>
    <w:qFormat/>
    <w:uiPriority w:val="9"/>
    <w:pPr>
      <w:keepNext/>
      <w:keepLines/>
      <w:spacing w:before="240" w:after="64" w:line="320" w:lineRule="auto"/>
      <w:outlineLvl w:val="6"/>
    </w:pPr>
    <w:rPr>
      <w:b/>
      <w:bCs/>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link w:val="352"/>
    <w:semiHidden/>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styleId="10">
    <w:name w:val="Note Heading"/>
    <w:basedOn w:val="1"/>
    <w:next w:val="1"/>
    <w:link w:val="354"/>
    <w:semiHidden/>
    <w:unhideWhenUsed/>
    <w:qFormat/>
    <w:uiPriority w:val="99"/>
    <w:pPr>
      <w:widowControl w:val="0"/>
      <w:jc w:val="center"/>
    </w:pPr>
    <w:rPr>
      <w:rFonts w:ascii="Times New Roman" w:hAnsi="Times New Roman" w:cs="Times New Roman"/>
      <w:kern w:val="2"/>
      <w:szCs w:val="21"/>
    </w:rPr>
  </w:style>
  <w:style w:type="paragraph" w:styleId="11">
    <w:name w:val="Normal Indent"/>
    <w:basedOn w:val="1"/>
    <w:semiHidden/>
    <w:unhideWhenUsed/>
    <w:qFormat/>
    <w:uiPriority w:val="0"/>
    <w:pPr>
      <w:widowControl w:val="0"/>
      <w:ind w:firstLine="420" w:firstLineChars="200"/>
      <w:jc w:val="both"/>
    </w:pPr>
    <w:rPr>
      <w:rFonts w:ascii="Times New Roman" w:hAnsi="Times New Roman" w:cs="Times New Roman"/>
      <w:kern w:val="2"/>
      <w:szCs w:val="21"/>
    </w:rPr>
  </w:style>
  <w:style w:type="paragraph" w:styleId="12">
    <w:name w:val="Document Map"/>
    <w:basedOn w:val="1"/>
    <w:link w:val="261"/>
    <w:semiHidden/>
    <w:unhideWhenUsed/>
    <w:qFormat/>
    <w:uiPriority w:val="99"/>
    <w:pPr>
      <w:widowControl w:val="0"/>
      <w:jc w:val="both"/>
    </w:pPr>
    <w:rPr>
      <w:rFonts w:hAnsi="Calibri" w:cs="Times New Roman"/>
      <w:kern w:val="2"/>
      <w:sz w:val="18"/>
      <w:szCs w:val="18"/>
    </w:rPr>
  </w:style>
  <w:style w:type="paragraph" w:styleId="13">
    <w:name w:val="toa heading"/>
    <w:basedOn w:val="1"/>
    <w:next w:val="1"/>
    <w:semiHidden/>
    <w:unhideWhenUsed/>
    <w:qFormat/>
    <w:uiPriority w:val="0"/>
    <w:pPr>
      <w:widowControl w:val="0"/>
      <w:spacing w:before="120"/>
      <w:jc w:val="both"/>
    </w:pPr>
    <w:rPr>
      <w:rFonts w:ascii="Arial" w:hAnsi="Arial" w:cs="Times New Roman"/>
      <w:b/>
      <w:bCs/>
      <w:kern w:val="2"/>
      <w:szCs w:val="21"/>
    </w:rPr>
  </w:style>
  <w:style w:type="paragraph" w:styleId="14">
    <w:name w:val="annotation text"/>
    <w:basedOn w:val="1"/>
    <w:link w:val="346"/>
    <w:semiHidden/>
    <w:unhideWhenUsed/>
    <w:qFormat/>
    <w:uiPriority w:val="0"/>
    <w:pPr>
      <w:widowControl w:val="0"/>
    </w:pPr>
    <w:rPr>
      <w:rFonts w:ascii="Times New Roman" w:hAnsi="Times New Roman" w:cs="Times New Roman"/>
      <w:kern w:val="2"/>
      <w:szCs w:val="21"/>
    </w:rPr>
  </w:style>
  <w:style w:type="paragraph" w:styleId="15">
    <w:name w:val="Salutation"/>
    <w:basedOn w:val="1"/>
    <w:next w:val="1"/>
    <w:link w:val="58"/>
    <w:semiHidden/>
    <w:unhideWhenUsed/>
    <w:qFormat/>
    <w:uiPriority w:val="99"/>
    <w:pPr>
      <w:widowControl w:val="0"/>
      <w:jc w:val="both"/>
    </w:pPr>
    <w:rPr>
      <w:rFonts w:ascii="Times New Roman" w:hAnsi="Times New Roman" w:cs="Times New Roman"/>
      <w:kern w:val="2"/>
      <w:szCs w:val="21"/>
    </w:rPr>
  </w:style>
  <w:style w:type="paragraph" w:styleId="16">
    <w:name w:val="List Bullet 3"/>
    <w:basedOn w:val="1"/>
    <w:link w:val="361"/>
    <w:semiHidden/>
    <w:unhideWhenUsed/>
    <w:qFormat/>
    <w:uiPriority w:val="0"/>
    <w:pPr>
      <w:widowControl w:val="0"/>
      <w:tabs>
        <w:tab w:val="left" w:pos="1200"/>
      </w:tabs>
      <w:jc w:val="both"/>
    </w:pPr>
    <w:rPr>
      <w:rFonts w:ascii="Times New Roman" w:hAnsi="Times New Roman" w:cs="Times New Roman"/>
      <w:kern w:val="2"/>
      <w:szCs w:val="21"/>
    </w:rPr>
  </w:style>
  <w:style w:type="paragraph" w:styleId="17">
    <w:name w:val="Body Text"/>
    <w:basedOn w:val="1"/>
    <w:link w:val="349"/>
    <w:semiHidden/>
    <w:unhideWhenUsed/>
    <w:qFormat/>
    <w:uiPriority w:val="99"/>
    <w:pPr>
      <w:widowControl w:val="0"/>
      <w:spacing w:after="120"/>
      <w:jc w:val="both"/>
    </w:pPr>
    <w:rPr>
      <w:rFonts w:ascii="Times New Roman" w:hAnsi="Times New Roman" w:cs="Times New Roman"/>
      <w:kern w:val="2"/>
      <w:szCs w:val="21"/>
    </w:rPr>
  </w:style>
  <w:style w:type="paragraph" w:styleId="18">
    <w:name w:val="toc 5"/>
    <w:basedOn w:val="1"/>
    <w:next w:val="1"/>
    <w:semiHidden/>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styleId="19">
    <w:name w:val="toc 3"/>
    <w:basedOn w:val="1"/>
    <w:next w:val="1"/>
    <w:link w:val="365"/>
    <w:semiHidden/>
    <w:unhideWhenUsed/>
    <w:qFormat/>
    <w:uiPriority w:val="39"/>
    <w:pPr>
      <w:spacing w:after="100" w:line="276" w:lineRule="auto"/>
      <w:ind w:left="440"/>
    </w:pPr>
    <w:rPr>
      <w:rFonts w:ascii="Calibri" w:hAnsi="Calibri" w:cs="Times New Roman"/>
      <w:sz w:val="22"/>
      <w:szCs w:val="22"/>
    </w:rPr>
  </w:style>
  <w:style w:type="paragraph" w:styleId="20">
    <w:name w:val="Plain Text"/>
    <w:basedOn w:val="1"/>
    <w:link w:val="347"/>
    <w:semiHidden/>
    <w:unhideWhenUsed/>
    <w:qFormat/>
    <w:uiPriority w:val="0"/>
    <w:pPr>
      <w:widowControl w:val="0"/>
      <w:jc w:val="both"/>
    </w:pPr>
    <w:rPr>
      <w:rFonts w:hAnsi="Courier New" w:cs="Times New Roman"/>
      <w:kern w:val="2"/>
      <w:szCs w:val="20"/>
    </w:rPr>
  </w:style>
  <w:style w:type="paragraph" w:styleId="21">
    <w:name w:val="toc 8"/>
    <w:basedOn w:val="1"/>
    <w:next w:val="1"/>
    <w:link w:val="350"/>
    <w:semiHidden/>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styleId="22">
    <w:name w:val="Date"/>
    <w:basedOn w:val="1"/>
    <w:next w:val="1"/>
    <w:link w:val="376"/>
    <w:semiHidden/>
    <w:unhideWhenUsed/>
    <w:qFormat/>
    <w:uiPriority w:val="99"/>
    <w:pPr>
      <w:widowControl w:val="0"/>
      <w:ind w:left="100" w:leftChars="2500"/>
      <w:jc w:val="both"/>
    </w:pPr>
    <w:rPr>
      <w:rFonts w:ascii="Times New Roman" w:hAnsi="Times New Roman" w:cs="Times New Roman"/>
      <w:kern w:val="2"/>
      <w:szCs w:val="21"/>
    </w:rPr>
  </w:style>
  <w:style w:type="paragraph" w:styleId="23">
    <w:name w:val="endnote text"/>
    <w:basedOn w:val="1"/>
    <w:link w:val="353"/>
    <w:semiHidden/>
    <w:unhideWhenUsed/>
    <w:qFormat/>
    <w:uiPriority w:val="99"/>
    <w:pPr>
      <w:snapToGrid w:val="0"/>
    </w:pPr>
  </w:style>
  <w:style w:type="paragraph" w:styleId="24">
    <w:name w:val="Balloon Text"/>
    <w:basedOn w:val="1"/>
    <w:link w:val="360"/>
    <w:semiHidden/>
    <w:unhideWhenUsed/>
    <w:qFormat/>
    <w:uiPriority w:val="99"/>
    <w:pPr>
      <w:widowControl w:val="0"/>
      <w:jc w:val="both"/>
    </w:pPr>
    <w:rPr>
      <w:rFonts w:ascii="Calibri" w:hAnsi="Calibri" w:cs="Times New Roman"/>
      <w:kern w:val="2"/>
      <w:sz w:val="18"/>
      <w:szCs w:val="18"/>
    </w:rPr>
  </w:style>
  <w:style w:type="paragraph" w:styleId="25">
    <w:name w:val="footer"/>
    <w:basedOn w:val="1"/>
    <w:link w:val="359"/>
    <w:semiHidden/>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semiHidden/>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semiHidden/>
    <w:unhideWhenUsed/>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8">
    <w:name w:val="toc 4"/>
    <w:basedOn w:val="1"/>
    <w:next w:val="1"/>
    <w:semiHidden/>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styleId="29">
    <w:name w:val="toc 6"/>
    <w:basedOn w:val="1"/>
    <w:next w:val="1"/>
    <w:semiHidden/>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styleId="30">
    <w:name w:val="toc 2"/>
    <w:basedOn w:val="1"/>
    <w:next w:val="1"/>
    <w:semiHidden/>
    <w:unhideWhenUsed/>
    <w:qFormat/>
    <w:uiPriority w:val="39"/>
    <w:pPr>
      <w:widowControl w:val="0"/>
      <w:ind w:left="420" w:leftChars="200"/>
      <w:jc w:val="both"/>
    </w:pPr>
    <w:rPr>
      <w:rFonts w:ascii="Times New Roman" w:hAnsi="Times New Roman" w:cs="Times New Roman"/>
      <w:kern w:val="2"/>
      <w:szCs w:val="21"/>
    </w:rPr>
  </w:style>
  <w:style w:type="paragraph" w:styleId="31">
    <w:name w:val="toc 9"/>
    <w:basedOn w:val="1"/>
    <w:next w:val="1"/>
    <w:semiHidden/>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styleId="32">
    <w:name w:val="Normal (Web)"/>
    <w:basedOn w:val="1"/>
    <w:semiHidden/>
    <w:unhideWhenUsed/>
    <w:qFormat/>
    <w:uiPriority w:val="99"/>
    <w:pPr>
      <w:spacing w:before="100" w:beforeAutospacing="1" w:after="100" w:afterAutospacing="1"/>
    </w:pPr>
    <w:rPr>
      <w:sz w:val="24"/>
    </w:rPr>
  </w:style>
  <w:style w:type="paragraph" w:styleId="33">
    <w:name w:val="index 1"/>
    <w:basedOn w:val="1"/>
    <w:next w:val="1"/>
    <w:link w:val="373"/>
    <w:semiHidden/>
    <w:unhideWhenUsed/>
    <w:qFormat/>
    <w:uiPriority w:val="0"/>
    <w:pPr>
      <w:ind w:firstLine="420" w:firstLineChars="200"/>
    </w:pPr>
    <w:rPr>
      <w:rFonts w:cs="Times New Roman"/>
      <w:color w:val="000000"/>
      <w:szCs w:val="21"/>
    </w:rPr>
  </w:style>
  <w:style w:type="paragraph" w:styleId="34">
    <w:name w:val="Title"/>
    <w:basedOn w:val="1"/>
    <w:next w:val="1"/>
    <w:link w:val="358"/>
    <w:qFormat/>
    <w:uiPriority w:val="10"/>
    <w:pPr>
      <w:widowControl w:val="0"/>
      <w:spacing w:before="240" w:after="60"/>
      <w:jc w:val="center"/>
      <w:outlineLvl w:val="0"/>
    </w:pPr>
    <w:rPr>
      <w:rFonts w:asciiTheme="majorHAnsi" w:hAnsiTheme="majorHAnsi" w:cstheme="majorBidi"/>
      <w:b/>
      <w:bCs/>
      <w:kern w:val="2"/>
      <w:sz w:val="32"/>
      <w:szCs w:val="32"/>
    </w:rPr>
  </w:style>
  <w:style w:type="paragraph" w:styleId="35">
    <w:name w:val="annotation subject"/>
    <w:basedOn w:val="14"/>
    <w:next w:val="14"/>
    <w:semiHidden/>
    <w:unhideWhenUsed/>
    <w:qFormat/>
    <w:uiPriority w:val="99"/>
    <w:rPr>
      <w:rFonts w:ascii="Calibri" w:hAnsi="Calibri"/>
      <w:b/>
      <w:bCs/>
      <w:szCs w:val="22"/>
    </w:rPr>
  </w:style>
  <w:style w:type="paragraph" w:styleId="36">
    <w:name w:val="Body Text First Indent"/>
    <w:basedOn w:val="17"/>
    <w:link w:val="348"/>
    <w:semiHidden/>
    <w:unhideWhenUsed/>
    <w:qFormat/>
    <w:uiPriority w:val="99"/>
    <w:pPr>
      <w:spacing w:line="560" w:lineRule="exact"/>
      <w:ind w:firstLine="721" w:firstLineChars="200"/>
    </w:pPr>
    <w:rPr>
      <w:rFonts w:ascii="Calibri" w:hAnsi="Calibri" w:eastAsia="仿宋_GB2312"/>
      <w:sz w:val="32"/>
      <w:szCs w:val="22"/>
    </w:rPr>
  </w:style>
  <w:style w:type="table" w:styleId="38">
    <w:name w:val="Table Grid"/>
    <w:basedOn w:val="3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semiHidden/>
    <w:unhideWhenUsed/>
    <w:qFormat/>
    <w:uiPriority w:val="99"/>
    <w:rPr>
      <w:vertAlign w:val="superscript"/>
    </w:rPr>
  </w:style>
  <w:style w:type="character" w:styleId="41">
    <w:name w:val="Hyperlink"/>
    <w:basedOn w:val="39"/>
    <w:semiHidden/>
    <w:unhideWhenUsed/>
    <w:qFormat/>
    <w:uiPriority w:val="99"/>
    <w:rPr>
      <w:rFonts w:cs="Times New Roman"/>
      <w:color w:val="0000FF"/>
      <w:u w:val="single"/>
    </w:rPr>
  </w:style>
  <w:style w:type="character" w:styleId="42">
    <w:name w:val="annotation reference"/>
    <w:basedOn w:val="39"/>
    <w:link w:val="43"/>
    <w:semiHidden/>
    <w:unhideWhenUsed/>
    <w:qFormat/>
    <w:uiPriority w:val="0"/>
    <w:rPr>
      <w:rFonts w:eastAsia="宋体" w:cs="Times New Roman"/>
      <w:kern w:val="2"/>
      <w:sz w:val="21"/>
      <w:szCs w:val="21"/>
      <w:lang w:val="en-US" w:eastAsia="zh-CN" w:bidi="ar-SA"/>
    </w:rPr>
  </w:style>
  <w:style w:type="paragraph" w:customStyle="1" w:styleId="43">
    <w:name w:val="_Style 108"/>
    <w:basedOn w:val="1"/>
    <w:next w:val="1"/>
    <w:link w:val="42"/>
    <w:qFormat/>
    <w:uiPriority w:val="0"/>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44">
    <w:name w:val="正文-公1"/>
    <w:basedOn w:val="1"/>
    <w:link w:val="245"/>
    <w:qFormat/>
    <w:uiPriority w:val="99"/>
    <w:pPr>
      <w:overflowPunct/>
      <w:autoSpaceDE/>
      <w:autoSpaceDN/>
      <w:adjustRightInd/>
      <w:snapToGrid/>
    </w:pPr>
    <w:rPr>
      <w:rFonts w:ascii="Times New Roman" w:hAnsi="Times New Roman"/>
      <w:snapToGrid/>
      <w:kern w:val="2"/>
      <w:sz w:val="21"/>
    </w:rPr>
  </w:style>
  <w:style w:type="character" w:customStyle="1" w:styleId="45">
    <w:name w:val="标题 1 字符"/>
    <w:basedOn w:val="39"/>
    <w:link w:val="46"/>
    <w:qFormat/>
    <w:uiPriority w:val="99"/>
    <w:rPr>
      <w:rFonts w:eastAsia="黑体"/>
      <w:b/>
      <w:bCs/>
      <w:kern w:val="44"/>
      <w:sz w:val="28"/>
      <w:szCs w:val="44"/>
    </w:rPr>
  </w:style>
  <w:style w:type="paragraph" w:customStyle="1" w:styleId="46">
    <w:name w:val="_Style 110"/>
    <w:basedOn w:val="1"/>
    <w:next w:val="1"/>
    <w:link w:val="45"/>
    <w:semiHidden/>
    <w:unhideWhenUsed/>
    <w:qFormat/>
    <w:uiPriority w:val="0"/>
    <w:pPr>
      <w:keepNext/>
      <w:keepLines/>
      <w:widowControl w:val="0"/>
      <w:spacing w:before="60" w:after="60"/>
      <w:jc w:val="both"/>
      <w:outlineLvl w:val="2"/>
    </w:pPr>
    <w:rPr>
      <w:rFonts w:ascii="Calibri" w:hAnsi="Calibri" w:cs="Times New Roman"/>
      <w:b/>
      <w:bCs/>
      <w:kern w:val="2"/>
      <w:szCs w:val="32"/>
    </w:rPr>
  </w:style>
  <w:style w:type="character" w:customStyle="1" w:styleId="47">
    <w:name w:val="标题 2 字符"/>
    <w:basedOn w:val="39"/>
    <w:link w:val="48"/>
    <w:qFormat/>
    <w:uiPriority w:val="0"/>
    <w:rPr>
      <w:rFonts w:ascii="Arial" w:hAnsi="Arial"/>
      <w:b/>
      <w:bCs/>
      <w:kern w:val="2"/>
      <w:sz w:val="21"/>
      <w:szCs w:val="21"/>
    </w:rPr>
  </w:style>
  <w:style w:type="paragraph" w:customStyle="1" w:styleId="48">
    <w:name w:val="_Style 111"/>
    <w:basedOn w:val="1"/>
    <w:next w:val="1"/>
    <w:link w:val="47"/>
    <w:semiHidden/>
    <w:unhideWhenUsed/>
    <w:qFormat/>
    <w:uiPriority w:val="0"/>
    <w:pPr>
      <w:keepNext/>
      <w:keepLines/>
      <w:widowControl w:val="0"/>
      <w:spacing w:before="60" w:after="60"/>
      <w:jc w:val="both"/>
      <w:outlineLvl w:val="3"/>
    </w:pPr>
    <w:rPr>
      <w:rFonts w:cs="Times New Roman" w:asciiTheme="minorEastAsia" w:hAnsiTheme="minorEastAsia" w:eastAsiaTheme="minorEastAsia"/>
      <w:b/>
      <w:bCs/>
      <w:kern w:val="2"/>
      <w:szCs w:val="28"/>
    </w:rPr>
  </w:style>
  <w:style w:type="character" w:customStyle="1" w:styleId="49">
    <w:name w:val="标题 3 字符"/>
    <w:basedOn w:val="39"/>
    <w:link w:val="50"/>
    <w:qFormat/>
    <w:uiPriority w:val="9"/>
    <w:rPr>
      <w:b/>
      <w:bCs/>
      <w:kern w:val="2"/>
      <w:sz w:val="21"/>
      <w:szCs w:val="32"/>
    </w:rPr>
  </w:style>
  <w:style w:type="paragraph" w:customStyle="1" w:styleId="50">
    <w:name w:val="_Style 112"/>
    <w:basedOn w:val="1"/>
    <w:next w:val="1"/>
    <w:link w:val="49"/>
    <w:semiHidden/>
    <w:unhideWhenUsed/>
    <w:qFormat/>
    <w:uiPriority w:val="0"/>
    <w:pPr>
      <w:keepNext/>
      <w:keepLines/>
      <w:widowControl w:val="0"/>
      <w:spacing w:before="60" w:after="60"/>
      <w:ind w:left="50" w:leftChars="50"/>
      <w:jc w:val="both"/>
      <w:outlineLvl w:val="4"/>
    </w:pPr>
    <w:rPr>
      <w:rFonts w:ascii="Calibri" w:hAnsi="Calibri" w:cs="Times New Roman"/>
      <w:b/>
      <w:bCs/>
      <w:kern w:val="2"/>
      <w:szCs w:val="28"/>
    </w:rPr>
  </w:style>
  <w:style w:type="character" w:customStyle="1" w:styleId="51">
    <w:name w:val="标题 4 字符"/>
    <w:basedOn w:val="39"/>
    <w:link w:val="5"/>
    <w:qFormat/>
    <w:uiPriority w:val="9"/>
    <w:rPr>
      <w:rFonts w:asciiTheme="minorEastAsia" w:hAnsiTheme="minorEastAsia" w:eastAsiaTheme="minorEastAsia"/>
      <w:b/>
      <w:bCs/>
      <w:kern w:val="2"/>
      <w:sz w:val="21"/>
      <w:szCs w:val="28"/>
    </w:rPr>
  </w:style>
  <w:style w:type="character" w:customStyle="1" w:styleId="52">
    <w:name w:val="标题 5 字符"/>
    <w:basedOn w:val="39"/>
    <w:link w:val="53"/>
    <w:qFormat/>
    <w:uiPriority w:val="9"/>
    <w:rPr>
      <w:b/>
      <w:bCs/>
      <w:kern w:val="2"/>
      <w:sz w:val="21"/>
      <w:szCs w:val="28"/>
    </w:rPr>
  </w:style>
  <w:style w:type="paragraph" w:customStyle="1" w:styleId="53">
    <w:name w:val="_Style 123"/>
    <w:basedOn w:val="1"/>
    <w:link w:val="52"/>
    <w:qFormat/>
    <w:uiPriority w:val="0"/>
    <w:pPr>
      <w:widowControl w:val="0"/>
    </w:pPr>
    <w:rPr>
      <w:rFonts w:ascii="Times New Roman" w:hAnsi="Times New Roman" w:cs="Times New Roman"/>
      <w:kern w:val="2"/>
      <w:szCs w:val="21"/>
    </w:rPr>
  </w:style>
  <w:style w:type="paragraph" w:customStyle="1" w:styleId="54">
    <w:name w:val="TOC Heading"/>
    <w:basedOn w:val="2"/>
    <w:next w:val="1"/>
    <w:link w:val="255"/>
    <w:qFormat/>
    <w:uiPriority w:val="39"/>
    <w:pPr>
      <w:widowControl/>
      <w:spacing w:before="480" w:after="0" w:line="276" w:lineRule="auto"/>
      <w:outlineLvl w:val="9"/>
    </w:pPr>
    <w:rPr>
      <w:rFonts w:ascii="Cambria" w:hAnsi="Cambria" w:eastAsia="宋体"/>
      <w:color w:val="365F91"/>
      <w:kern w:val="0"/>
      <w:szCs w:val="28"/>
    </w:rPr>
  </w:style>
  <w:style w:type="character" w:customStyle="1" w:styleId="55">
    <w:name w:val="批注文字 字符"/>
    <w:basedOn w:val="39"/>
    <w:link w:val="56"/>
    <w:qFormat/>
    <w:uiPriority w:val="0"/>
    <w:rPr>
      <w:rFonts w:ascii="Times New Roman" w:hAnsi="Times New Roman" w:eastAsia="宋体" w:cs="Times New Roman"/>
      <w:szCs w:val="21"/>
    </w:rPr>
  </w:style>
  <w:style w:type="paragraph" w:customStyle="1" w:styleId="56">
    <w:name w:val="_Style 124"/>
    <w:basedOn w:val="1"/>
    <w:next w:val="1"/>
    <w:link w:val="55"/>
    <w:qFormat/>
    <w:uiPriority w:val="0"/>
    <w:pPr>
      <w:widowControl w:val="0"/>
      <w:jc w:val="both"/>
    </w:pPr>
    <w:rPr>
      <w:rFonts w:ascii="Times New Roman" w:hAnsi="Times New Roman" w:cs="Times New Roman"/>
      <w:kern w:val="2"/>
      <w:szCs w:val="21"/>
    </w:rPr>
  </w:style>
  <w:style w:type="character" w:customStyle="1" w:styleId="57">
    <w:name w:val="批注框文本 字符"/>
    <w:basedOn w:val="39"/>
    <w:link w:val="24"/>
    <w:qFormat/>
    <w:uiPriority w:val="99"/>
    <w:rPr>
      <w:rFonts w:ascii="Calibri" w:hAnsi="Calibri" w:eastAsia="宋体" w:cs="Times New Roman"/>
      <w:sz w:val="18"/>
      <w:szCs w:val="18"/>
    </w:rPr>
  </w:style>
  <w:style w:type="character" w:customStyle="1" w:styleId="58">
    <w:name w:val="称呼 字符"/>
    <w:basedOn w:val="39"/>
    <w:link w:val="15"/>
    <w:qFormat/>
    <w:uiPriority w:val="99"/>
    <w:rPr>
      <w:rFonts w:ascii="Times New Roman" w:hAnsi="Times New Roman" w:eastAsia="宋体" w:cs="Times New Roman"/>
      <w:szCs w:val="21"/>
    </w:rPr>
  </w:style>
  <w:style w:type="character" w:customStyle="1" w:styleId="59">
    <w:name w:val="notnullcss1"/>
    <w:basedOn w:val="39"/>
    <w:link w:val="60"/>
    <w:qFormat/>
    <w:uiPriority w:val="99"/>
    <w:rPr>
      <w:rFonts w:eastAsia="宋体" w:cs="Times New Roman"/>
      <w:color w:val="FF0000"/>
      <w:kern w:val="2"/>
      <w:sz w:val="24"/>
      <w:szCs w:val="24"/>
      <w:lang w:val="en-US" w:eastAsia="zh-CN" w:bidi="ar-SA"/>
    </w:rPr>
  </w:style>
  <w:style w:type="paragraph" w:customStyle="1" w:styleId="60">
    <w:name w:val="_Style 226"/>
    <w:basedOn w:val="61"/>
    <w:next w:val="1"/>
    <w:link w:val="59"/>
    <w:qFormat/>
    <w:uiPriority w:val="0"/>
    <w:pPr>
      <w:widowControl w:val="0"/>
      <w:jc w:val="both"/>
    </w:pPr>
    <w:rPr>
      <w:rFonts w:ascii="Times New Roman" w:hAnsi="Times New Roman" w:cs="Times New Roman"/>
      <w:kern w:val="2"/>
      <w:szCs w:val="21"/>
    </w:rPr>
  </w:style>
  <w:style w:type="paragraph" w:customStyle="1" w:styleId="61">
    <w:name w:val="_Style 210"/>
    <w:qFormat/>
    <w:uiPriority w:val="0"/>
    <w:rPr>
      <w:rFonts w:ascii="宋体" w:hAnsi="宋体" w:eastAsia="宋体" w:cs="宋体"/>
      <w:sz w:val="21"/>
      <w:szCs w:val="24"/>
      <w:lang w:val="en-US" w:eastAsia="zh-CN" w:bidi="ar-SA"/>
    </w:rPr>
  </w:style>
  <w:style w:type="paragraph" w:customStyle="1" w:styleId="62">
    <w:name w:val="xl61"/>
    <w:basedOn w:val="1"/>
    <w:qFormat/>
    <w:uiPriority w:val="99"/>
    <w:pPr>
      <w:spacing w:before="100" w:after="100"/>
      <w:jc w:val="right"/>
    </w:pPr>
    <w:rPr>
      <w:rFonts w:ascii="Arial Unicode MS" w:hAnsi="Times New Roman" w:eastAsia="Arial Unicode MS" w:cs="Times New Roman"/>
      <w:sz w:val="18"/>
      <w:szCs w:val="18"/>
    </w:rPr>
  </w:style>
  <w:style w:type="paragraph" w:styleId="63">
    <w:name w:val="List Paragraph"/>
    <w:basedOn w:val="1"/>
    <w:qFormat/>
    <w:uiPriority w:val="99"/>
    <w:pPr>
      <w:widowControl w:val="0"/>
      <w:ind w:firstLine="420" w:firstLineChars="200"/>
      <w:jc w:val="both"/>
    </w:pPr>
    <w:rPr>
      <w:rFonts w:ascii="Calibri" w:hAnsi="Calibri" w:cs="Times New Roman"/>
      <w:kern w:val="2"/>
      <w:szCs w:val="22"/>
    </w:rPr>
  </w:style>
  <w:style w:type="character" w:customStyle="1" w:styleId="64">
    <w:name w:val="批注主题 字符"/>
    <w:basedOn w:val="55"/>
    <w:link w:val="65"/>
    <w:qFormat/>
    <w:uiPriority w:val="99"/>
    <w:rPr>
      <w:rFonts w:ascii="Calibri" w:hAnsi="Calibri"/>
      <w:b/>
      <w:bCs/>
      <w:szCs w:val="22"/>
    </w:rPr>
  </w:style>
  <w:style w:type="paragraph" w:customStyle="1" w:styleId="65">
    <w:name w:val="_Style 133"/>
    <w:basedOn w:val="1"/>
    <w:link w:val="64"/>
    <w:qFormat/>
    <w:uiPriority w:val="0"/>
    <w:pPr>
      <w:widowControl w:val="0"/>
      <w:tabs>
        <w:tab w:val="center" w:pos="4153"/>
        <w:tab w:val="right" w:pos="8306"/>
      </w:tabs>
      <w:snapToGrid w:val="0"/>
    </w:pPr>
    <w:rPr>
      <w:rFonts w:ascii="Calibri" w:hAnsi="Calibri" w:cs="Times New Roman"/>
      <w:kern w:val="2"/>
      <w:sz w:val="18"/>
      <w:szCs w:val="18"/>
    </w:rPr>
  </w:style>
  <w:style w:type="character" w:customStyle="1" w:styleId="66">
    <w:name w:val="页眉 字符"/>
    <w:basedOn w:val="39"/>
    <w:link w:val="67"/>
    <w:qFormat/>
    <w:uiPriority w:val="99"/>
    <w:rPr>
      <w:rFonts w:ascii="Calibri" w:hAnsi="Calibri" w:cs="Times New Roman"/>
      <w:kern w:val="2"/>
      <w:sz w:val="18"/>
      <w:szCs w:val="18"/>
    </w:rPr>
  </w:style>
  <w:style w:type="paragraph" w:customStyle="1" w:styleId="67">
    <w:name w:val="_Style 128"/>
    <w:basedOn w:val="1"/>
    <w:link w:val="66"/>
    <w:qFormat/>
    <w:uiPriority w:val="0"/>
    <w:pPr>
      <w:widowControl w:val="0"/>
      <w:jc w:val="both"/>
    </w:pPr>
    <w:rPr>
      <w:rFonts w:hAnsi="Courier New" w:cs="Times New Roman"/>
      <w:kern w:val="2"/>
      <w:szCs w:val="20"/>
    </w:rPr>
  </w:style>
  <w:style w:type="character" w:customStyle="1" w:styleId="68">
    <w:name w:val="页脚 字符"/>
    <w:basedOn w:val="39"/>
    <w:link w:val="25"/>
    <w:qFormat/>
    <w:uiPriority w:val="99"/>
    <w:rPr>
      <w:rFonts w:ascii="Calibri" w:hAnsi="Calibri" w:eastAsia="宋体" w:cs="Times New Roman"/>
      <w:sz w:val="18"/>
      <w:szCs w:val="18"/>
    </w:rPr>
  </w:style>
  <w:style w:type="character" w:customStyle="1" w:styleId="69">
    <w:name w:val="纯文本 字符"/>
    <w:basedOn w:val="39"/>
    <w:link w:val="70"/>
    <w:qFormat/>
    <w:uiPriority w:val="0"/>
    <w:rPr>
      <w:rFonts w:ascii="宋体" w:hAnsi="Courier New" w:eastAsia="宋体" w:cs="Times New Roman"/>
      <w:szCs w:val="20"/>
    </w:rPr>
  </w:style>
  <w:style w:type="paragraph" w:customStyle="1" w:styleId="70">
    <w:name w:val="_Style 117"/>
    <w:basedOn w:val="1"/>
    <w:link w:val="69"/>
    <w:qFormat/>
    <w:uiPriority w:val="99"/>
    <w:pPr>
      <w:widowControl w:val="0"/>
      <w:spacing w:after="120"/>
      <w:jc w:val="both"/>
    </w:pPr>
    <w:rPr>
      <w:rFonts w:ascii="Times New Roman" w:hAnsi="Times New Roman" w:cs="Times New Roman"/>
      <w:kern w:val="2"/>
      <w:szCs w:val="21"/>
    </w:rPr>
  </w:style>
  <w:style w:type="character" w:customStyle="1" w:styleId="71">
    <w:name w:val="headline-content2"/>
    <w:basedOn w:val="39"/>
    <w:qFormat/>
    <w:uiPriority w:val="0"/>
    <w:rPr>
      <w:rFonts w:eastAsia="宋体" w:cs="Times New Roman"/>
      <w:kern w:val="2"/>
      <w:sz w:val="24"/>
      <w:szCs w:val="24"/>
      <w:lang w:val="en-US" w:eastAsia="zh-CN" w:bidi="ar-SA"/>
    </w:rPr>
  </w:style>
  <w:style w:type="character" w:customStyle="1" w:styleId="72">
    <w:name w:val="正文文本 字符"/>
    <w:basedOn w:val="39"/>
    <w:link w:val="73"/>
    <w:qFormat/>
    <w:uiPriority w:val="99"/>
    <w:rPr>
      <w:rFonts w:ascii="Times New Roman" w:hAnsi="Times New Roman" w:eastAsia="宋体" w:cs="Times New Roman"/>
      <w:szCs w:val="21"/>
    </w:rPr>
  </w:style>
  <w:style w:type="paragraph" w:customStyle="1" w:styleId="73">
    <w:name w:val="_Style 130"/>
    <w:basedOn w:val="1"/>
    <w:next w:val="1"/>
    <w:link w:val="72"/>
    <w:qFormat/>
    <w:uiPriority w:val="0"/>
    <w:pPr>
      <w:widowControl w:val="0"/>
      <w:ind w:left="100" w:leftChars="2500"/>
      <w:jc w:val="both"/>
    </w:pPr>
    <w:rPr>
      <w:rFonts w:ascii="Times New Roman" w:hAnsi="Times New Roman" w:cs="Times New Roman"/>
      <w:kern w:val="2"/>
      <w:szCs w:val="21"/>
    </w:rPr>
  </w:style>
  <w:style w:type="paragraph" w:customStyle="1" w:styleId="74">
    <w:name w:val="write2"/>
    <w:basedOn w:val="1"/>
    <w:link w:val="273"/>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75">
    <w:name w:val="日期 字符"/>
    <w:basedOn w:val="39"/>
    <w:link w:val="22"/>
    <w:qFormat/>
    <w:uiPriority w:val="99"/>
    <w:rPr>
      <w:rFonts w:ascii="Times New Roman" w:hAnsi="Times New Roman" w:eastAsia="宋体" w:cs="Times New Roman"/>
      <w:szCs w:val="21"/>
    </w:rPr>
  </w:style>
  <w:style w:type="character" w:customStyle="1" w:styleId="76">
    <w:name w:val="注释标题 字符"/>
    <w:basedOn w:val="39"/>
    <w:link w:val="10"/>
    <w:qFormat/>
    <w:uiPriority w:val="99"/>
    <w:rPr>
      <w:rFonts w:ascii="Times New Roman" w:hAnsi="Times New Roman" w:eastAsia="宋体" w:cs="Times New Roman"/>
      <w:szCs w:val="21"/>
    </w:rPr>
  </w:style>
  <w:style w:type="paragraph" w:customStyle="1" w:styleId="77">
    <w:name w:val="标题5"/>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78">
    <w:name w:val="Revision"/>
    <w:link w:val="187"/>
    <w:semiHidden/>
    <w:qFormat/>
    <w:uiPriority w:val="99"/>
    <w:rPr>
      <w:rFonts w:ascii="Calibri" w:hAnsi="Calibri" w:eastAsia="宋体" w:cs="Times New Roman"/>
      <w:kern w:val="2"/>
      <w:sz w:val="21"/>
      <w:szCs w:val="22"/>
      <w:lang w:val="en-US" w:eastAsia="zh-CN" w:bidi="ar-SA"/>
    </w:rPr>
  </w:style>
  <w:style w:type="character" w:customStyle="1" w:styleId="79">
    <w:name w:val="正文的样式 Char"/>
    <w:basedOn w:val="39"/>
    <w:link w:val="80"/>
    <w:qFormat/>
    <w:uiPriority w:val="0"/>
    <w:rPr>
      <w:kern w:val="2"/>
      <w:sz w:val="21"/>
      <w:szCs w:val="24"/>
    </w:rPr>
  </w:style>
  <w:style w:type="paragraph" w:customStyle="1" w:styleId="80">
    <w:name w:val="_Style 121"/>
    <w:basedOn w:val="1"/>
    <w:link w:val="79"/>
    <w:qFormat/>
    <w:uiPriority w:val="0"/>
    <w:pPr>
      <w:widowControl w:val="0"/>
      <w:jc w:val="both"/>
    </w:pPr>
    <w:rPr>
      <w:rFonts w:hAnsi="Calibri" w:cs="Times New Roman"/>
      <w:kern w:val="2"/>
      <w:sz w:val="18"/>
      <w:szCs w:val="18"/>
    </w:rPr>
  </w:style>
  <w:style w:type="paragraph" w:customStyle="1" w:styleId="81">
    <w:name w:val="正文的样式"/>
    <w:basedOn w:val="1"/>
    <w:link w:val="280"/>
    <w:qFormat/>
    <w:uiPriority w:val="0"/>
    <w:pPr>
      <w:widowControl w:val="0"/>
      <w:spacing w:before="100" w:after="100"/>
      <w:jc w:val="both"/>
    </w:pPr>
    <w:rPr>
      <w:rFonts w:ascii="Calibri" w:hAnsi="Calibri" w:cs="Times New Roman"/>
      <w:kern w:val="2"/>
    </w:rPr>
  </w:style>
  <w:style w:type="character" w:customStyle="1" w:styleId="82">
    <w:name w:val="文档结构图 字符"/>
    <w:basedOn w:val="39"/>
    <w:link w:val="83"/>
    <w:semiHidden/>
    <w:qFormat/>
    <w:uiPriority w:val="99"/>
    <w:rPr>
      <w:rFonts w:ascii="宋体"/>
      <w:kern w:val="2"/>
      <w:sz w:val="18"/>
      <w:szCs w:val="18"/>
    </w:rPr>
  </w:style>
  <w:style w:type="paragraph" w:customStyle="1" w:styleId="83">
    <w:name w:val="_Style 141"/>
    <w:basedOn w:val="1"/>
    <w:next w:val="1"/>
    <w:link w:val="82"/>
    <w:qFormat/>
    <w:uiPriority w:val="0"/>
    <w:pPr>
      <w:widowControl w:val="0"/>
      <w:spacing w:before="240" w:after="60"/>
      <w:jc w:val="center"/>
      <w:outlineLvl w:val="0"/>
    </w:pPr>
    <w:rPr>
      <w:rFonts w:asciiTheme="majorHAnsi" w:hAnsiTheme="majorHAnsi" w:cstheme="majorBidi"/>
      <w:b/>
      <w:bCs/>
      <w:kern w:val="2"/>
      <w:sz w:val="32"/>
      <w:szCs w:val="32"/>
    </w:rPr>
  </w:style>
  <w:style w:type="character" w:styleId="84">
    <w:name w:val="Placeholder Text"/>
    <w:basedOn w:val="39"/>
    <w:semiHidden/>
    <w:qFormat/>
    <w:uiPriority w:val="99"/>
    <w:rPr>
      <w:color w:val="auto"/>
    </w:rPr>
  </w:style>
  <w:style w:type="character" w:customStyle="1" w:styleId="85">
    <w:name w:val="标题 字符"/>
    <w:basedOn w:val="39"/>
    <w:link w:val="86"/>
    <w:qFormat/>
    <w:uiPriority w:val="10"/>
    <w:rPr>
      <w:rFonts w:asciiTheme="majorHAnsi" w:hAnsiTheme="majorHAnsi" w:cstheme="majorBidi"/>
      <w:b/>
      <w:bCs/>
      <w:kern w:val="2"/>
      <w:sz w:val="32"/>
      <w:szCs w:val="32"/>
    </w:rPr>
  </w:style>
  <w:style w:type="paragraph" w:customStyle="1" w:styleId="86">
    <w:name w:val="_Style 113"/>
    <w:basedOn w:val="1"/>
    <w:next w:val="1"/>
    <w:link w:val="85"/>
    <w:semiHidden/>
    <w:unhideWhenUsed/>
    <w:qFormat/>
    <w:uiPriority w:val="0"/>
    <w:pPr>
      <w:keepNext/>
      <w:keepLines/>
      <w:spacing w:before="60" w:after="60"/>
      <w:ind w:left="50" w:leftChars="50"/>
      <w:outlineLvl w:val="5"/>
    </w:pPr>
    <w:rPr>
      <w:rFonts w:asciiTheme="majorHAnsi" w:hAnsiTheme="majorHAnsi" w:cstheme="majorBidi"/>
      <w:b/>
      <w:bCs/>
    </w:rPr>
  </w:style>
  <w:style w:type="paragraph" w:styleId="87">
    <w:name w:val="No Spacing"/>
    <w:link w:val="286"/>
    <w:qFormat/>
    <w:uiPriority w:val="1"/>
    <w:pPr>
      <w:widowControl w:val="0"/>
      <w:jc w:val="both"/>
    </w:pPr>
    <w:rPr>
      <w:rFonts w:ascii="Calibri" w:hAnsi="Calibri" w:eastAsia="宋体" w:cs="Times New Roman"/>
      <w:kern w:val="2"/>
      <w:sz w:val="21"/>
      <w:szCs w:val="22"/>
      <w:lang w:val="en-US" w:eastAsia="zh-CN" w:bidi="ar-SA"/>
    </w:rPr>
  </w:style>
  <w:style w:type="character" w:customStyle="1" w:styleId="88">
    <w:name w:val="标题 6 字符"/>
    <w:basedOn w:val="39"/>
    <w:link w:val="7"/>
    <w:qFormat/>
    <w:uiPriority w:val="9"/>
    <w:rPr>
      <w:rFonts w:asciiTheme="majorHAnsi" w:hAnsiTheme="majorHAnsi" w:cstheme="majorBidi"/>
      <w:b/>
      <w:bCs/>
      <w:sz w:val="21"/>
      <w:szCs w:val="24"/>
    </w:rPr>
  </w:style>
  <w:style w:type="character" w:customStyle="1" w:styleId="89">
    <w:name w:val="尾注文本 字符"/>
    <w:basedOn w:val="39"/>
    <w:link w:val="90"/>
    <w:semiHidden/>
    <w:qFormat/>
    <w:uiPriority w:val="99"/>
    <w:rPr>
      <w:rFonts w:ascii="宋体" w:hAnsi="宋体" w:cs="宋体"/>
      <w:sz w:val="21"/>
      <w:szCs w:val="24"/>
    </w:rPr>
  </w:style>
  <w:style w:type="paragraph" w:customStyle="1" w:styleId="90">
    <w:name w:val="_Style 216"/>
    <w:basedOn w:val="61"/>
    <w:next w:val="1"/>
    <w:link w:val="89"/>
    <w:semiHidden/>
    <w:unhideWhenUsed/>
    <w:qFormat/>
    <w:uiPriority w:val="0"/>
    <w:pPr>
      <w:keepNext/>
      <w:keepLines/>
      <w:spacing w:before="60" w:after="60"/>
      <w:ind w:left="50" w:leftChars="50"/>
      <w:outlineLvl w:val="5"/>
    </w:pPr>
    <w:rPr>
      <w:rFonts w:asciiTheme="majorHAnsi" w:hAnsiTheme="majorHAnsi" w:cstheme="majorBidi"/>
      <w:b/>
      <w:bCs/>
    </w:rPr>
  </w:style>
  <w:style w:type="character" w:customStyle="1" w:styleId="91">
    <w:name w:val="批注主题 Char1"/>
    <w:basedOn w:val="55"/>
    <w:semiHidden/>
    <w:qFormat/>
    <w:uiPriority w:val="99"/>
    <w:rPr>
      <w:rFonts w:ascii="Times New Roman" w:hAnsi="Times New Roman" w:eastAsia="宋体" w:cs="Times New Roman"/>
      <w:b/>
      <w:bCs/>
      <w:szCs w:val="21"/>
    </w:rPr>
  </w:style>
  <w:style w:type="character" w:customStyle="1" w:styleId="92">
    <w:name w:val="span_"/>
    <w:basedOn w:val="39"/>
    <w:link w:val="93"/>
    <w:qFormat/>
    <w:uiPriority w:val="0"/>
  </w:style>
  <w:style w:type="paragraph" w:customStyle="1" w:styleId="93">
    <w:name w:val="_Style 180"/>
    <w:basedOn w:val="1"/>
    <w:next w:val="1"/>
    <w:link w:val="92"/>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paragraph" w:customStyle="1" w:styleId="94">
    <w:name w:val="标题  3"/>
    <w:basedOn w:val="1"/>
    <w:next w:val="1"/>
    <w:link w:val="292"/>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95">
    <w:name w:val="标题  3 Char"/>
    <w:basedOn w:val="39"/>
    <w:link w:val="94"/>
    <w:qFormat/>
    <w:uiPriority w:val="0"/>
    <w:rPr>
      <w:rFonts w:ascii="Times New Roman" w:hAnsi="Times New Roman"/>
      <w:b/>
      <w:kern w:val="2"/>
      <w:sz w:val="21"/>
      <w:szCs w:val="24"/>
    </w:rPr>
  </w:style>
  <w:style w:type="character" w:customStyle="1" w:styleId="96">
    <w:name w:val="标题 7 字符"/>
    <w:basedOn w:val="39"/>
    <w:link w:val="97"/>
    <w:qFormat/>
    <w:uiPriority w:val="9"/>
    <w:rPr>
      <w:b/>
      <w:bCs/>
      <w:sz w:val="24"/>
    </w:rPr>
  </w:style>
  <w:style w:type="paragraph" w:customStyle="1" w:styleId="97">
    <w:name w:val="_Style 294"/>
    <w:basedOn w:val="61"/>
    <w:next w:val="1"/>
    <w:link w:val="96"/>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98">
    <w:name w:val="批注主题 字符1"/>
    <w:basedOn w:val="55"/>
    <w:semiHidden/>
    <w:qFormat/>
    <w:uiPriority w:val="99"/>
    <w:rPr>
      <w:rFonts w:ascii="Times New Roman" w:hAnsi="Times New Roman" w:eastAsia="宋体" w:cs="Times New Roman"/>
      <w:b/>
      <w:bCs/>
      <w:szCs w:val="21"/>
    </w:rPr>
  </w:style>
  <w:style w:type="character" w:customStyle="1" w:styleId="99">
    <w:name w:val="标题 4 Char"/>
    <w:qFormat/>
    <w:uiPriority w:val="9"/>
    <w:rPr>
      <w:rFonts w:ascii="Cambria" w:hAnsi="Cambria"/>
      <w:b/>
      <w:bCs/>
      <w:kern w:val="2"/>
      <w:sz w:val="21"/>
      <w:szCs w:val="28"/>
    </w:rPr>
  </w:style>
  <w:style w:type="paragraph" w:customStyle="1" w:styleId="100">
    <w:name w:val="4"/>
    <w:basedOn w:val="1"/>
    <w:next w:val="63"/>
    <w:qFormat/>
    <w:uiPriority w:val="34"/>
    <w:pPr>
      <w:widowControl w:val="0"/>
      <w:ind w:firstLine="420" w:firstLineChars="200"/>
      <w:jc w:val="both"/>
    </w:pPr>
    <w:rPr>
      <w:rFonts w:ascii="Calibri" w:hAnsi="Calibri" w:cs="Times New Roman"/>
      <w:kern w:val="2"/>
      <w:szCs w:val="22"/>
    </w:rPr>
  </w:style>
  <w:style w:type="paragraph" w:customStyle="1" w:styleId="101">
    <w:name w:val="3"/>
    <w:basedOn w:val="1"/>
    <w:next w:val="63"/>
    <w:qFormat/>
    <w:uiPriority w:val="34"/>
    <w:pPr>
      <w:widowControl w:val="0"/>
      <w:ind w:firstLine="420" w:firstLineChars="200"/>
      <w:jc w:val="both"/>
    </w:pPr>
    <w:rPr>
      <w:rFonts w:ascii="Calibri" w:hAnsi="Calibri" w:cs="Times New Roman"/>
      <w:kern w:val="2"/>
      <w:szCs w:val="22"/>
    </w:rPr>
  </w:style>
  <w:style w:type="character" w:customStyle="1" w:styleId="102">
    <w:name w:val="标题 3 Char"/>
    <w:qFormat/>
    <w:uiPriority w:val="9"/>
    <w:rPr>
      <w:b/>
      <w:bCs/>
      <w:kern w:val="2"/>
      <w:sz w:val="21"/>
      <w:szCs w:val="32"/>
    </w:rPr>
  </w:style>
  <w:style w:type="paragraph" w:customStyle="1" w:styleId="103">
    <w:name w:val="2"/>
    <w:basedOn w:val="1"/>
    <w:next w:val="63"/>
    <w:qFormat/>
    <w:uiPriority w:val="34"/>
    <w:pPr>
      <w:widowControl w:val="0"/>
      <w:ind w:firstLine="420" w:firstLineChars="200"/>
      <w:jc w:val="both"/>
    </w:pPr>
    <w:rPr>
      <w:rFonts w:ascii="Calibri" w:hAnsi="Calibri" w:cs="Times New Roman"/>
      <w:kern w:val="2"/>
      <w:szCs w:val="22"/>
    </w:rPr>
  </w:style>
  <w:style w:type="paragraph" w:customStyle="1" w:styleId="104">
    <w:name w:val="1"/>
    <w:basedOn w:val="1"/>
    <w:next w:val="63"/>
    <w:qFormat/>
    <w:uiPriority w:val="34"/>
    <w:pPr>
      <w:widowControl w:val="0"/>
      <w:ind w:firstLine="420" w:firstLineChars="200"/>
      <w:jc w:val="both"/>
    </w:pPr>
    <w:rPr>
      <w:rFonts w:ascii="Calibri" w:hAnsi="Calibri" w:cs="Times New Roman"/>
      <w:kern w:val="2"/>
      <w:szCs w:val="22"/>
    </w:rPr>
  </w:style>
  <w:style w:type="paragraph" w:customStyle="1" w:styleId="105">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106">
    <w:name w:val="批注文字 Char"/>
    <w:qFormat/>
    <w:uiPriority w:val="0"/>
    <w:rPr>
      <w:rFonts w:ascii="Times New Roman" w:hAnsi="Times New Roman"/>
      <w:kern w:val="2"/>
      <w:sz w:val="21"/>
      <w:szCs w:val="21"/>
    </w:rPr>
  </w:style>
  <w:style w:type="character" w:customStyle="1" w:styleId="107">
    <w:name w:val="标题 3 Char1"/>
    <w:qFormat/>
    <w:uiPriority w:val="9"/>
    <w:rPr>
      <w:b/>
      <w:bCs/>
      <w:kern w:val="2"/>
      <w:sz w:val="21"/>
      <w:szCs w:val="32"/>
    </w:rPr>
  </w:style>
  <w:style w:type="character" w:customStyle="1" w:styleId="108">
    <w:name w:val="标题 2 Char"/>
    <w:qFormat/>
    <w:uiPriority w:val="0"/>
    <w:rPr>
      <w:rFonts w:ascii="Arial" w:hAnsi="Arial"/>
      <w:b/>
      <w:bCs/>
      <w:kern w:val="2"/>
      <w:sz w:val="21"/>
      <w:szCs w:val="21"/>
    </w:rPr>
  </w:style>
  <w:style w:type="character" w:customStyle="1" w:styleId="109">
    <w:name w:val="标题 5 Char"/>
    <w:qFormat/>
    <w:uiPriority w:val="9"/>
    <w:rPr>
      <w:b/>
      <w:bCs/>
      <w:kern w:val="2"/>
      <w:sz w:val="21"/>
      <w:szCs w:val="28"/>
    </w:rPr>
  </w:style>
  <w:style w:type="paragraph" w:customStyle="1" w:styleId="110">
    <w:name w:val="_Style 90"/>
    <w:basedOn w:val="1"/>
    <w:next w:val="63"/>
    <w:qFormat/>
    <w:uiPriority w:val="34"/>
    <w:pPr>
      <w:widowControl w:val="0"/>
      <w:ind w:firstLine="420" w:firstLineChars="200"/>
      <w:jc w:val="both"/>
    </w:pPr>
    <w:rPr>
      <w:rFonts w:ascii="Calibri" w:hAnsi="Calibri" w:cs="Times New Roman"/>
      <w:kern w:val="2"/>
      <w:szCs w:val="22"/>
    </w:rPr>
  </w:style>
  <w:style w:type="character" w:customStyle="1" w:styleId="111">
    <w:name w:val="称呼 Char"/>
    <w:qFormat/>
    <w:uiPriority w:val="99"/>
    <w:rPr>
      <w:rFonts w:ascii="Times New Roman" w:hAnsi="Times New Roman"/>
      <w:kern w:val="2"/>
      <w:sz w:val="21"/>
      <w:szCs w:val="21"/>
    </w:rPr>
  </w:style>
  <w:style w:type="character" w:customStyle="1" w:styleId="112">
    <w:name w:val="fontstyle01"/>
    <w:qFormat/>
    <w:uiPriority w:val="0"/>
    <w:rPr>
      <w:rFonts w:hint="default" w:ascii="FZLTSK--GBK1-0" w:hAnsi="FZLTSK--GBK1-0"/>
      <w:color w:val="000000"/>
      <w:sz w:val="20"/>
      <w:szCs w:val="20"/>
    </w:rPr>
  </w:style>
  <w:style w:type="paragraph" w:customStyle="1" w:styleId="113">
    <w:name w:val="_Style 93"/>
    <w:basedOn w:val="1"/>
    <w:next w:val="63"/>
    <w:qFormat/>
    <w:uiPriority w:val="34"/>
    <w:pPr>
      <w:widowControl w:val="0"/>
      <w:ind w:firstLine="420" w:firstLineChars="200"/>
      <w:jc w:val="both"/>
    </w:pPr>
    <w:rPr>
      <w:rFonts w:ascii="Calibri" w:hAnsi="Calibri" w:cs="Times New Roman"/>
      <w:kern w:val="2"/>
      <w:szCs w:val="22"/>
    </w:rPr>
  </w:style>
  <w:style w:type="character" w:customStyle="1" w:styleId="114">
    <w:name w:val="批注文字 Char1"/>
    <w:qFormat/>
    <w:uiPriority w:val="99"/>
    <w:rPr>
      <w:rFonts w:ascii="Times New Roman" w:hAnsi="Times New Roman"/>
      <w:kern w:val="2"/>
      <w:sz w:val="21"/>
      <w:szCs w:val="21"/>
    </w:rPr>
  </w:style>
  <w:style w:type="character" w:customStyle="1" w:styleId="115">
    <w:name w:val="标题 5 Char1"/>
    <w:qFormat/>
    <w:uiPriority w:val="9"/>
    <w:rPr>
      <w:b/>
      <w:bCs/>
      <w:kern w:val="2"/>
      <w:sz w:val="21"/>
      <w:szCs w:val="28"/>
    </w:rPr>
  </w:style>
  <w:style w:type="character" w:customStyle="1" w:styleId="116">
    <w:name w:val="批注文字 字符1"/>
    <w:semiHidden/>
    <w:qFormat/>
    <w:locked/>
    <w:uiPriority w:val="99"/>
    <w:rPr>
      <w:rFonts w:ascii="Times New Roman" w:hAnsi="Times New Roman"/>
      <w:kern w:val="2"/>
      <w:sz w:val="21"/>
      <w:szCs w:val="21"/>
    </w:rPr>
  </w:style>
  <w:style w:type="character" w:customStyle="1" w:styleId="117">
    <w:name w:val="标题 2 Char1"/>
    <w:qFormat/>
    <w:uiPriority w:val="0"/>
    <w:rPr>
      <w:rFonts w:ascii="Arial" w:hAnsi="Arial"/>
      <w:b/>
      <w:bCs/>
      <w:kern w:val="2"/>
      <w:sz w:val="21"/>
      <w:szCs w:val="21"/>
    </w:rPr>
  </w:style>
  <w:style w:type="character" w:customStyle="1" w:styleId="118">
    <w:name w:val="批注文字 Char2"/>
    <w:qFormat/>
    <w:uiPriority w:val="99"/>
    <w:rPr>
      <w:rFonts w:ascii="Times New Roman" w:hAnsi="Times New Roman"/>
      <w:kern w:val="2"/>
      <w:sz w:val="21"/>
      <w:szCs w:val="21"/>
    </w:rPr>
  </w:style>
  <w:style w:type="character" w:customStyle="1" w:styleId="119">
    <w:name w:val="标题 5 Char2"/>
    <w:qFormat/>
    <w:uiPriority w:val="9"/>
    <w:rPr>
      <w:b/>
      <w:bCs/>
      <w:kern w:val="2"/>
      <w:sz w:val="21"/>
      <w:szCs w:val="28"/>
    </w:rPr>
  </w:style>
  <w:style w:type="paragraph" w:customStyle="1" w:styleId="120">
    <w:name w:val="_Style 100"/>
    <w:basedOn w:val="1"/>
    <w:next w:val="63"/>
    <w:qFormat/>
    <w:uiPriority w:val="34"/>
    <w:pPr>
      <w:widowControl w:val="0"/>
      <w:ind w:firstLine="420" w:firstLineChars="200"/>
      <w:jc w:val="both"/>
    </w:pPr>
    <w:rPr>
      <w:rFonts w:ascii="Calibri" w:hAnsi="Calibri" w:cs="Times New Roman"/>
      <w:kern w:val="2"/>
      <w:szCs w:val="22"/>
    </w:rPr>
  </w:style>
  <w:style w:type="character" w:customStyle="1" w:styleId="121">
    <w:name w:val="标题 3 Char2"/>
    <w:qFormat/>
    <w:uiPriority w:val="9"/>
    <w:rPr>
      <w:b/>
      <w:bCs/>
      <w:kern w:val="2"/>
      <w:sz w:val="21"/>
      <w:szCs w:val="32"/>
    </w:rPr>
  </w:style>
  <w:style w:type="character" w:customStyle="1" w:styleId="122">
    <w:name w:val="标题 3 Char3"/>
    <w:qFormat/>
    <w:uiPriority w:val="9"/>
    <w:rPr>
      <w:b/>
      <w:bCs/>
      <w:kern w:val="2"/>
      <w:sz w:val="21"/>
      <w:szCs w:val="32"/>
    </w:rPr>
  </w:style>
  <w:style w:type="character" w:customStyle="1" w:styleId="123">
    <w:name w:val="批注文字 Char3"/>
    <w:qFormat/>
    <w:uiPriority w:val="0"/>
    <w:rPr>
      <w:rFonts w:ascii="Times New Roman" w:hAnsi="Times New Roman"/>
      <w:kern w:val="2"/>
      <w:sz w:val="21"/>
      <w:szCs w:val="21"/>
    </w:rPr>
  </w:style>
  <w:style w:type="table" w:customStyle="1" w:styleId="124">
    <w:name w:val="g15"/>
    <w:semiHidden/>
    <w:unhideWhenUsed/>
    <w:qFormat/>
    <w:uiPriority w:val="99"/>
    <w:tblPr>
      <w:tblCellMar>
        <w:top w:w="0" w:type="dxa"/>
        <w:left w:w="108" w:type="dxa"/>
        <w:bottom w:w="0" w:type="dxa"/>
        <w:right w:w="108" w:type="dxa"/>
      </w:tblCellMar>
    </w:tblPr>
  </w:style>
  <w:style w:type="table" w:customStyle="1" w:styleId="125">
    <w:name w:val="g1"/>
    <w:semiHidden/>
    <w:qFormat/>
    <w:uiPriority w:val="0"/>
    <w:tblPr>
      <w:tblCellMar>
        <w:top w:w="0" w:type="dxa"/>
        <w:left w:w="108" w:type="dxa"/>
        <w:bottom w:w="0" w:type="dxa"/>
        <w:right w:w="108" w:type="dxa"/>
      </w:tblCellMar>
    </w:tblPr>
  </w:style>
  <w:style w:type="table" w:customStyle="1" w:styleId="126">
    <w:name w:val="g2"/>
    <w:basedOn w:val="3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7">
    <w:name w:val="_Style 109"/>
    <w:basedOn w:val="1"/>
    <w:next w:val="1"/>
    <w:semiHidden/>
    <w:unhideWhenUsed/>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128">
    <w:name w:val="_Style 114"/>
    <w:basedOn w:val="1"/>
    <w:next w:val="1"/>
    <w:semiHidden/>
    <w:unhideWhenUsed/>
    <w:qFormat/>
    <w:uiPriority w:val="0"/>
    <w:pPr>
      <w:keepNext/>
      <w:keepLines/>
      <w:spacing w:before="240" w:after="64" w:line="320" w:lineRule="auto"/>
      <w:outlineLvl w:val="6"/>
    </w:pPr>
    <w:rPr>
      <w:b/>
      <w:bCs/>
      <w:sz w:val="24"/>
    </w:rPr>
  </w:style>
  <w:style w:type="character" w:customStyle="1" w:styleId="129">
    <w:name w:val="_Style 115"/>
    <w:semiHidden/>
    <w:qFormat/>
    <w:uiPriority w:val="0"/>
  </w:style>
  <w:style w:type="table" w:customStyle="1" w:styleId="130">
    <w:name w:val="_Style 116"/>
    <w:semiHidden/>
    <w:qFormat/>
    <w:uiPriority w:val="0"/>
    <w:tblPr>
      <w:tblCellMar>
        <w:top w:w="0" w:type="dxa"/>
        <w:left w:w="108" w:type="dxa"/>
        <w:bottom w:w="0" w:type="dxa"/>
        <w:right w:w="108" w:type="dxa"/>
      </w:tblCellMar>
    </w:tblPr>
  </w:style>
  <w:style w:type="paragraph" w:customStyle="1" w:styleId="131">
    <w:name w:val="_Style 118"/>
    <w:basedOn w:val="1"/>
    <w:next w:val="1"/>
    <w:qFormat/>
    <w:uiPriority w:val="0"/>
    <w:pPr>
      <w:widowControl w:val="0"/>
      <w:ind w:left="2520" w:leftChars="1200"/>
      <w:jc w:val="both"/>
    </w:pPr>
    <w:rPr>
      <w:rFonts w:asciiTheme="minorHAnsi" w:hAnsiTheme="minorHAnsi" w:eastAsiaTheme="minorEastAsia" w:cstheme="minorBidi"/>
      <w:kern w:val="2"/>
      <w:szCs w:val="22"/>
    </w:rPr>
  </w:style>
  <w:style w:type="paragraph" w:customStyle="1" w:styleId="132">
    <w:name w:val="_Style 119"/>
    <w:basedOn w:val="1"/>
    <w:next w:val="1"/>
    <w:qFormat/>
    <w:uiPriority w:val="0"/>
    <w:pPr>
      <w:widowControl w:val="0"/>
      <w:jc w:val="center"/>
    </w:pPr>
    <w:rPr>
      <w:rFonts w:ascii="Times New Roman" w:hAnsi="Times New Roman" w:cs="Times New Roman"/>
      <w:kern w:val="2"/>
      <w:szCs w:val="21"/>
    </w:rPr>
  </w:style>
  <w:style w:type="paragraph" w:customStyle="1" w:styleId="133">
    <w:name w:val="_Style 120"/>
    <w:basedOn w:val="1"/>
    <w:qFormat/>
    <w:uiPriority w:val="0"/>
    <w:pPr>
      <w:widowControl w:val="0"/>
      <w:ind w:firstLine="420" w:firstLineChars="200"/>
      <w:jc w:val="both"/>
    </w:pPr>
    <w:rPr>
      <w:rFonts w:ascii="Times New Roman" w:hAnsi="Times New Roman" w:cs="Times New Roman"/>
      <w:kern w:val="2"/>
      <w:szCs w:val="21"/>
    </w:rPr>
  </w:style>
  <w:style w:type="paragraph" w:customStyle="1" w:styleId="134">
    <w:name w:val="_Style 122"/>
    <w:basedOn w:val="1"/>
    <w:next w:val="1"/>
    <w:qFormat/>
    <w:uiPriority w:val="0"/>
    <w:pPr>
      <w:widowControl w:val="0"/>
      <w:spacing w:before="120"/>
      <w:jc w:val="both"/>
    </w:pPr>
    <w:rPr>
      <w:rFonts w:ascii="Arial" w:hAnsi="Arial" w:cs="Times New Roman"/>
      <w:b/>
      <w:bCs/>
      <w:kern w:val="2"/>
      <w:szCs w:val="21"/>
    </w:rPr>
  </w:style>
  <w:style w:type="paragraph" w:customStyle="1" w:styleId="135">
    <w:name w:val="_Style 125"/>
    <w:basedOn w:val="1"/>
    <w:qFormat/>
    <w:uiPriority w:val="0"/>
    <w:pPr>
      <w:widowControl w:val="0"/>
      <w:tabs>
        <w:tab w:val="left" w:pos="1200"/>
      </w:tabs>
      <w:jc w:val="both"/>
    </w:pPr>
    <w:rPr>
      <w:rFonts w:ascii="Times New Roman" w:hAnsi="Times New Roman" w:cs="Times New Roman"/>
      <w:kern w:val="2"/>
      <w:szCs w:val="21"/>
    </w:rPr>
  </w:style>
  <w:style w:type="paragraph" w:customStyle="1" w:styleId="136">
    <w:name w:val="_Style 126"/>
    <w:basedOn w:val="1"/>
    <w:next w:val="1"/>
    <w:qFormat/>
    <w:uiPriority w:val="0"/>
    <w:pPr>
      <w:widowControl w:val="0"/>
      <w:ind w:left="1680" w:leftChars="800"/>
      <w:jc w:val="both"/>
    </w:pPr>
    <w:rPr>
      <w:rFonts w:asciiTheme="minorHAnsi" w:hAnsiTheme="minorHAnsi" w:eastAsiaTheme="minorEastAsia" w:cstheme="minorBidi"/>
      <w:kern w:val="2"/>
      <w:szCs w:val="22"/>
    </w:rPr>
  </w:style>
  <w:style w:type="paragraph" w:customStyle="1" w:styleId="137">
    <w:name w:val="_Style 127"/>
    <w:basedOn w:val="1"/>
    <w:next w:val="1"/>
    <w:qFormat/>
    <w:uiPriority w:val="0"/>
    <w:pPr>
      <w:spacing w:after="100" w:line="276" w:lineRule="auto"/>
      <w:ind w:left="440"/>
    </w:pPr>
    <w:rPr>
      <w:rFonts w:ascii="Calibri" w:hAnsi="Calibri" w:cs="Times New Roman"/>
      <w:sz w:val="22"/>
      <w:szCs w:val="22"/>
    </w:rPr>
  </w:style>
  <w:style w:type="paragraph" w:customStyle="1" w:styleId="138">
    <w:name w:val="_Style 129"/>
    <w:basedOn w:val="1"/>
    <w:next w:val="1"/>
    <w:qFormat/>
    <w:uiPriority w:val="0"/>
    <w:pPr>
      <w:widowControl w:val="0"/>
      <w:ind w:left="2940" w:leftChars="1400"/>
      <w:jc w:val="both"/>
    </w:pPr>
    <w:rPr>
      <w:rFonts w:asciiTheme="minorHAnsi" w:hAnsiTheme="minorHAnsi" w:eastAsiaTheme="minorEastAsia" w:cstheme="minorBidi"/>
      <w:kern w:val="2"/>
      <w:szCs w:val="22"/>
    </w:rPr>
  </w:style>
  <w:style w:type="paragraph" w:customStyle="1" w:styleId="139">
    <w:name w:val="_Style 131"/>
    <w:basedOn w:val="1"/>
    <w:qFormat/>
    <w:uiPriority w:val="0"/>
    <w:pPr>
      <w:snapToGrid w:val="0"/>
    </w:pPr>
  </w:style>
  <w:style w:type="paragraph" w:customStyle="1" w:styleId="140">
    <w:name w:val="_Style 132"/>
    <w:basedOn w:val="1"/>
    <w:qFormat/>
    <w:uiPriority w:val="0"/>
    <w:pPr>
      <w:widowControl w:val="0"/>
      <w:jc w:val="both"/>
    </w:pPr>
    <w:rPr>
      <w:rFonts w:ascii="Calibri" w:hAnsi="Calibri" w:cs="Times New Roman"/>
      <w:kern w:val="2"/>
      <w:sz w:val="18"/>
      <w:szCs w:val="18"/>
    </w:rPr>
  </w:style>
  <w:style w:type="paragraph" w:customStyle="1" w:styleId="141">
    <w:name w:val="_Style 134"/>
    <w:basedOn w:val="1"/>
    <w:qFormat/>
    <w:uiPriority w:val="0"/>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142">
    <w:name w:val="_Style 135"/>
    <w:basedOn w:val="1"/>
    <w:next w:val="1"/>
    <w:qFormat/>
    <w:uiPriority w:val="0"/>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43">
    <w:name w:val="_Style 136"/>
    <w:basedOn w:val="1"/>
    <w:next w:val="1"/>
    <w:qFormat/>
    <w:uiPriority w:val="0"/>
    <w:pPr>
      <w:widowControl w:val="0"/>
      <w:ind w:left="1260" w:leftChars="600"/>
      <w:jc w:val="both"/>
    </w:pPr>
    <w:rPr>
      <w:rFonts w:asciiTheme="minorHAnsi" w:hAnsiTheme="minorHAnsi" w:eastAsiaTheme="minorEastAsia" w:cstheme="minorBidi"/>
      <w:kern w:val="2"/>
      <w:szCs w:val="22"/>
    </w:rPr>
  </w:style>
  <w:style w:type="paragraph" w:customStyle="1" w:styleId="144">
    <w:name w:val="_Style 137"/>
    <w:basedOn w:val="1"/>
    <w:next w:val="1"/>
    <w:qFormat/>
    <w:uiPriority w:val="0"/>
    <w:pPr>
      <w:widowControl w:val="0"/>
      <w:ind w:left="420" w:leftChars="200"/>
      <w:jc w:val="both"/>
    </w:pPr>
    <w:rPr>
      <w:rFonts w:ascii="Times New Roman" w:hAnsi="Times New Roman" w:cs="Times New Roman"/>
      <w:kern w:val="2"/>
      <w:szCs w:val="21"/>
    </w:rPr>
  </w:style>
  <w:style w:type="paragraph" w:customStyle="1" w:styleId="145">
    <w:name w:val="_Style 138"/>
    <w:basedOn w:val="1"/>
    <w:next w:val="1"/>
    <w:qFormat/>
    <w:uiPriority w:val="0"/>
    <w:pPr>
      <w:widowControl w:val="0"/>
      <w:ind w:left="3360" w:leftChars="1600"/>
      <w:jc w:val="both"/>
    </w:pPr>
    <w:rPr>
      <w:rFonts w:asciiTheme="minorHAnsi" w:hAnsiTheme="minorHAnsi" w:eastAsiaTheme="minorEastAsia" w:cstheme="minorBidi"/>
      <w:kern w:val="2"/>
      <w:szCs w:val="22"/>
    </w:rPr>
  </w:style>
  <w:style w:type="paragraph" w:customStyle="1" w:styleId="146">
    <w:name w:val="_Style 139"/>
    <w:basedOn w:val="1"/>
    <w:qFormat/>
    <w:uiPriority w:val="0"/>
    <w:pPr>
      <w:spacing w:before="100" w:beforeAutospacing="1" w:after="100" w:afterAutospacing="1"/>
    </w:pPr>
    <w:rPr>
      <w:sz w:val="24"/>
    </w:rPr>
  </w:style>
  <w:style w:type="paragraph" w:customStyle="1" w:styleId="147">
    <w:name w:val="_Style 140"/>
    <w:basedOn w:val="1"/>
    <w:next w:val="1"/>
    <w:qFormat/>
    <w:uiPriority w:val="0"/>
    <w:pPr>
      <w:ind w:firstLine="420" w:firstLineChars="200"/>
    </w:pPr>
    <w:rPr>
      <w:rFonts w:cs="Times New Roman"/>
      <w:color w:val="000000"/>
      <w:szCs w:val="21"/>
    </w:rPr>
  </w:style>
  <w:style w:type="paragraph" w:customStyle="1" w:styleId="148">
    <w:name w:val="_Style 142"/>
    <w:basedOn w:val="53"/>
    <w:next w:val="12"/>
    <w:qFormat/>
    <w:uiPriority w:val="0"/>
    <w:rPr>
      <w:rFonts w:ascii="Calibri" w:hAnsi="Calibri"/>
      <w:b/>
      <w:bCs/>
      <w:szCs w:val="22"/>
    </w:rPr>
  </w:style>
  <w:style w:type="character" w:customStyle="1" w:styleId="149">
    <w:name w:val="_Style 144"/>
    <w:basedOn w:val="129"/>
    <w:qFormat/>
    <w:uiPriority w:val="0"/>
    <w:rPr>
      <w:vertAlign w:val="superscript"/>
    </w:rPr>
  </w:style>
  <w:style w:type="character" w:customStyle="1" w:styleId="150">
    <w:name w:val="_Style 145"/>
    <w:basedOn w:val="129"/>
    <w:qFormat/>
    <w:uiPriority w:val="0"/>
    <w:rPr>
      <w:rFonts w:cs="Times New Roman"/>
      <w:color w:val="0000FF"/>
      <w:u w:val="single"/>
    </w:rPr>
  </w:style>
  <w:style w:type="character" w:customStyle="1" w:styleId="151">
    <w:name w:val="_Style 146"/>
    <w:basedOn w:val="129"/>
    <w:qFormat/>
    <w:uiPriority w:val="0"/>
    <w:rPr>
      <w:rFonts w:eastAsia="宋体" w:cs="Times New Roman"/>
      <w:kern w:val="2"/>
      <w:sz w:val="21"/>
      <w:szCs w:val="21"/>
      <w:lang w:val="en-US" w:eastAsia="zh-CN" w:bidi="ar-SA"/>
    </w:rPr>
  </w:style>
  <w:style w:type="character" w:customStyle="1" w:styleId="152">
    <w:name w:val="_Style 147"/>
    <w:basedOn w:val="129"/>
    <w:link w:val="17"/>
    <w:qFormat/>
    <w:uiPriority w:val="99"/>
    <w:rPr>
      <w:rFonts w:eastAsia="黑体"/>
      <w:b/>
      <w:bCs/>
      <w:kern w:val="44"/>
      <w:sz w:val="28"/>
      <w:szCs w:val="44"/>
    </w:rPr>
  </w:style>
  <w:style w:type="character" w:customStyle="1" w:styleId="153">
    <w:name w:val="_Style 148"/>
    <w:basedOn w:val="129"/>
    <w:link w:val="154"/>
    <w:qFormat/>
    <w:uiPriority w:val="0"/>
    <w:rPr>
      <w:rFonts w:ascii="Arial" w:hAnsi="Arial"/>
      <w:b/>
      <w:bCs/>
      <w:kern w:val="2"/>
      <w:sz w:val="21"/>
      <w:szCs w:val="21"/>
    </w:rPr>
  </w:style>
  <w:style w:type="paragraph" w:customStyle="1" w:styleId="154">
    <w:name w:val="_Style 228"/>
    <w:basedOn w:val="61"/>
    <w:link w:val="153"/>
    <w:qFormat/>
    <w:uiPriority w:val="0"/>
    <w:pPr>
      <w:widowControl w:val="0"/>
      <w:spacing w:after="120"/>
      <w:jc w:val="both"/>
    </w:pPr>
    <w:rPr>
      <w:rFonts w:ascii="Times New Roman" w:hAnsi="Times New Roman" w:cs="Times New Roman"/>
      <w:kern w:val="2"/>
      <w:szCs w:val="21"/>
    </w:rPr>
  </w:style>
  <w:style w:type="character" w:customStyle="1" w:styleId="155">
    <w:name w:val="_Style 149"/>
    <w:basedOn w:val="129"/>
    <w:link w:val="156"/>
    <w:qFormat/>
    <w:uiPriority w:val="9"/>
    <w:rPr>
      <w:b/>
      <w:bCs/>
      <w:kern w:val="2"/>
      <w:sz w:val="21"/>
      <w:szCs w:val="32"/>
    </w:rPr>
  </w:style>
  <w:style w:type="paragraph" w:customStyle="1" w:styleId="156">
    <w:name w:val="_Style 233"/>
    <w:basedOn w:val="61"/>
    <w:next w:val="1"/>
    <w:link w:val="155"/>
    <w:qFormat/>
    <w:uiPriority w:val="0"/>
    <w:pPr>
      <w:widowControl w:val="0"/>
      <w:ind w:left="2940" w:leftChars="1400"/>
      <w:jc w:val="both"/>
    </w:pPr>
    <w:rPr>
      <w:rFonts w:asciiTheme="minorHAnsi" w:hAnsiTheme="minorHAnsi" w:eastAsiaTheme="minorEastAsia" w:cstheme="minorBidi"/>
      <w:kern w:val="2"/>
      <w:szCs w:val="22"/>
    </w:rPr>
  </w:style>
  <w:style w:type="character" w:customStyle="1" w:styleId="157">
    <w:name w:val="_Style 150"/>
    <w:basedOn w:val="129"/>
    <w:link w:val="158"/>
    <w:qFormat/>
    <w:uiPriority w:val="9"/>
    <w:rPr>
      <w:rFonts w:asciiTheme="minorEastAsia" w:hAnsiTheme="minorEastAsia" w:eastAsiaTheme="minorEastAsia"/>
      <w:b/>
      <w:bCs/>
      <w:kern w:val="2"/>
      <w:sz w:val="21"/>
      <w:szCs w:val="28"/>
    </w:rPr>
  </w:style>
  <w:style w:type="paragraph" w:customStyle="1" w:styleId="158">
    <w:name w:val="_Style 211"/>
    <w:basedOn w:val="61"/>
    <w:next w:val="1"/>
    <w:link w:val="157"/>
    <w:qFormat/>
    <w:uiPriority w:val="0"/>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character" w:customStyle="1" w:styleId="159">
    <w:name w:val="_Style 151"/>
    <w:basedOn w:val="129"/>
    <w:link w:val="160"/>
    <w:qFormat/>
    <w:uiPriority w:val="9"/>
    <w:rPr>
      <w:b/>
      <w:bCs/>
      <w:kern w:val="2"/>
      <w:sz w:val="21"/>
      <w:szCs w:val="28"/>
    </w:rPr>
  </w:style>
  <w:style w:type="paragraph" w:customStyle="1" w:styleId="160">
    <w:name w:val="_Style 212"/>
    <w:basedOn w:val="61"/>
    <w:next w:val="1"/>
    <w:link w:val="159"/>
    <w:semiHidden/>
    <w:unhideWhenUsed/>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161">
    <w:name w:val="_Style 152"/>
    <w:basedOn w:val="43"/>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162">
    <w:name w:val="_Style 153"/>
    <w:basedOn w:val="129"/>
    <w:link w:val="12"/>
    <w:qFormat/>
    <w:uiPriority w:val="0"/>
    <w:rPr>
      <w:rFonts w:ascii="Times New Roman" w:hAnsi="Times New Roman" w:eastAsia="宋体" w:cs="Times New Roman"/>
      <w:szCs w:val="21"/>
    </w:rPr>
  </w:style>
  <w:style w:type="character" w:customStyle="1" w:styleId="163">
    <w:name w:val="_Style 154"/>
    <w:basedOn w:val="129"/>
    <w:link w:val="164"/>
    <w:qFormat/>
    <w:uiPriority w:val="99"/>
    <w:rPr>
      <w:rFonts w:ascii="Calibri" w:hAnsi="Calibri" w:eastAsia="宋体" w:cs="Times New Roman"/>
      <w:sz w:val="18"/>
      <w:szCs w:val="18"/>
    </w:rPr>
  </w:style>
  <w:style w:type="paragraph" w:customStyle="1" w:styleId="164">
    <w:name w:val="_Style 223"/>
    <w:basedOn w:val="61"/>
    <w:link w:val="163"/>
    <w:qFormat/>
    <w:uiPriority w:val="0"/>
    <w:pPr>
      <w:widowControl w:val="0"/>
      <w:jc w:val="both"/>
    </w:pPr>
    <w:rPr>
      <w:rFonts w:hAnsi="Calibri" w:cs="Times New Roman"/>
      <w:kern w:val="2"/>
      <w:sz w:val="18"/>
      <w:szCs w:val="18"/>
    </w:rPr>
  </w:style>
  <w:style w:type="character" w:customStyle="1" w:styleId="165">
    <w:name w:val="_Style 155"/>
    <w:basedOn w:val="129"/>
    <w:link w:val="166"/>
    <w:qFormat/>
    <w:uiPriority w:val="99"/>
    <w:rPr>
      <w:rFonts w:ascii="Times New Roman" w:hAnsi="Times New Roman" w:eastAsia="宋体" w:cs="Times New Roman"/>
      <w:szCs w:val="21"/>
    </w:rPr>
  </w:style>
  <w:style w:type="paragraph" w:customStyle="1" w:styleId="166">
    <w:name w:val="_Style 235"/>
    <w:basedOn w:val="61"/>
    <w:link w:val="165"/>
    <w:qFormat/>
    <w:uiPriority w:val="0"/>
    <w:pPr>
      <w:snapToGrid w:val="0"/>
    </w:pPr>
  </w:style>
  <w:style w:type="character" w:customStyle="1" w:styleId="167">
    <w:name w:val="_Style 156"/>
    <w:basedOn w:val="129"/>
    <w:link w:val="168"/>
    <w:qFormat/>
    <w:uiPriority w:val="99"/>
    <w:rPr>
      <w:rFonts w:eastAsia="宋体" w:cs="Times New Roman"/>
      <w:color w:val="FF0000"/>
      <w:kern w:val="2"/>
      <w:sz w:val="24"/>
      <w:szCs w:val="24"/>
      <w:lang w:val="en-US" w:eastAsia="zh-CN" w:bidi="ar-SA"/>
    </w:rPr>
  </w:style>
  <w:style w:type="paragraph" w:customStyle="1" w:styleId="168">
    <w:name w:val="_Style 224"/>
    <w:basedOn w:val="61"/>
    <w:next w:val="1"/>
    <w:link w:val="167"/>
    <w:qFormat/>
    <w:uiPriority w:val="0"/>
    <w:pPr>
      <w:widowControl w:val="0"/>
      <w:spacing w:before="120"/>
      <w:jc w:val="both"/>
    </w:pPr>
    <w:rPr>
      <w:rFonts w:ascii="Arial" w:hAnsi="Arial" w:cs="Times New Roman"/>
      <w:b/>
      <w:bCs/>
      <w:kern w:val="2"/>
      <w:szCs w:val="21"/>
    </w:rPr>
  </w:style>
  <w:style w:type="paragraph" w:customStyle="1" w:styleId="169">
    <w:name w:val="_Style 157"/>
    <w:basedOn w:val="1"/>
    <w:qFormat/>
    <w:uiPriority w:val="99"/>
    <w:pPr>
      <w:spacing w:before="100" w:after="100"/>
      <w:jc w:val="right"/>
    </w:pPr>
    <w:rPr>
      <w:rFonts w:ascii="Arial Unicode MS" w:hAnsi="Times New Roman" w:eastAsia="Arial Unicode MS" w:cs="Times New Roman"/>
      <w:sz w:val="18"/>
      <w:szCs w:val="18"/>
    </w:rPr>
  </w:style>
  <w:style w:type="paragraph" w:customStyle="1" w:styleId="170">
    <w:name w:val="_Style 158"/>
    <w:basedOn w:val="1"/>
    <w:qFormat/>
    <w:uiPriority w:val="99"/>
    <w:pPr>
      <w:widowControl w:val="0"/>
      <w:ind w:firstLine="420" w:firstLineChars="200"/>
      <w:jc w:val="both"/>
    </w:pPr>
    <w:rPr>
      <w:rFonts w:ascii="Calibri" w:hAnsi="Calibri" w:cs="Times New Roman"/>
      <w:kern w:val="2"/>
      <w:szCs w:val="22"/>
    </w:rPr>
  </w:style>
  <w:style w:type="character" w:customStyle="1" w:styleId="171">
    <w:name w:val="_Style 159"/>
    <w:basedOn w:val="162"/>
    <w:link w:val="34"/>
    <w:qFormat/>
    <w:uiPriority w:val="99"/>
    <w:rPr>
      <w:rFonts w:ascii="Calibri" w:hAnsi="Calibri" w:eastAsia="宋体" w:cs="Times New Roman"/>
      <w:b/>
      <w:bCs/>
      <w:szCs w:val="21"/>
    </w:rPr>
  </w:style>
  <w:style w:type="character" w:customStyle="1" w:styleId="172">
    <w:name w:val="_Style 160"/>
    <w:basedOn w:val="129"/>
    <w:link w:val="173"/>
    <w:qFormat/>
    <w:uiPriority w:val="99"/>
    <w:rPr>
      <w:rFonts w:ascii="Calibri" w:hAnsi="Calibri" w:eastAsia="宋体" w:cs="Times New Roman"/>
      <w:sz w:val="18"/>
      <w:szCs w:val="18"/>
    </w:rPr>
  </w:style>
  <w:style w:type="paragraph" w:customStyle="1" w:styleId="173">
    <w:name w:val="_Style 239"/>
    <w:basedOn w:val="61"/>
    <w:next w:val="1"/>
    <w:link w:val="172"/>
    <w:qFormat/>
    <w:uiPriority w:val="0"/>
    <w:pPr>
      <w:widowControl w:val="0"/>
      <w:spacing w:before="240" w:after="60"/>
      <w:jc w:val="center"/>
      <w:outlineLvl w:val="0"/>
    </w:pPr>
    <w:rPr>
      <w:rFonts w:asciiTheme="majorHAnsi" w:hAnsiTheme="majorHAnsi" w:cstheme="majorBidi"/>
      <w:b/>
      <w:bCs/>
      <w:kern w:val="2"/>
      <w:sz w:val="32"/>
      <w:szCs w:val="32"/>
    </w:rPr>
  </w:style>
  <w:style w:type="character" w:customStyle="1" w:styleId="174">
    <w:name w:val="_Style 161"/>
    <w:basedOn w:val="129"/>
    <w:link w:val="175"/>
    <w:qFormat/>
    <w:uiPriority w:val="99"/>
    <w:rPr>
      <w:rFonts w:ascii="Calibri" w:hAnsi="Calibri" w:eastAsia="宋体" w:cs="Times New Roman"/>
      <w:sz w:val="18"/>
      <w:szCs w:val="18"/>
    </w:rPr>
  </w:style>
  <w:style w:type="paragraph" w:customStyle="1" w:styleId="175">
    <w:name w:val="_Style 237"/>
    <w:basedOn w:val="61"/>
    <w:link w:val="174"/>
    <w:qFormat/>
    <w:uiPriority w:val="0"/>
    <w:pPr>
      <w:widowControl w:val="0"/>
      <w:tabs>
        <w:tab w:val="center" w:pos="4153"/>
        <w:tab w:val="right" w:pos="8306"/>
      </w:tabs>
      <w:snapToGrid w:val="0"/>
    </w:pPr>
    <w:rPr>
      <w:rFonts w:ascii="Calibri" w:hAnsi="Calibri" w:cs="Times New Roman"/>
      <w:kern w:val="2"/>
      <w:sz w:val="18"/>
      <w:szCs w:val="18"/>
    </w:rPr>
  </w:style>
  <w:style w:type="character" w:customStyle="1" w:styleId="176">
    <w:name w:val="_Style 162"/>
    <w:basedOn w:val="129"/>
    <w:link w:val="177"/>
    <w:qFormat/>
    <w:uiPriority w:val="0"/>
    <w:rPr>
      <w:rFonts w:ascii="宋体" w:hAnsi="Courier New" w:eastAsia="宋体" w:cs="Times New Roman"/>
      <w:szCs w:val="20"/>
    </w:rPr>
  </w:style>
  <w:style w:type="paragraph" w:customStyle="1" w:styleId="177">
    <w:name w:val="_Style 236"/>
    <w:basedOn w:val="61"/>
    <w:link w:val="176"/>
    <w:qFormat/>
    <w:uiPriority w:val="0"/>
    <w:pPr>
      <w:widowControl w:val="0"/>
      <w:jc w:val="both"/>
    </w:pPr>
    <w:rPr>
      <w:rFonts w:ascii="Calibri" w:hAnsi="Calibri" w:cs="Times New Roman"/>
      <w:kern w:val="2"/>
      <w:sz w:val="18"/>
      <w:szCs w:val="18"/>
    </w:rPr>
  </w:style>
  <w:style w:type="character" w:customStyle="1" w:styleId="178">
    <w:name w:val="_Style 163"/>
    <w:basedOn w:val="129"/>
    <w:link w:val="179"/>
    <w:qFormat/>
    <w:uiPriority w:val="0"/>
    <w:rPr>
      <w:rFonts w:eastAsia="宋体" w:cs="Times New Roman"/>
      <w:kern w:val="2"/>
      <w:sz w:val="24"/>
      <w:szCs w:val="24"/>
      <w:lang w:val="en-US" w:eastAsia="zh-CN" w:bidi="ar-SA"/>
    </w:rPr>
  </w:style>
  <w:style w:type="paragraph" w:customStyle="1" w:styleId="179">
    <w:name w:val="_Style 230"/>
    <w:basedOn w:val="61"/>
    <w:next w:val="1"/>
    <w:link w:val="178"/>
    <w:qFormat/>
    <w:uiPriority w:val="0"/>
    <w:pPr>
      <w:widowControl w:val="0"/>
      <w:ind w:left="1680" w:leftChars="800"/>
      <w:jc w:val="both"/>
    </w:pPr>
    <w:rPr>
      <w:rFonts w:asciiTheme="minorHAnsi" w:hAnsiTheme="minorHAnsi" w:eastAsiaTheme="minorEastAsia" w:cstheme="minorBidi"/>
      <w:kern w:val="2"/>
      <w:szCs w:val="22"/>
    </w:rPr>
  </w:style>
  <w:style w:type="character" w:customStyle="1" w:styleId="180">
    <w:name w:val="_Style 164"/>
    <w:basedOn w:val="129"/>
    <w:link w:val="36"/>
    <w:qFormat/>
    <w:uiPriority w:val="99"/>
    <w:rPr>
      <w:rFonts w:ascii="Times New Roman" w:hAnsi="Times New Roman" w:eastAsia="宋体" w:cs="Times New Roman"/>
      <w:szCs w:val="21"/>
    </w:rPr>
  </w:style>
  <w:style w:type="paragraph" w:customStyle="1" w:styleId="181">
    <w:name w:val="_Style 165"/>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182">
    <w:name w:val="_Style 166"/>
    <w:basedOn w:val="129"/>
    <w:link w:val="20"/>
    <w:qFormat/>
    <w:uiPriority w:val="99"/>
    <w:rPr>
      <w:rFonts w:ascii="Times New Roman" w:hAnsi="Times New Roman" w:eastAsia="宋体" w:cs="Times New Roman"/>
      <w:szCs w:val="21"/>
    </w:rPr>
  </w:style>
  <w:style w:type="character" w:customStyle="1" w:styleId="183">
    <w:name w:val="_Style 167"/>
    <w:basedOn w:val="129"/>
    <w:link w:val="184"/>
    <w:qFormat/>
    <w:uiPriority w:val="99"/>
    <w:rPr>
      <w:rFonts w:ascii="Times New Roman" w:hAnsi="Times New Roman" w:eastAsia="宋体" w:cs="Times New Roman"/>
      <w:szCs w:val="21"/>
    </w:rPr>
  </w:style>
  <w:style w:type="paragraph" w:customStyle="1" w:styleId="184">
    <w:name w:val="_Style 232"/>
    <w:basedOn w:val="61"/>
    <w:link w:val="183"/>
    <w:qFormat/>
    <w:uiPriority w:val="0"/>
    <w:pPr>
      <w:widowControl w:val="0"/>
      <w:jc w:val="both"/>
    </w:pPr>
    <w:rPr>
      <w:rFonts w:hAnsi="Courier New" w:cs="Times New Roman"/>
      <w:kern w:val="2"/>
      <w:szCs w:val="20"/>
    </w:rPr>
  </w:style>
  <w:style w:type="paragraph" w:customStyle="1" w:styleId="185">
    <w:name w:val="_Style 168"/>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186">
    <w:name w:val="_Style 169"/>
    <w:hidden/>
    <w:semiHidden/>
    <w:qFormat/>
    <w:uiPriority w:val="99"/>
    <w:rPr>
      <w:rFonts w:ascii="Calibri" w:hAnsi="Calibri" w:eastAsia="宋体" w:cs="Times New Roman"/>
      <w:kern w:val="2"/>
      <w:sz w:val="21"/>
      <w:szCs w:val="22"/>
      <w:lang w:val="en-US" w:eastAsia="zh-CN" w:bidi="ar-SA"/>
    </w:rPr>
  </w:style>
  <w:style w:type="character" w:customStyle="1" w:styleId="187">
    <w:name w:val="_Style 170"/>
    <w:basedOn w:val="129"/>
    <w:link w:val="78"/>
    <w:qFormat/>
    <w:uiPriority w:val="0"/>
    <w:rPr>
      <w:kern w:val="2"/>
      <w:sz w:val="21"/>
      <w:szCs w:val="24"/>
    </w:rPr>
  </w:style>
  <w:style w:type="paragraph" w:customStyle="1" w:styleId="188">
    <w:name w:val="_Style 171"/>
    <w:basedOn w:val="1"/>
    <w:qFormat/>
    <w:uiPriority w:val="0"/>
    <w:pPr>
      <w:widowControl w:val="0"/>
      <w:spacing w:before="100" w:after="100"/>
      <w:jc w:val="both"/>
    </w:pPr>
    <w:rPr>
      <w:rFonts w:ascii="Calibri" w:hAnsi="Calibri" w:cs="Times New Roman"/>
      <w:kern w:val="2"/>
    </w:rPr>
  </w:style>
  <w:style w:type="character" w:customStyle="1" w:styleId="189">
    <w:name w:val="_Style 172"/>
    <w:basedOn w:val="129"/>
    <w:link w:val="10"/>
    <w:semiHidden/>
    <w:qFormat/>
    <w:uiPriority w:val="99"/>
    <w:rPr>
      <w:rFonts w:ascii="宋体"/>
      <w:kern w:val="2"/>
      <w:sz w:val="18"/>
      <w:szCs w:val="18"/>
    </w:rPr>
  </w:style>
  <w:style w:type="character" w:customStyle="1" w:styleId="190">
    <w:name w:val="_Style 173"/>
    <w:basedOn w:val="129"/>
    <w:link w:val="191"/>
    <w:semiHidden/>
    <w:qFormat/>
    <w:uiPriority w:val="99"/>
    <w:rPr>
      <w:color w:val="auto"/>
    </w:rPr>
  </w:style>
  <w:style w:type="paragraph" w:customStyle="1" w:styleId="191">
    <w:name w:val="_Style 221"/>
    <w:basedOn w:val="61"/>
    <w:next w:val="1"/>
    <w:link w:val="190"/>
    <w:qFormat/>
    <w:uiPriority w:val="0"/>
    <w:pPr>
      <w:widowControl w:val="0"/>
      <w:jc w:val="center"/>
    </w:pPr>
    <w:rPr>
      <w:rFonts w:ascii="Times New Roman" w:hAnsi="Times New Roman" w:cs="Times New Roman"/>
      <w:kern w:val="2"/>
      <w:szCs w:val="21"/>
    </w:rPr>
  </w:style>
  <w:style w:type="character" w:customStyle="1" w:styleId="192">
    <w:name w:val="_Style 174"/>
    <w:basedOn w:val="129"/>
    <w:link w:val="33"/>
    <w:qFormat/>
    <w:uiPriority w:val="10"/>
    <w:rPr>
      <w:rFonts w:asciiTheme="majorHAnsi" w:hAnsiTheme="majorHAnsi" w:cstheme="majorBidi"/>
      <w:b/>
      <w:bCs/>
      <w:kern w:val="2"/>
      <w:sz w:val="32"/>
      <w:szCs w:val="32"/>
    </w:rPr>
  </w:style>
  <w:style w:type="paragraph" w:customStyle="1" w:styleId="193">
    <w:name w:val="_Style 17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94">
    <w:name w:val="_Style 176"/>
    <w:basedOn w:val="129"/>
    <w:link w:val="5"/>
    <w:qFormat/>
    <w:uiPriority w:val="9"/>
    <w:rPr>
      <w:rFonts w:asciiTheme="majorHAnsi" w:hAnsiTheme="majorHAnsi" w:cstheme="majorBidi"/>
      <w:b/>
      <w:bCs/>
      <w:sz w:val="21"/>
      <w:szCs w:val="24"/>
    </w:rPr>
  </w:style>
  <w:style w:type="character" w:customStyle="1" w:styleId="195">
    <w:name w:val="_Style 177"/>
    <w:basedOn w:val="129"/>
    <w:link w:val="196"/>
    <w:semiHidden/>
    <w:qFormat/>
    <w:uiPriority w:val="99"/>
    <w:rPr>
      <w:rFonts w:ascii="宋体" w:hAnsi="宋体" w:cs="宋体"/>
      <w:sz w:val="21"/>
      <w:szCs w:val="24"/>
    </w:rPr>
  </w:style>
  <w:style w:type="paragraph" w:customStyle="1" w:styleId="196">
    <w:name w:val="_Style 214"/>
    <w:basedOn w:val="61"/>
    <w:next w:val="1"/>
    <w:link w:val="195"/>
    <w:semiHidden/>
    <w:unhideWhenUsed/>
    <w:qFormat/>
    <w:uiPriority w:val="0"/>
    <w:pPr>
      <w:keepNext/>
      <w:keepLines/>
      <w:widowControl w:val="0"/>
      <w:spacing w:before="60" w:after="60"/>
      <w:jc w:val="both"/>
      <w:outlineLvl w:val="3"/>
    </w:pPr>
    <w:rPr>
      <w:rFonts w:cs="Times New Roman" w:asciiTheme="minorEastAsia" w:hAnsiTheme="minorEastAsia" w:eastAsiaTheme="minorEastAsia"/>
      <w:b/>
      <w:bCs/>
      <w:kern w:val="2"/>
      <w:szCs w:val="28"/>
    </w:rPr>
  </w:style>
  <w:style w:type="character" w:customStyle="1" w:styleId="197">
    <w:name w:val="_Style 178"/>
    <w:basedOn w:val="162"/>
    <w:link w:val="198"/>
    <w:semiHidden/>
    <w:qFormat/>
    <w:uiPriority w:val="99"/>
    <w:rPr>
      <w:rFonts w:ascii="Times New Roman" w:hAnsi="Times New Roman" w:eastAsia="宋体" w:cs="Times New Roman"/>
      <w:b/>
      <w:bCs/>
      <w:szCs w:val="21"/>
    </w:rPr>
  </w:style>
  <w:style w:type="paragraph" w:customStyle="1" w:styleId="198">
    <w:name w:val="_Style 234"/>
    <w:basedOn w:val="61"/>
    <w:next w:val="1"/>
    <w:link w:val="197"/>
    <w:qFormat/>
    <w:uiPriority w:val="0"/>
    <w:pPr>
      <w:widowControl w:val="0"/>
      <w:ind w:left="100" w:leftChars="2500"/>
      <w:jc w:val="both"/>
    </w:pPr>
    <w:rPr>
      <w:rFonts w:ascii="Times New Roman" w:hAnsi="Times New Roman" w:cs="Times New Roman"/>
      <w:kern w:val="2"/>
      <w:szCs w:val="21"/>
    </w:rPr>
  </w:style>
  <w:style w:type="character" w:customStyle="1" w:styleId="199">
    <w:name w:val="_Style 179"/>
    <w:basedOn w:val="129"/>
    <w:qFormat/>
    <w:uiPriority w:val="0"/>
  </w:style>
  <w:style w:type="character" w:customStyle="1" w:styleId="200">
    <w:name w:val="_Style 181"/>
    <w:basedOn w:val="129"/>
    <w:qFormat/>
    <w:uiPriority w:val="0"/>
    <w:rPr>
      <w:rFonts w:ascii="Times New Roman" w:hAnsi="Times New Roman"/>
      <w:b/>
      <w:kern w:val="2"/>
      <w:sz w:val="21"/>
      <w:szCs w:val="24"/>
    </w:rPr>
  </w:style>
  <w:style w:type="character" w:customStyle="1" w:styleId="201">
    <w:name w:val="_Style 182"/>
    <w:basedOn w:val="129"/>
    <w:link w:val="6"/>
    <w:qFormat/>
    <w:uiPriority w:val="9"/>
    <w:rPr>
      <w:rFonts w:ascii="宋体" w:hAnsi="宋体" w:cs="宋体"/>
      <w:b/>
      <w:bCs/>
      <w:sz w:val="24"/>
      <w:szCs w:val="24"/>
    </w:rPr>
  </w:style>
  <w:style w:type="character" w:customStyle="1" w:styleId="202">
    <w:name w:val="_Style 183"/>
    <w:basedOn w:val="162"/>
    <w:link w:val="203"/>
    <w:semiHidden/>
    <w:qFormat/>
    <w:uiPriority w:val="99"/>
    <w:rPr>
      <w:rFonts w:ascii="Times New Roman" w:hAnsi="Times New Roman" w:eastAsia="宋体" w:cs="Times New Roman"/>
      <w:b/>
      <w:bCs/>
      <w:szCs w:val="21"/>
    </w:rPr>
  </w:style>
  <w:style w:type="paragraph" w:customStyle="1" w:styleId="203">
    <w:name w:val="_Style 215"/>
    <w:basedOn w:val="61"/>
    <w:next w:val="1"/>
    <w:link w:val="202"/>
    <w:semiHidden/>
    <w:unhideWhenUsed/>
    <w:qFormat/>
    <w:uiPriority w:val="0"/>
    <w:pPr>
      <w:keepNext/>
      <w:keepLines/>
      <w:widowControl w:val="0"/>
      <w:spacing w:before="60" w:after="60"/>
      <w:ind w:left="50" w:leftChars="50"/>
      <w:jc w:val="both"/>
      <w:outlineLvl w:val="4"/>
    </w:pPr>
    <w:rPr>
      <w:rFonts w:ascii="Calibri" w:hAnsi="Calibri" w:cs="Times New Roman"/>
      <w:b/>
      <w:bCs/>
      <w:kern w:val="2"/>
      <w:szCs w:val="28"/>
    </w:rPr>
  </w:style>
  <w:style w:type="character" w:customStyle="1" w:styleId="204">
    <w:name w:val="_Style 184"/>
    <w:qFormat/>
    <w:uiPriority w:val="9"/>
    <w:rPr>
      <w:rFonts w:ascii="Cambria" w:hAnsi="Cambria"/>
      <w:b/>
      <w:bCs/>
      <w:kern w:val="2"/>
      <w:sz w:val="21"/>
      <w:szCs w:val="28"/>
    </w:rPr>
  </w:style>
  <w:style w:type="paragraph" w:customStyle="1" w:styleId="205">
    <w:name w:val="_Style 185"/>
    <w:basedOn w:val="1"/>
    <w:qFormat/>
    <w:uiPriority w:val="34"/>
    <w:pPr>
      <w:widowControl w:val="0"/>
      <w:ind w:firstLine="420" w:firstLineChars="200"/>
      <w:jc w:val="both"/>
    </w:pPr>
    <w:rPr>
      <w:rFonts w:ascii="Calibri" w:hAnsi="Calibri" w:cs="Times New Roman"/>
      <w:kern w:val="2"/>
      <w:szCs w:val="22"/>
    </w:rPr>
  </w:style>
  <w:style w:type="paragraph" w:customStyle="1" w:styleId="206">
    <w:name w:val="_Style 186"/>
    <w:basedOn w:val="1"/>
    <w:qFormat/>
    <w:uiPriority w:val="34"/>
    <w:pPr>
      <w:widowControl w:val="0"/>
      <w:ind w:firstLine="420" w:firstLineChars="200"/>
      <w:jc w:val="both"/>
    </w:pPr>
    <w:rPr>
      <w:rFonts w:ascii="Calibri" w:hAnsi="Calibri" w:cs="Times New Roman"/>
      <w:kern w:val="2"/>
      <w:szCs w:val="22"/>
    </w:rPr>
  </w:style>
  <w:style w:type="character" w:customStyle="1" w:styleId="207">
    <w:name w:val="_Style 187"/>
    <w:qFormat/>
    <w:uiPriority w:val="9"/>
    <w:rPr>
      <w:b/>
      <w:bCs/>
      <w:kern w:val="2"/>
      <w:sz w:val="21"/>
      <w:szCs w:val="32"/>
    </w:rPr>
  </w:style>
  <w:style w:type="paragraph" w:customStyle="1" w:styleId="208">
    <w:name w:val="_Style 188"/>
    <w:basedOn w:val="1"/>
    <w:qFormat/>
    <w:uiPriority w:val="34"/>
    <w:pPr>
      <w:widowControl w:val="0"/>
      <w:ind w:firstLine="420" w:firstLineChars="200"/>
      <w:jc w:val="both"/>
    </w:pPr>
    <w:rPr>
      <w:rFonts w:ascii="Calibri" w:hAnsi="Calibri" w:cs="Times New Roman"/>
      <w:kern w:val="2"/>
      <w:szCs w:val="22"/>
    </w:rPr>
  </w:style>
  <w:style w:type="paragraph" w:customStyle="1" w:styleId="209">
    <w:name w:val="_Style 189"/>
    <w:basedOn w:val="1"/>
    <w:qFormat/>
    <w:uiPriority w:val="34"/>
    <w:pPr>
      <w:widowControl w:val="0"/>
      <w:ind w:firstLine="420" w:firstLineChars="200"/>
      <w:jc w:val="both"/>
    </w:pPr>
    <w:rPr>
      <w:rFonts w:ascii="Calibri" w:hAnsi="Calibri" w:cs="Times New Roman"/>
      <w:kern w:val="2"/>
      <w:szCs w:val="22"/>
    </w:rPr>
  </w:style>
  <w:style w:type="paragraph" w:customStyle="1" w:styleId="210">
    <w:name w:val="_Style 190"/>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211">
    <w:name w:val="_Style 191"/>
    <w:qFormat/>
    <w:uiPriority w:val="0"/>
    <w:rPr>
      <w:rFonts w:ascii="Times New Roman" w:hAnsi="Times New Roman"/>
      <w:kern w:val="2"/>
      <w:sz w:val="21"/>
      <w:szCs w:val="21"/>
    </w:rPr>
  </w:style>
  <w:style w:type="character" w:customStyle="1" w:styleId="212">
    <w:name w:val="_Style 192"/>
    <w:qFormat/>
    <w:uiPriority w:val="9"/>
    <w:rPr>
      <w:b/>
      <w:bCs/>
      <w:kern w:val="2"/>
      <w:sz w:val="21"/>
      <w:szCs w:val="32"/>
    </w:rPr>
  </w:style>
  <w:style w:type="character" w:customStyle="1" w:styleId="213">
    <w:name w:val="_Style 193"/>
    <w:qFormat/>
    <w:uiPriority w:val="0"/>
    <w:rPr>
      <w:rFonts w:ascii="Arial" w:hAnsi="Arial"/>
      <w:b/>
      <w:bCs/>
      <w:kern w:val="2"/>
      <w:sz w:val="21"/>
      <w:szCs w:val="21"/>
    </w:rPr>
  </w:style>
  <w:style w:type="character" w:customStyle="1" w:styleId="214">
    <w:name w:val="_Style 194"/>
    <w:qFormat/>
    <w:uiPriority w:val="9"/>
    <w:rPr>
      <w:b/>
      <w:bCs/>
      <w:kern w:val="2"/>
      <w:sz w:val="21"/>
      <w:szCs w:val="28"/>
    </w:rPr>
  </w:style>
  <w:style w:type="paragraph" w:customStyle="1" w:styleId="215">
    <w:name w:val="_Style 195"/>
    <w:basedOn w:val="1"/>
    <w:qFormat/>
    <w:uiPriority w:val="34"/>
    <w:pPr>
      <w:widowControl w:val="0"/>
      <w:ind w:firstLine="420" w:firstLineChars="200"/>
      <w:jc w:val="both"/>
    </w:pPr>
    <w:rPr>
      <w:rFonts w:ascii="Calibri" w:hAnsi="Calibri" w:cs="Times New Roman"/>
      <w:kern w:val="2"/>
      <w:szCs w:val="22"/>
    </w:rPr>
  </w:style>
  <w:style w:type="character" w:customStyle="1" w:styleId="216">
    <w:name w:val="_Style 196"/>
    <w:qFormat/>
    <w:uiPriority w:val="99"/>
    <w:rPr>
      <w:rFonts w:ascii="Times New Roman" w:hAnsi="Times New Roman"/>
      <w:kern w:val="2"/>
      <w:sz w:val="21"/>
      <w:szCs w:val="21"/>
    </w:rPr>
  </w:style>
  <w:style w:type="character" w:customStyle="1" w:styleId="217">
    <w:name w:val="_Style 197"/>
    <w:qFormat/>
    <w:uiPriority w:val="0"/>
    <w:rPr>
      <w:rFonts w:hint="default" w:ascii="FZLTSK--GBK1-0" w:hAnsi="FZLTSK--GBK1-0"/>
      <w:color w:val="000000"/>
      <w:sz w:val="20"/>
      <w:szCs w:val="20"/>
    </w:rPr>
  </w:style>
  <w:style w:type="paragraph" w:customStyle="1" w:styleId="218">
    <w:name w:val="_Style 198"/>
    <w:basedOn w:val="1"/>
    <w:qFormat/>
    <w:uiPriority w:val="34"/>
    <w:pPr>
      <w:widowControl w:val="0"/>
      <w:ind w:firstLine="420" w:firstLineChars="200"/>
      <w:jc w:val="both"/>
    </w:pPr>
    <w:rPr>
      <w:rFonts w:ascii="Calibri" w:hAnsi="Calibri" w:cs="Times New Roman"/>
      <w:kern w:val="2"/>
      <w:szCs w:val="22"/>
    </w:rPr>
  </w:style>
  <w:style w:type="character" w:customStyle="1" w:styleId="219">
    <w:name w:val="_Style 199"/>
    <w:qFormat/>
    <w:uiPriority w:val="99"/>
    <w:rPr>
      <w:rFonts w:ascii="Times New Roman" w:hAnsi="Times New Roman"/>
      <w:kern w:val="2"/>
      <w:sz w:val="21"/>
      <w:szCs w:val="21"/>
    </w:rPr>
  </w:style>
  <w:style w:type="character" w:customStyle="1" w:styleId="220">
    <w:name w:val="_Style 200"/>
    <w:qFormat/>
    <w:uiPriority w:val="9"/>
    <w:rPr>
      <w:b/>
      <w:bCs/>
      <w:kern w:val="2"/>
      <w:sz w:val="21"/>
      <w:szCs w:val="28"/>
    </w:rPr>
  </w:style>
  <w:style w:type="character" w:customStyle="1" w:styleId="221">
    <w:name w:val="_Style 201"/>
    <w:semiHidden/>
    <w:qFormat/>
    <w:locked/>
    <w:uiPriority w:val="99"/>
    <w:rPr>
      <w:rFonts w:ascii="Times New Roman" w:hAnsi="Times New Roman"/>
      <w:kern w:val="2"/>
      <w:sz w:val="21"/>
      <w:szCs w:val="21"/>
    </w:rPr>
  </w:style>
  <w:style w:type="character" w:customStyle="1" w:styleId="222">
    <w:name w:val="_Style 202"/>
    <w:qFormat/>
    <w:uiPriority w:val="0"/>
    <w:rPr>
      <w:rFonts w:ascii="Arial" w:hAnsi="Arial"/>
      <w:b/>
      <w:bCs/>
      <w:kern w:val="2"/>
      <w:sz w:val="21"/>
      <w:szCs w:val="21"/>
    </w:rPr>
  </w:style>
  <w:style w:type="character" w:customStyle="1" w:styleId="223">
    <w:name w:val="_Style 203"/>
    <w:qFormat/>
    <w:uiPriority w:val="99"/>
    <w:rPr>
      <w:rFonts w:ascii="Times New Roman" w:hAnsi="Times New Roman"/>
      <w:kern w:val="2"/>
      <w:sz w:val="21"/>
      <w:szCs w:val="21"/>
    </w:rPr>
  </w:style>
  <w:style w:type="character" w:customStyle="1" w:styleId="224">
    <w:name w:val="_Style 204"/>
    <w:qFormat/>
    <w:uiPriority w:val="9"/>
    <w:rPr>
      <w:b/>
      <w:bCs/>
      <w:kern w:val="2"/>
      <w:sz w:val="21"/>
      <w:szCs w:val="28"/>
    </w:rPr>
  </w:style>
  <w:style w:type="paragraph" w:customStyle="1" w:styleId="225">
    <w:name w:val="_Style 205"/>
    <w:basedOn w:val="1"/>
    <w:qFormat/>
    <w:uiPriority w:val="34"/>
    <w:pPr>
      <w:widowControl w:val="0"/>
      <w:ind w:firstLine="420" w:firstLineChars="200"/>
      <w:jc w:val="both"/>
    </w:pPr>
    <w:rPr>
      <w:rFonts w:ascii="Calibri" w:hAnsi="Calibri" w:cs="Times New Roman"/>
      <w:kern w:val="2"/>
      <w:szCs w:val="22"/>
    </w:rPr>
  </w:style>
  <w:style w:type="character" w:customStyle="1" w:styleId="226">
    <w:name w:val="_Style 206"/>
    <w:qFormat/>
    <w:uiPriority w:val="9"/>
    <w:rPr>
      <w:b/>
      <w:bCs/>
      <w:kern w:val="2"/>
      <w:sz w:val="21"/>
      <w:szCs w:val="32"/>
    </w:rPr>
  </w:style>
  <w:style w:type="character" w:customStyle="1" w:styleId="227">
    <w:name w:val="_Style 207"/>
    <w:qFormat/>
    <w:uiPriority w:val="9"/>
    <w:rPr>
      <w:b/>
      <w:bCs/>
      <w:kern w:val="2"/>
      <w:sz w:val="21"/>
      <w:szCs w:val="32"/>
    </w:rPr>
  </w:style>
  <w:style w:type="character" w:customStyle="1" w:styleId="228">
    <w:name w:val="_Style 208"/>
    <w:qFormat/>
    <w:uiPriority w:val="0"/>
    <w:rPr>
      <w:rFonts w:ascii="Times New Roman" w:hAnsi="Times New Roman"/>
      <w:kern w:val="2"/>
      <w:sz w:val="21"/>
      <w:szCs w:val="21"/>
    </w:rPr>
  </w:style>
  <w:style w:type="paragraph" w:customStyle="1" w:styleId="229">
    <w:name w:val="_Style 213"/>
    <w:basedOn w:val="61"/>
    <w:next w:val="1"/>
    <w:semiHidden/>
    <w:unhideWhenUsed/>
    <w:qFormat/>
    <w:uiPriority w:val="0"/>
    <w:pPr>
      <w:keepNext/>
      <w:keepLines/>
      <w:widowControl w:val="0"/>
      <w:spacing w:before="60" w:after="60"/>
      <w:jc w:val="both"/>
      <w:outlineLvl w:val="2"/>
    </w:pPr>
    <w:rPr>
      <w:rFonts w:ascii="Calibri" w:hAnsi="Calibri" w:cs="Times New Roman"/>
      <w:b/>
      <w:bCs/>
      <w:kern w:val="2"/>
      <w:szCs w:val="32"/>
    </w:rPr>
  </w:style>
  <w:style w:type="paragraph" w:customStyle="1" w:styleId="230">
    <w:name w:val="_Style 217"/>
    <w:basedOn w:val="61"/>
    <w:next w:val="1"/>
    <w:semiHidden/>
    <w:unhideWhenUsed/>
    <w:qFormat/>
    <w:uiPriority w:val="0"/>
    <w:pPr>
      <w:keepNext/>
      <w:keepLines/>
      <w:spacing w:before="240" w:after="64" w:line="320" w:lineRule="auto"/>
      <w:outlineLvl w:val="6"/>
    </w:pPr>
    <w:rPr>
      <w:b/>
      <w:bCs/>
      <w:sz w:val="24"/>
    </w:rPr>
  </w:style>
  <w:style w:type="character" w:customStyle="1" w:styleId="231">
    <w:name w:val="_Style 218"/>
    <w:semiHidden/>
    <w:qFormat/>
    <w:uiPriority w:val="0"/>
  </w:style>
  <w:style w:type="table" w:customStyle="1" w:styleId="232">
    <w:name w:val="_Style 219"/>
    <w:semiHidden/>
    <w:qFormat/>
    <w:uiPriority w:val="0"/>
    <w:tblPr>
      <w:tblCellMar>
        <w:top w:w="0" w:type="dxa"/>
        <w:left w:w="108" w:type="dxa"/>
        <w:bottom w:w="0" w:type="dxa"/>
        <w:right w:w="108" w:type="dxa"/>
      </w:tblCellMar>
    </w:tblPr>
  </w:style>
  <w:style w:type="paragraph" w:customStyle="1" w:styleId="233">
    <w:name w:val="_Style 220"/>
    <w:basedOn w:val="61"/>
    <w:next w:val="1"/>
    <w:qFormat/>
    <w:uiPriority w:val="0"/>
    <w:pPr>
      <w:widowControl w:val="0"/>
      <w:ind w:left="2520" w:leftChars="1200"/>
      <w:jc w:val="both"/>
    </w:pPr>
    <w:rPr>
      <w:rFonts w:asciiTheme="minorHAnsi" w:hAnsiTheme="minorHAnsi" w:eastAsiaTheme="minorEastAsia" w:cstheme="minorBidi"/>
      <w:kern w:val="2"/>
      <w:szCs w:val="22"/>
    </w:rPr>
  </w:style>
  <w:style w:type="paragraph" w:customStyle="1" w:styleId="234">
    <w:name w:val="_Style 222"/>
    <w:basedOn w:val="61"/>
    <w:qFormat/>
    <w:uiPriority w:val="0"/>
    <w:pPr>
      <w:widowControl w:val="0"/>
      <w:ind w:firstLine="420" w:firstLineChars="200"/>
      <w:jc w:val="both"/>
    </w:pPr>
    <w:rPr>
      <w:rFonts w:ascii="Times New Roman" w:hAnsi="Times New Roman" w:cs="Times New Roman"/>
      <w:kern w:val="2"/>
      <w:szCs w:val="21"/>
    </w:rPr>
  </w:style>
  <w:style w:type="paragraph" w:customStyle="1" w:styleId="235">
    <w:name w:val="_Style 225"/>
    <w:basedOn w:val="61"/>
    <w:qFormat/>
    <w:uiPriority w:val="0"/>
    <w:pPr>
      <w:widowControl w:val="0"/>
    </w:pPr>
    <w:rPr>
      <w:rFonts w:ascii="Times New Roman" w:hAnsi="Times New Roman" w:cs="Times New Roman"/>
      <w:kern w:val="2"/>
      <w:szCs w:val="21"/>
    </w:rPr>
  </w:style>
  <w:style w:type="paragraph" w:customStyle="1" w:styleId="236">
    <w:name w:val="_Style 227"/>
    <w:basedOn w:val="61"/>
    <w:qFormat/>
    <w:uiPriority w:val="0"/>
    <w:pPr>
      <w:widowControl w:val="0"/>
      <w:tabs>
        <w:tab w:val="left" w:pos="1200"/>
      </w:tabs>
      <w:jc w:val="both"/>
    </w:pPr>
    <w:rPr>
      <w:rFonts w:ascii="Times New Roman" w:hAnsi="Times New Roman" w:cs="Times New Roman"/>
      <w:kern w:val="2"/>
      <w:szCs w:val="21"/>
    </w:rPr>
  </w:style>
  <w:style w:type="paragraph" w:customStyle="1" w:styleId="237">
    <w:name w:val="_Style 229"/>
    <w:qFormat/>
    <w:uiPriority w:val="0"/>
    <w:pPr>
      <w:ind w:firstLine="555"/>
    </w:pPr>
    <w:rPr>
      <w:rFonts w:ascii="宋体" w:hAnsi="宋体" w:eastAsia="宋体" w:cs="Times New Roman"/>
      <w:kern w:val="2"/>
      <w:sz w:val="21"/>
      <w:szCs w:val="24"/>
      <w:lang w:val="en-US" w:eastAsia="zh-CN" w:bidi="ar-SA"/>
    </w:rPr>
  </w:style>
  <w:style w:type="paragraph" w:customStyle="1" w:styleId="238">
    <w:name w:val="_Style 231"/>
    <w:basedOn w:val="61"/>
    <w:next w:val="1"/>
    <w:qFormat/>
    <w:uiPriority w:val="0"/>
    <w:pPr>
      <w:spacing w:after="100" w:line="276" w:lineRule="auto"/>
      <w:ind w:left="440"/>
    </w:pPr>
    <w:rPr>
      <w:rFonts w:ascii="Calibri" w:hAnsi="Calibri" w:cs="Times New Roman"/>
      <w:sz w:val="22"/>
      <w:szCs w:val="22"/>
    </w:rPr>
  </w:style>
  <w:style w:type="paragraph" w:customStyle="1" w:styleId="239">
    <w:name w:val="_Style 238"/>
    <w:basedOn w:val="61"/>
    <w:next w:val="1"/>
    <w:qFormat/>
    <w:uiPriority w:val="0"/>
    <w:pPr>
      <w:ind w:firstLine="420" w:firstLineChars="200"/>
    </w:pPr>
    <w:rPr>
      <w:rFonts w:cs="Times New Roman"/>
      <w:color w:val="000000"/>
      <w:szCs w:val="21"/>
    </w:rPr>
  </w:style>
  <w:style w:type="paragraph" w:customStyle="1" w:styleId="240">
    <w:name w:val="_Style 240"/>
    <w:basedOn w:val="235"/>
    <w:next w:val="11"/>
    <w:qFormat/>
    <w:uiPriority w:val="0"/>
    <w:rPr>
      <w:rFonts w:ascii="Calibri" w:hAnsi="Calibri"/>
      <w:b/>
      <w:bCs/>
      <w:szCs w:val="22"/>
    </w:rPr>
  </w:style>
  <w:style w:type="paragraph" w:customStyle="1" w:styleId="241">
    <w:name w:val="_Style 241"/>
    <w:basedOn w:val="154"/>
    <w:qFormat/>
    <w:uiPriority w:val="0"/>
    <w:pPr>
      <w:spacing w:line="560" w:lineRule="exact"/>
      <w:ind w:firstLine="721" w:firstLineChars="200"/>
    </w:pPr>
    <w:rPr>
      <w:rFonts w:ascii="Calibri" w:hAnsi="Calibri" w:eastAsia="仿宋_GB2312"/>
      <w:sz w:val="32"/>
      <w:szCs w:val="22"/>
    </w:rPr>
  </w:style>
  <w:style w:type="table" w:customStyle="1" w:styleId="242">
    <w:name w:val="_Style 242"/>
    <w:basedOn w:val="23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3">
    <w:name w:val="_Style 243"/>
    <w:basedOn w:val="231"/>
    <w:qFormat/>
    <w:uiPriority w:val="0"/>
    <w:rPr>
      <w:vertAlign w:val="superscript"/>
    </w:rPr>
  </w:style>
  <w:style w:type="character" w:customStyle="1" w:styleId="244">
    <w:name w:val="_Style 244"/>
    <w:basedOn w:val="231"/>
    <w:qFormat/>
    <w:uiPriority w:val="0"/>
    <w:rPr>
      <w:rFonts w:cs="Times New Roman"/>
      <w:color w:val="0000FF"/>
      <w:u w:val="single"/>
    </w:rPr>
  </w:style>
  <w:style w:type="character" w:customStyle="1" w:styleId="245">
    <w:name w:val="_Style 245"/>
    <w:basedOn w:val="231"/>
    <w:link w:val="44"/>
    <w:qFormat/>
    <w:uiPriority w:val="0"/>
    <w:rPr>
      <w:rFonts w:eastAsia="宋体" w:cs="Times New Roman"/>
      <w:kern w:val="2"/>
      <w:sz w:val="21"/>
      <w:szCs w:val="21"/>
      <w:lang w:val="en-US" w:eastAsia="zh-CN" w:bidi="ar-SA"/>
    </w:rPr>
  </w:style>
  <w:style w:type="paragraph" w:customStyle="1" w:styleId="246">
    <w:name w:val="_Style 246"/>
    <w:basedOn w:val="61"/>
    <w:next w:val="1"/>
    <w:qFormat/>
    <w:uiPriority w:val="0"/>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247">
    <w:name w:val="_Style 247"/>
    <w:basedOn w:val="61"/>
    <w:qFormat/>
    <w:uiPriority w:val="99"/>
    <w:pPr>
      <w:overflowPunct/>
      <w:autoSpaceDE/>
      <w:autoSpaceDN/>
      <w:adjustRightInd/>
      <w:snapToGrid/>
    </w:pPr>
    <w:rPr>
      <w:rFonts w:ascii="Times New Roman" w:hAnsi="Times New Roman"/>
      <w:snapToGrid/>
      <w:kern w:val="2"/>
      <w:sz w:val="21"/>
    </w:rPr>
  </w:style>
  <w:style w:type="character" w:customStyle="1" w:styleId="248">
    <w:name w:val="_Style 248"/>
    <w:basedOn w:val="231"/>
    <w:qFormat/>
    <w:uiPriority w:val="99"/>
    <w:rPr>
      <w:rFonts w:eastAsia="黑体"/>
      <w:b/>
      <w:bCs/>
      <w:kern w:val="44"/>
      <w:sz w:val="28"/>
      <w:szCs w:val="44"/>
    </w:rPr>
  </w:style>
  <w:style w:type="paragraph" w:customStyle="1" w:styleId="249">
    <w:name w:val="_Style 249"/>
    <w:basedOn w:val="61"/>
    <w:next w:val="1"/>
    <w:semiHidden/>
    <w:unhideWhenUsed/>
    <w:qFormat/>
    <w:uiPriority w:val="0"/>
    <w:pPr>
      <w:keepNext/>
      <w:keepLines/>
      <w:widowControl w:val="0"/>
      <w:spacing w:before="60" w:after="60"/>
      <w:jc w:val="both"/>
      <w:outlineLvl w:val="2"/>
    </w:pPr>
    <w:rPr>
      <w:rFonts w:ascii="Calibri" w:hAnsi="Calibri" w:cs="Times New Roman"/>
      <w:b/>
      <w:bCs/>
      <w:kern w:val="2"/>
      <w:szCs w:val="32"/>
    </w:rPr>
  </w:style>
  <w:style w:type="character" w:customStyle="1" w:styleId="250">
    <w:name w:val="_Style 250"/>
    <w:basedOn w:val="231"/>
    <w:qFormat/>
    <w:uiPriority w:val="0"/>
    <w:rPr>
      <w:rFonts w:ascii="Arial" w:hAnsi="Arial"/>
      <w:b/>
      <w:bCs/>
      <w:kern w:val="2"/>
      <w:sz w:val="21"/>
      <w:szCs w:val="21"/>
    </w:rPr>
  </w:style>
  <w:style w:type="paragraph" w:customStyle="1" w:styleId="251">
    <w:name w:val="_Style 251"/>
    <w:basedOn w:val="61"/>
    <w:next w:val="1"/>
    <w:semiHidden/>
    <w:unhideWhenUsed/>
    <w:qFormat/>
    <w:uiPriority w:val="0"/>
    <w:pPr>
      <w:keepNext/>
      <w:keepLines/>
      <w:widowControl w:val="0"/>
      <w:spacing w:before="60" w:after="60"/>
      <w:jc w:val="both"/>
      <w:outlineLvl w:val="3"/>
    </w:pPr>
    <w:rPr>
      <w:rFonts w:cs="Times New Roman" w:asciiTheme="minorEastAsia" w:hAnsiTheme="minorEastAsia" w:eastAsiaTheme="minorEastAsia"/>
      <w:b/>
      <w:bCs/>
      <w:kern w:val="2"/>
      <w:szCs w:val="28"/>
    </w:rPr>
  </w:style>
  <w:style w:type="character" w:customStyle="1" w:styleId="252">
    <w:name w:val="_Style 252"/>
    <w:basedOn w:val="231"/>
    <w:qFormat/>
    <w:uiPriority w:val="9"/>
    <w:rPr>
      <w:b/>
      <w:bCs/>
      <w:kern w:val="2"/>
      <w:sz w:val="21"/>
      <w:szCs w:val="32"/>
    </w:rPr>
  </w:style>
  <w:style w:type="paragraph" w:customStyle="1" w:styleId="253">
    <w:name w:val="_Style 253"/>
    <w:basedOn w:val="61"/>
    <w:next w:val="1"/>
    <w:semiHidden/>
    <w:unhideWhenUsed/>
    <w:qFormat/>
    <w:uiPriority w:val="0"/>
    <w:pPr>
      <w:keepNext/>
      <w:keepLines/>
      <w:widowControl w:val="0"/>
      <w:spacing w:before="60" w:after="60"/>
      <w:ind w:left="50" w:leftChars="50"/>
      <w:jc w:val="both"/>
      <w:outlineLvl w:val="4"/>
    </w:pPr>
    <w:rPr>
      <w:rFonts w:ascii="Calibri" w:hAnsi="Calibri" w:cs="Times New Roman"/>
      <w:b/>
      <w:bCs/>
      <w:kern w:val="2"/>
      <w:szCs w:val="28"/>
    </w:rPr>
  </w:style>
  <w:style w:type="character" w:customStyle="1" w:styleId="254">
    <w:name w:val="_Style 254"/>
    <w:basedOn w:val="231"/>
    <w:link w:val="2"/>
    <w:qFormat/>
    <w:uiPriority w:val="9"/>
    <w:rPr>
      <w:rFonts w:asciiTheme="minorEastAsia" w:hAnsiTheme="minorEastAsia" w:eastAsiaTheme="minorEastAsia"/>
      <w:b/>
      <w:bCs/>
      <w:kern w:val="2"/>
      <w:sz w:val="21"/>
      <w:szCs w:val="28"/>
    </w:rPr>
  </w:style>
  <w:style w:type="character" w:customStyle="1" w:styleId="255">
    <w:name w:val="_Style 255"/>
    <w:basedOn w:val="231"/>
    <w:link w:val="54"/>
    <w:qFormat/>
    <w:uiPriority w:val="9"/>
    <w:rPr>
      <w:b/>
      <w:bCs/>
      <w:kern w:val="2"/>
      <w:sz w:val="21"/>
      <w:szCs w:val="28"/>
    </w:rPr>
  </w:style>
  <w:style w:type="paragraph" w:customStyle="1" w:styleId="256">
    <w:name w:val="_Style 256"/>
    <w:basedOn w:val="61"/>
    <w:qFormat/>
    <w:uiPriority w:val="0"/>
    <w:pPr>
      <w:widowControl w:val="0"/>
    </w:pPr>
    <w:rPr>
      <w:rFonts w:ascii="Times New Roman" w:hAnsi="Times New Roman" w:cs="Times New Roman"/>
      <w:kern w:val="2"/>
      <w:szCs w:val="21"/>
    </w:rPr>
  </w:style>
  <w:style w:type="paragraph" w:customStyle="1" w:styleId="257">
    <w:name w:val="_Style 257"/>
    <w:basedOn w:val="158"/>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258">
    <w:name w:val="_Style 258"/>
    <w:basedOn w:val="231"/>
    <w:qFormat/>
    <w:uiPriority w:val="0"/>
    <w:rPr>
      <w:rFonts w:ascii="Times New Roman" w:hAnsi="Times New Roman" w:cs="Times New Roman"/>
      <w:kern w:val="2"/>
      <w:szCs w:val="21"/>
    </w:rPr>
  </w:style>
  <w:style w:type="paragraph" w:customStyle="1" w:styleId="259">
    <w:name w:val="_Style 259"/>
    <w:basedOn w:val="61"/>
    <w:next w:val="1"/>
    <w:qFormat/>
    <w:uiPriority w:val="0"/>
    <w:pPr>
      <w:widowControl w:val="0"/>
      <w:jc w:val="both"/>
    </w:pPr>
    <w:rPr>
      <w:rFonts w:ascii="Times New Roman" w:hAnsi="Times New Roman" w:cs="Times New Roman"/>
      <w:kern w:val="2"/>
      <w:szCs w:val="21"/>
    </w:rPr>
  </w:style>
  <w:style w:type="character" w:customStyle="1" w:styleId="260">
    <w:name w:val="_Style 260"/>
    <w:basedOn w:val="231"/>
    <w:link w:val="24"/>
    <w:qFormat/>
    <w:uiPriority w:val="99"/>
    <w:rPr>
      <w:rFonts w:ascii="Calibri" w:hAnsi="Calibri" w:eastAsia="宋体" w:cs="Times New Roman"/>
      <w:sz w:val="18"/>
      <w:szCs w:val="18"/>
    </w:rPr>
  </w:style>
  <w:style w:type="character" w:customStyle="1" w:styleId="261">
    <w:name w:val="_Style 261"/>
    <w:basedOn w:val="231"/>
    <w:link w:val="12"/>
    <w:qFormat/>
    <w:uiPriority w:val="99"/>
    <w:rPr>
      <w:rFonts w:ascii="Times New Roman" w:hAnsi="Times New Roman" w:eastAsia="宋体" w:cs="Times New Roman"/>
      <w:szCs w:val="21"/>
    </w:rPr>
  </w:style>
  <w:style w:type="character" w:customStyle="1" w:styleId="262">
    <w:name w:val="_Style 262"/>
    <w:basedOn w:val="231"/>
    <w:qFormat/>
    <w:uiPriority w:val="99"/>
    <w:rPr>
      <w:rFonts w:eastAsia="宋体" w:cs="Times New Roman"/>
      <w:color w:val="FF0000"/>
      <w:kern w:val="2"/>
      <w:sz w:val="24"/>
      <w:szCs w:val="24"/>
      <w:lang w:val="en-US" w:eastAsia="zh-CN" w:bidi="ar-SA"/>
    </w:rPr>
  </w:style>
  <w:style w:type="paragraph" w:customStyle="1" w:styleId="263">
    <w:name w:val="_Style 263"/>
    <w:basedOn w:val="61"/>
    <w:qFormat/>
    <w:uiPriority w:val="99"/>
    <w:pPr>
      <w:spacing w:before="100" w:after="100"/>
      <w:jc w:val="right"/>
    </w:pPr>
    <w:rPr>
      <w:rFonts w:ascii="Arial Unicode MS" w:hAnsi="Times New Roman" w:eastAsia="Arial Unicode MS" w:cs="Times New Roman"/>
      <w:sz w:val="18"/>
      <w:szCs w:val="18"/>
    </w:rPr>
  </w:style>
  <w:style w:type="paragraph" w:customStyle="1" w:styleId="264">
    <w:name w:val="_Style 264"/>
    <w:basedOn w:val="61"/>
    <w:qFormat/>
    <w:uiPriority w:val="99"/>
    <w:pPr>
      <w:widowControl w:val="0"/>
      <w:ind w:firstLine="420" w:firstLineChars="200"/>
      <w:jc w:val="both"/>
    </w:pPr>
    <w:rPr>
      <w:rFonts w:ascii="Calibri" w:hAnsi="Calibri" w:cs="Times New Roman"/>
      <w:kern w:val="2"/>
      <w:szCs w:val="22"/>
    </w:rPr>
  </w:style>
  <w:style w:type="character" w:customStyle="1" w:styleId="265">
    <w:name w:val="_Style 265"/>
    <w:basedOn w:val="258"/>
    <w:qFormat/>
    <w:uiPriority w:val="99"/>
    <w:rPr>
      <w:rFonts w:ascii="Calibri" w:hAnsi="Calibri"/>
      <w:b/>
      <w:bCs/>
      <w:szCs w:val="22"/>
    </w:rPr>
  </w:style>
  <w:style w:type="paragraph" w:customStyle="1" w:styleId="266">
    <w:name w:val="_Style 266"/>
    <w:basedOn w:val="61"/>
    <w:qFormat/>
    <w:uiPriority w:val="0"/>
    <w:pPr>
      <w:widowControl w:val="0"/>
      <w:tabs>
        <w:tab w:val="center" w:pos="4153"/>
        <w:tab w:val="right" w:pos="8306"/>
      </w:tabs>
      <w:snapToGrid w:val="0"/>
    </w:pPr>
    <w:rPr>
      <w:rFonts w:ascii="Calibri" w:hAnsi="Calibri" w:cs="Times New Roman"/>
      <w:kern w:val="2"/>
      <w:sz w:val="18"/>
      <w:szCs w:val="18"/>
    </w:rPr>
  </w:style>
  <w:style w:type="character" w:customStyle="1" w:styleId="267">
    <w:name w:val="_Style 267"/>
    <w:basedOn w:val="231"/>
    <w:qFormat/>
    <w:uiPriority w:val="99"/>
    <w:rPr>
      <w:rFonts w:ascii="Calibri" w:hAnsi="Calibri" w:cs="Times New Roman"/>
      <w:kern w:val="2"/>
      <w:sz w:val="18"/>
      <w:szCs w:val="18"/>
    </w:rPr>
  </w:style>
  <w:style w:type="paragraph" w:customStyle="1" w:styleId="268">
    <w:name w:val="_Style 268"/>
    <w:basedOn w:val="61"/>
    <w:qFormat/>
    <w:uiPriority w:val="0"/>
    <w:pPr>
      <w:widowControl w:val="0"/>
      <w:jc w:val="both"/>
    </w:pPr>
    <w:rPr>
      <w:rFonts w:hAnsi="Courier New" w:cs="Times New Roman"/>
      <w:kern w:val="2"/>
      <w:szCs w:val="20"/>
    </w:rPr>
  </w:style>
  <w:style w:type="character" w:customStyle="1" w:styleId="269">
    <w:name w:val="_Style 269"/>
    <w:basedOn w:val="231"/>
    <w:link w:val="25"/>
    <w:qFormat/>
    <w:uiPriority w:val="99"/>
    <w:rPr>
      <w:rFonts w:ascii="Calibri" w:hAnsi="Calibri" w:eastAsia="宋体" w:cs="Times New Roman"/>
      <w:sz w:val="18"/>
      <w:szCs w:val="18"/>
    </w:rPr>
  </w:style>
  <w:style w:type="character" w:customStyle="1" w:styleId="270">
    <w:name w:val="_Style 270"/>
    <w:basedOn w:val="231"/>
    <w:qFormat/>
    <w:uiPriority w:val="0"/>
    <w:rPr>
      <w:rFonts w:ascii="宋体" w:hAnsi="Courier New" w:eastAsia="宋体" w:cs="Times New Roman"/>
      <w:szCs w:val="20"/>
    </w:rPr>
  </w:style>
  <w:style w:type="paragraph" w:customStyle="1" w:styleId="271">
    <w:name w:val="_Style 271"/>
    <w:basedOn w:val="61"/>
    <w:qFormat/>
    <w:uiPriority w:val="99"/>
    <w:pPr>
      <w:widowControl w:val="0"/>
      <w:spacing w:after="120"/>
      <w:jc w:val="both"/>
    </w:pPr>
    <w:rPr>
      <w:rFonts w:ascii="Times New Roman" w:hAnsi="Times New Roman" w:cs="Times New Roman"/>
      <w:kern w:val="2"/>
      <w:szCs w:val="21"/>
    </w:rPr>
  </w:style>
  <w:style w:type="character" w:customStyle="1" w:styleId="272">
    <w:name w:val="_Style 272"/>
    <w:basedOn w:val="231"/>
    <w:qFormat/>
    <w:uiPriority w:val="0"/>
    <w:rPr>
      <w:rFonts w:eastAsia="宋体" w:cs="Times New Roman"/>
      <w:kern w:val="2"/>
      <w:sz w:val="24"/>
      <w:szCs w:val="24"/>
      <w:lang w:val="en-US" w:eastAsia="zh-CN" w:bidi="ar-SA"/>
    </w:rPr>
  </w:style>
  <w:style w:type="character" w:customStyle="1" w:styleId="273">
    <w:name w:val="_Style 273"/>
    <w:basedOn w:val="231"/>
    <w:link w:val="74"/>
    <w:qFormat/>
    <w:uiPriority w:val="99"/>
    <w:rPr>
      <w:rFonts w:ascii="Times New Roman" w:hAnsi="Times New Roman" w:eastAsia="宋体" w:cs="Times New Roman"/>
      <w:szCs w:val="21"/>
    </w:rPr>
  </w:style>
  <w:style w:type="paragraph" w:customStyle="1" w:styleId="274">
    <w:name w:val="_Style 274"/>
    <w:basedOn w:val="61"/>
    <w:next w:val="1"/>
    <w:qFormat/>
    <w:uiPriority w:val="0"/>
    <w:pPr>
      <w:widowControl w:val="0"/>
      <w:ind w:left="100" w:leftChars="2500"/>
      <w:jc w:val="both"/>
    </w:pPr>
    <w:rPr>
      <w:rFonts w:ascii="Times New Roman" w:hAnsi="Times New Roman" w:cs="Times New Roman"/>
      <w:kern w:val="2"/>
      <w:szCs w:val="21"/>
    </w:rPr>
  </w:style>
  <w:style w:type="paragraph" w:customStyle="1" w:styleId="275">
    <w:name w:val="_Style 275"/>
    <w:basedOn w:val="6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276">
    <w:name w:val="_Style 276"/>
    <w:basedOn w:val="231"/>
    <w:link w:val="22"/>
    <w:qFormat/>
    <w:uiPriority w:val="99"/>
    <w:rPr>
      <w:rFonts w:ascii="Times New Roman" w:hAnsi="Times New Roman" w:eastAsia="宋体" w:cs="Times New Roman"/>
      <w:szCs w:val="21"/>
    </w:rPr>
  </w:style>
  <w:style w:type="character" w:customStyle="1" w:styleId="277">
    <w:name w:val="_Style 277"/>
    <w:basedOn w:val="231"/>
    <w:link w:val="7"/>
    <w:qFormat/>
    <w:uiPriority w:val="99"/>
    <w:rPr>
      <w:rFonts w:ascii="Times New Roman" w:hAnsi="Times New Roman" w:eastAsia="宋体" w:cs="Times New Roman"/>
      <w:szCs w:val="21"/>
    </w:rPr>
  </w:style>
  <w:style w:type="paragraph" w:customStyle="1" w:styleId="278">
    <w:name w:val="_Style 278"/>
    <w:basedOn w:val="6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279">
    <w:name w:val="_Style 279"/>
    <w:semiHidden/>
    <w:qFormat/>
    <w:uiPriority w:val="99"/>
    <w:rPr>
      <w:rFonts w:ascii="Calibri" w:hAnsi="Calibri" w:eastAsia="宋体" w:cs="Times New Roman"/>
      <w:kern w:val="2"/>
      <w:sz w:val="21"/>
      <w:szCs w:val="22"/>
      <w:lang w:val="en-US" w:eastAsia="zh-CN" w:bidi="ar-SA"/>
    </w:rPr>
  </w:style>
  <w:style w:type="character" w:customStyle="1" w:styleId="280">
    <w:name w:val="_Style 280"/>
    <w:basedOn w:val="231"/>
    <w:link w:val="81"/>
    <w:qFormat/>
    <w:uiPriority w:val="0"/>
    <w:rPr>
      <w:kern w:val="2"/>
      <w:sz w:val="21"/>
      <w:szCs w:val="24"/>
    </w:rPr>
  </w:style>
  <w:style w:type="paragraph" w:customStyle="1" w:styleId="281">
    <w:name w:val="_Style 281"/>
    <w:basedOn w:val="61"/>
    <w:qFormat/>
    <w:uiPriority w:val="0"/>
    <w:pPr>
      <w:widowControl w:val="0"/>
      <w:jc w:val="both"/>
    </w:pPr>
    <w:rPr>
      <w:rFonts w:hAnsi="Calibri" w:cs="Times New Roman"/>
      <w:kern w:val="2"/>
      <w:sz w:val="18"/>
      <w:szCs w:val="18"/>
    </w:rPr>
  </w:style>
  <w:style w:type="paragraph" w:customStyle="1" w:styleId="282">
    <w:name w:val="_Style 282"/>
    <w:basedOn w:val="61"/>
    <w:qFormat/>
    <w:uiPriority w:val="0"/>
    <w:pPr>
      <w:widowControl w:val="0"/>
      <w:spacing w:before="100" w:after="100"/>
      <w:jc w:val="both"/>
    </w:pPr>
    <w:rPr>
      <w:rFonts w:ascii="Calibri" w:hAnsi="Calibri" w:cs="Times New Roman"/>
      <w:kern w:val="2"/>
    </w:rPr>
  </w:style>
  <w:style w:type="character" w:customStyle="1" w:styleId="283">
    <w:name w:val="_Style 283"/>
    <w:basedOn w:val="231"/>
    <w:semiHidden/>
    <w:qFormat/>
    <w:uiPriority w:val="99"/>
    <w:rPr>
      <w:rFonts w:ascii="宋体"/>
      <w:kern w:val="2"/>
      <w:sz w:val="18"/>
      <w:szCs w:val="18"/>
    </w:rPr>
  </w:style>
  <w:style w:type="paragraph" w:customStyle="1" w:styleId="284">
    <w:name w:val="_Style 284"/>
    <w:basedOn w:val="61"/>
    <w:next w:val="1"/>
    <w:qFormat/>
    <w:uiPriority w:val="0"/>
    <w:pPr>
      <w:widowControl w:val="0"/>
      <w:spacing w:before="240" w:after="60"/>
      <w:jc w:val="center"/>
      <w:outlineLvl w:val="0"/>
    </w:pPr>
    <w:rPr>
      <w:rFonts w:asciiTheme="majorHAnsi" w:hAnsiTheme="majorHAnsi" w:cstheme="majorBidi"/>
      <w:b/>
      <w:bCs/>
      <w:kern w:val="2"/>
      <w:sz w:val="32"/>
      <w:szCs w:val="32"/>
    </w:rPr>
  </w:style>
  <w:style w:type="character" w:customStyle="1" w:styleId="285">
    <w:name w:val="_Style 285"/>
    <w:basedOn w:val="231"/>
    <w:semiHidden/>
    <w:qFormat/>
    <w:uiPriority w:val="99"/>
    <w:rPr>
      <w:color w:val="auto"/>
    </w:rPr>
  </w:style>
  <w:style w:type="character" w:customStyle="1" w:styleId="286">
    <w:name w:val="_Style 286"/>
    <w:basedOn w:val="231"/>
    <w:link w:val="87"/>
    <w:qFormat/>
    <w:uiPriority w:val="10"/>
    <w:rPr>
      <w:rFonts w:asciiTheme="majorHAnsi" w:hAnsiTheme="majorHAnsi" w:cstheme="majorBidi"/>
      <w:b/>
      <w:bCs/>
      <w:kern w:val="2"/>
      <w:sz w:val="32"/>
      <w:szCs w:val="32"/>
    </w:rPr>
  </w:style>
  <w:style w:type="paragraph" w:customStyle="1" w:styleId="287">
    <w:name w:val="_Style 287"/>
    <w:basedOn w:val="61"/>
    <w:next w:val="1"/>
    <w:semiHidden/>
    <w:unhideWhenUsed/>
    <w:qFormat/>
    <w:uiPriority w:val="0"/>
    <w:pPr>
      <w:keepNext/>
      <w:keepLines/>
      <w:spacing w:before="60" w:after="60"/>
      <w:ind w:left="50" w:leftChars="50"/>
      <w:outlineLvl w:val="5"/>
    </w:pPr>
    <w:rPr>
      <w:rFonts w:asciiTheme="majorHAnsi" w:hAnsiTheme="majorHAnsi" w:cstheme="majorBidi"/>
      <w:b/>
      <w:bCs/>
    </w:rPr>
  </w:style>
  <w:style w:type="paragraph" w:customStyle="1" w:styleId="288">
    <w:name w:val="_Style 288"/>
    <w:qFormat/>
    <w:uiPriority w:val="1"/>
    <w:pPr>
      <w:widowControl w:val="0"/>
      <w:jc w:val="both"/>
    </w:pPr>
    <w:rPr>
      <w:rFonts w:ascii="Calibri" w:hAnsi="Calibri" w:eastAsia="宋体" w:cs="Times New Roman"/>
      <w:kern w:val="2"/>
      <w:sz w:val="21"/>
      <w:szCs w:val="22"/>
      <w:lang w:val="en-US" w:eastAsia="zh-CN" w:bidi="ar-SA"/>
    </w:rPr>
  </w:style>
  <w:style w:type="character" w:customStyle="1" w:styleId="289">
    <w:name w:val="_Style 289"/>
    <w:basedOn w:val="231"/>
    <w:link w:val="4"/>
    <w:qFormat/>
    <w:uiPriority w:val="9"/>
    <w:rPr>
      <w:rFonts w:asciiTheme="majorHAnsi" w:hAnsiTheme="majorHAnsi" w:cstheme="majorBidi"/>
      <w:b/>
      <w:bCs/>
      <w:sz w:val="21"/>
      <w:szCs w:val="24"/>
    </w:rPr>
  </w:style>
  <w:style w:type="character" w:customStyle="1" w:styleId="290">
    <w:name w:val="_Style 290"/>
    <w:basedOn w:val="231"/>
    <w:link w:val="23"/>
    <w:semiHidden/>
    <w:qFormat/>
    <w:uiPriority w:val="99"/>
    <w:rPr>
      <w:rFonts w:ascii="宋体" w:hAnsi="宋体" w:cs="宋体"/>
      <w:sz w:val="21"/>
      <w:szCs w:val="24"/>
    </w:rPr>
  </w:style>
  <w:style w:type="character" w:customStyle="1" w:styleId="291">
    <w:name w:val="_Style 291"/>
    <w:basedOn w:val="258"/>
    <w:semiHidden/>
    <w:qFormat/>
    <w:uiPriority w:val="99"/>
    <w:rPr>
      <w:rFonts w:ascii="Times New Roman" w:hAnsi="Times New Roman" w:eastAsia="宋体" w:cs="Times New Roman"/>
      <w:b/>
      <w:bCs/>
      <w:szCs w:val="21"/>
    </w:rPr>
  </w:style>
  <w:style w:type="character" w:customStyle="1" w:styleId="292">
    <w:name w:val="_Style 292"/>
    <w:basedOn w:val="231"/>
    <w:link w:val="94"/>
    <w:qFormat/>
    <w:uiPriority w:val="0"/>
  </w:style>
  <w:style w:type="paragraph" w:customStyle="1" w:styleId="293">
    <w:name w:val="_Style 293"/>
    <w:basedOn w:val="61"/>
    <w:next w:val="1"/>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294">
    <w:name w:val="_Style 295"/>
    <w:basedOn w:val="231"/>
    <w:qFormat/>
    <w:uiPriority w:val="0"/>
    <w:rPr>
      <w:rFonts w:ascii="Times New Roman" w:hAnsi="Times New Roman"/>
      <w:b/>
      <w:kern w:val="2"/>
      <w:sz w:val="21"/>
      <w:szCs w:val="24"/>
    </w:rPr>
  </w:style>
  <w:style w:type="character" w:customStyle="1" w:styleId="295">
    <w:name w:val="_Style 296"/>
    <w:basedOn w:val="231"/>
    <w:link w:val="5"/>
    <w:qFormat/>
    <w:uiPriority w:val="9"/>
    <w:rPr>
      <w:rFonts w:ascii="宋体" w:hAnsi="宋体" w:cs="宋体"/>
      <w:b/>
      <w:bCs/>
      <w:sz w:val="24"/>
      <w:szCs w:val="24"/>
    </w:rPr>
  </w:style>
  <w:style w:type="character" w:customStyle="1" w:styleId="296">
    <w:name w:val="_Style 297"/>
    <w:basedOn w:val="258"/>
    <w:semiHidden/>
    <w:qFormat/>
    <w:uiPriority w:val="99"/>
    <w:rPr>
      <w:rFonts w:ascii="Times New Roman" w:hAnsi="Times New Roman" w:eastAsia="宋体" w:cs="Times New Roman"/>
      <w:b/>
      <w:bCs/>
      <w:szCs w:val="21"/>
    </w:rPr>
  </w:style>
  <w:style w:type="character" w:customStyle="1" w:styleId="297">
    <w:name w:val="_Style 298"/>
    <w:qFormat/>
    <w:uiPriority w:val="9"/>
    <w:rPr>
      <w:rFonts w:ascii="Cambria" w:hAnsi="Cambria"/>
      <w:b/>
      <w:bCs/>
      <w:kern w:val="2"/>
      <w:sz w:val="21"/>
      <w:szCs w:val="28"/>
    </w:rPr>
  </w:style>
  <w:style w:type="paragraph" w:customStyle="1" w:styleId="298">
    <w:name w:val="_Style 299"/>
    <w:basedOn w:val="61"/>
    <w:qFormat/>
    <w:uiPriority w:val="34"/>
    <w:pPr>
      <w:widowControl w:val="0"/>
      <w:ind w:firstLine="420" w:firstLineChars="200"/>
      <w:jc w:val="both"/>
    </w:pPr>
    <w:rPr>
      <w:rFonts w:ascii="Calibri" w:hAnsi="Calibri" w:cs="Times New Roman"/>
      <w:kern w:val="2"/>
      <w:szCs w:val="22"/>
    </w:rPr>
  </w:style>
  <w:style w:type="paragraph" w:customStyle="1" w:styleId="299">
    <w:name w:val="_Style 300"/>
    <w:basedOn w:val="61"/>
    <w:qFormat/>
    <w:uiPriority w:val="34"/>
    <w:pPr>
      <w:widowControl w:val="0"/>
      <w:ind w:firstLine="420" w:firstLineChars="200"/>
      <w:jc w:val="both"/>
    </w:pPr>
    <w:rPr>
      <w:rFonts w:ascii="Calibri" w:hAnsi="Calibri" w:cs="Times New Roman"/>
      <w:kern w:val="2"/>
      <w:szCs w:val="22"/>
    </w:rPr>
  </w:style>
  <w:style w:type="character" w:customStyle="1" w:styleId="300">
    <w:name w:val="_Style 301"/>
    <w:qFormat/>
    <w:uiPriority w:val="9"/>
    <w:rPr>
      <w:b/>
      <w:bCs/>
      <w:kern w:val="2"/>
      <w:sz w:val="21"/>
      <w:szCs w:val="32"/>
    </w:rPr>
  </w:style>
  <w:style w:type="paragraph" w:customStyle="1" w:styleId="301">
    <w:name w:val="_Style 302"/>
    <w:basedOn w:val="61"/>
    <w:qFormat/>
    <w:uiPriority w:val="34"/>
    <w:pPr>
      <w:widowControl w:val="0"/>
      <w:ind w:firstLine="420" w:firstLineChars="200"/>
      <w:jc w:val="both"/>
    </w:pPr>
    <w:rPr>
      <w:rFonts w:ascii="Calibri" w:hAnsi="Calibri" w:cs="Times New Roman"/>
      <w:kern w:val="2"/>
      <w:szCs w:val="22"/>
    </w:rPr>
  </w:style>
  <w:style w:type="paragraph" w:customStyle="1" w:styleId="302">
    <w:name w:val="_Style 303"/>
    <w:basedOn w:val="61"/>
    <w:qFormat/>
    <w:uiPriority w:val="34"/>
    <w:pPr>
      <w:widowControl w:val="0"/>
      <w:ind w:firstLine="420" w:firstLineChars="200"/>
      <w:jc w:val="both"/>
    </w:pPr>
    <w:rPr>
      <w:rFonts w:ascii="Calibri" w:hAnsi="Calibri" w:cs="Times New Roman"/>
      <w:kern w:val="2"/>
      <w:szCs w:val="22"/>
    </w:rPr>
  </w:style>
  <w:style w:type="paragraph" w:customStyle="1" w:styleId="303">
    <w:name w:val="_Style 304"/>
    <w:basedOn w:val="6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304">
    <w:name w:val="_Style 305"/>
    <w:qFormat/>
    <w:uiPriority w:val="0"/>
    <w:rPr>
      <w:rFonts w:ascii="Times New Roman" w:hAnsi="Times New Roman"/>
      <w:kern w:val="2"/>
      <w:sz w:val="21"/>
      <w:szCs w:val="21"/>
    </w:rPr>
  </w:style>
  <w:style w:type="character" w:customStyle="1" w:styleId="305">
    <w:name w:val="_Style 306"/>
    <w:qFormat/>
    <w:uiPriority w:val="9"/>
    <w:rPr>
      <w:b/>
      <w:bCs/>
      <w:kern w:val="2"/>
      <w:sz w:val="21"/>
      <w:szCs w:val="32"/>
    </w:rPr>
  </w:style>
  <w:style w:type="character" w:customStyle="1" w:styleId="306">
    <w:name w:val="_Style 307"/>
    <w:qFormat/>
    <w:uiPriority w:val="0"/>
    <w:rPr>
      <w:rFonts w:ascii="Arial" w:hAnsi="Arial"/>
      <w:b/>
      <w:bCs/>
      <w:kern w:val="2"/>
      <w:sz w:val="21"/>
      <w:szCs w:val="21"/>
    </w:rPr>
  </w:style>
  <w:style w:type="character" w:customStyle="1" w:styleId="307">
    <w:name w:val="_Style 308"/>
    <w:qFormat/>
    <w:uiPriority w:val="9"/>
    <w:rPr>
      <w:b/>
      <w:bCs/>
      <w:kern w:val="2"/>
      <w:sz w:val="21"/>
      <w:szCs w:val="28"/>
    </w:rPr>
  </w:style>
  <w:style w:type="paragraph" w:customStyle="1" w:styleId="308">
    <w:name w:val="_Style 309"/>
    <w:basedOn w:val="61"/>
    <w:qFormat/>
    <w:uiPriority w:val="34"/>
    <w:pPr>
      <w:widowControl w:val="0"/>
      <w:ind w:firstLine="420" w:firstLineChars="200"/>
      <w:jc w:val="both"/>
    </w:pPr>
    <w:rPr>
      <w:rFonts w:ascii="Calibri" w:hAnsi="Calibri" w:cs="Times New Roman"/>
      <w:kern w:val="2"/>
      <w:szCs w:val="22"/>
    </w:rPr>
  </w:style>
  <w:style w:type="character" w:customStyle="1" w:styleId="309">
    <w:name w:val="_Style 310"/>
    <w:qFormat/>
    <w:uiPriority w:val="99"/>
    <w:rPr>
      <w:rFonts w:ascii="Times New Roman" w:hAnsi="Times New Roman"/>
      <w:kern w:val="2"/>
      <w:sz w:val="21"/>
      <w:szCs w:val="21"/>
    </w:rPr>
  </w:style>
  <w:style w:type="character" w:customStyle="1" w:styleId="310">
    <w:name w:val="_Style 311"/>
    <w:qFormat/>
    <w:uiPriority w:val="0"/>
    <w:rPr>
      <w:rFonts w:hint="default" w:ascii="FZLTSK--GBK1-0" w:hAnsi="FZLTSK--GBK1-0"/>
      <w:color w:val="000000"/>
      <w:sz w:val="20"/>
      <w:szCs w:val="20"/>
    </w:rPr>
  </w:style>
  <w:style w:type="paragraph" w:customStyle="1" w:styleId="311">
    <w:name w:val="_Style 312"/>
    <w:basedOn w:val="61"/>
    <w:qFormat/>
    <w:uiPriority w:val="34"/>
    <w:pPr>
      <w:widowControl w:val="0"/>
      <w:ind w:firstLine="420" w:firstLineChars="200"/>
      <w:jc w:val="both"/>
    </w:pPr>
    <w:rPr>
      <w:rFonts w:ascii="Calibri" w:hAnsi="Calibri" w:cs="Times New Roman"/>
      <w:kern w:val="2"/>
      <w:szCs w:val="22"/>
    </w:rPr>
  </w:style>
  <w:style w:type="character" w:customStyle="1" w:styleId="312">
    <w:name w:val="_Style 313"/>
    <w:qFormat/>
    <w:uiPriority w:val="99"/>
    <w:rPr>
      <w:rFonts w:ascii="Times New Roman" w:hAnsi="Times New Roman"/>
      <w:kern w:val="2"/>
      <w:sz w:val="21"/>
      <w:szCs w:val="21"/>
    </w:rPr>
  </w:style>
  <w:style w:type="character" w:customStyle="1" w:styleId="313">
    <w:name w:val="_Style 314"/>
    <w:qFormat/>
    <w:uiPriority w:val="9"/>
    <w:rPr>
      <w:b/>
      <w:bCs/>
      <w:kern w:val="2"/>
      <w:sz w:val="21"/>
      <w:szCs w:val="28"/>
    </w:rPr>
  </w:style>
  <w:style w:type="character" w:customStyle="1" w:styleId="314">
    <w:name w:val="_Style 315"/>
    <w:semiHidden/>
    <w:qFormat/>
    <w:locked/>
    <w:uiPriority w:val="99"/>
    <w:rPr>
      <w:rFonts w:ascii="Times New Roman" w:hAnsi="Times New Roman"/>
      <w:kern w:val="2"/>
      <w:sz w:val="21"/>
      <w:szCs w:val="21"/>
    </w:rPr>
  </w:style>
  <w:style w:type="character" w:customStyle="1" w:styleId="315">
    <w:name w:val="_Style 316"/>
    <w:qFormat/>
    <w:uiPriority w:val="0"/>
    <w:rPr>
      <w:rFonts w:ascii="Arial" w:hAnsi="Arial"/>
      <w:b/>
      <w:bCs/>
      <w:kern w:val="2"/>
      <w:sz w:val="21"/>
      <w:szCs w:val="21"/>
    </w:rPr>
  </w:style>
  <w:style w:type="character" w:customStyle="1" w:styleId="316">
    <w:name w:val="_Style 317"/>
    <w:qFormat/>
    <w:uiPriority w:val="99"/>
    <w:rPr>
      <w:rFonts w:ascii="Times New Roman" w:hAnsi="Times New Roman"/>
      <w:kern w:val="2"/>
      <w:sz w:val="21"/>
      <w:szCs w:val="21"/>
    </w:rPr>
  </w:style>
  <w:style w:type="character" w:customStyle="1" w:styleId="317">
    <w:name w:val="_Style 318"/>
    <w:qFormat/>
    <w:uiPriority w:val="9"/>
    <w:rPr>
      <w:b/>
      <w:bCs/>
      <w:kern w:val="2"/>
      <w:sz w:val="21"/>
      <w:szCs w:val="28"/>
    </w:rPr>
  </w:style>
  <w:style w:type="paragraph" w:customStyle="1" w:styleId="318">
    <w:name w:val="_Style 319"/>
    <w:basedOn w:val="61"/>
    <w:qFormat/>
    <w:uiPriority w:val="34"/>
    <w:pPr>
      <w:widowControl w:val="0"/>
      <w:ind w:firstLine="420" w:firstLineChars="200"/>
      <w:jc w:val="both"/>
    </w:pPr>
    <w:rPr>
      <w:rFonts w:ascii="Calibri" w:hAnsi="Calibri" w:cs="Times New Roman"/>
      <w:kern w:val="2"/>
      <w:szCs w:val="22"/>
    </w:rPr>
  </w:style>
  <w:style w:type="character" w:customStyle="1" w:styleId="319">
    <w:name w:val="_Style 320"/>
    <w:qFormat/>
    <w:uiPriority w:val="9"/>
    <w:rPr>
      <w:b/>
      <w:bCs/>
      <w:kern w:val="2"/>
      <w:sz w:val="21"/>
      <w:szCs w:val="32"/>
    </w:rPr>
  </w:style>
  <w:style w:type="character" w:customStyle="1" w:styleId="320">
    <w:name w:val="_Style 321"/>
    <w:qFormat/>
    <w:uiPriority w:val="0"/>
    <w:rPr>
      <w:rFonts w:ascii="Times New Roman" w:hAnsi="Times New Roman"/>
      <w:kern w:val="2"/>
      <w:sz w:val="21"/>
      <w:szCs w:val="21"/>
    </w:rPr>
  </w:style>
  <w:style w:type="paragraph" w:customStyle="1" w:styleId="321">
    <w:name w:val="_Style 322"/>
    <w:basedOn w:val="61"/>
    <w:next w:val="1"/>
    <w:semiHidden/>
    <w:unhideWhenUsed/>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322">
    <w:name w:val="_Style 323"/>
    <w:basedOn w:val="61"/>
    <w:next w:val="1"/>
    <w:semiHidden/>
    <w:unhideWhenUsed/>
    <w:qFormat/>
    <w:uiPriority w:val="0"/>
    <w:pPr>
      <w:keepNext/>
      <w:keepLines/>
      <w:spacing w:before="240" w:after="64" w:line="320" w:lineRule="auto"/>
      <w:outlineLvl w:val="6"/>
    </w:pPr>
    <w:rPr>
      <w:b/>
      <w:bCs/>
      <w:sz w:val="24"/>
    </w:rPr>
  </w:style>
  <w:style w:type="character" w:customStyle="1" w:styleId="323">
    <w:name w:val="_Style 324"/>
    <w:semiHidden/>
    <w:qFormat/>
    <w:uiPriority w:val="0"/>
  </w:style>
  <w:style w:type="table" w:customStyle="1" w:styleId="324">
    <w:name w:val="_Style 325"/>
    <w:semiHidden/>
    <w:qFormat/>
    <w:uiPriority w:val="0"/>
    <w:tblPr>
      <w:tblCellMar>
        <w:top w:w="0" w:type="dxa"/>
        <w:left w:w="108" w:type="dxa"/>
        <w:bottom w:w="0" w:type="dxa"/>
        <w:right w:w="108" w:type="dxa"/>
      </w:tblCellMar>
    </w:tblPr>
  </w:style>
  <w:style w:type="paragraph" w:customStyle="1" w:styleId="325">
    <w:name w:val="_Style 326"/>
    <w:basedOn w:val="61"/>
    <w:next w:val="1"/>
    <w:qFormat/>
    <w:uiPriority w:val="0"/>
    <w:pPr>
      <w:widowControl w:val="0"/>
      <w:ind w:left="2520" w:leftChars="1200"/>
      <w:jc w:val="both"/>
    </w:pPr>
    <w:rPr>
      <w:rFonts w:asciiTheme="minorHAnsi" w:hAnsiTheme="minorHAnsi" w:eastAsiaTheme="minorEastAsia" w:cstheme="minorBidi"/>
      <w:kern w:val="2"/>
      <w:szCs w:val="22"/>
    </w:rPr>
  </w:style>
  <w:style w:type="paragraph" w:customStyle="1" w:styleId="326">
    <w:name w:val="_Style 327"/>
    <w:basedOn w:val="61"/>
    <w:next w:val="1"/>
    <w:qFormat/>
    <w:uiPriority w:val="0"/>
    <w:pPr>
      <w:widowControl w:val="0"/>
      <w:jc w:val="center"/>
    </w:pPr>
    <w:rPr>
      <w:rFonts w:ascii="Times New Roman" w:hAnsi="Times New Roman" w:cs="Times New Roman"/>
      <w:kern w:val="2"/>
      <w:szCs w:val="21"/>
    </w:rPr>
  </w:style>
  <w:style w:type="paragraph" w:customStyle="1" w:styleId="327">
    <w:name w:val="_Style 328"/>
    <w:basedOn w:val="61"/>
    <w:qFormat/>
    <w:uiPriority w:val="0"/>
    <w:pPr>
      <w:widowControl w:val="0"/>
      <w:ind w:firstLine="420" w:firstLineChars="200"/>
      <w:jc w:val="both"/>
    </w:pPr>
    <w:rPr>
      <w:rFonts w:ascii="Times New Roman" w:hAnsi="Times New Roman" w:cs="Times New Roman"/>
      <w:kern w:val="2"/>
      <w:szCs w:val="21"/>
    </w:rPr>
  </w:style>
  <w:style w:type="paragraph" w:customStyle="1" w:styleId="328">
    <w:name w:val="_Style 329"/>
    <w:basedOn w:val="61"/>
    <w:next w:val="1"/>
    <w:qFormat/>
    <w:uiPriority w:val="0"/>
    <w:pPr>
      <w:widowControl w:val="0"/>
      <w:spacing w:before="120"/>
      <w:jc w:val="both"/>
    </w:pPr>
    <w:rPr>
      <w:rFonts w:ascii="Arial" w:hAnsi="Arial" w:cs="Times New Roman"/>
      <w:b/>
      <w:bCs/>
      <w:kern w:val="2"/>
      <w:szCs w:val="21"/>
    </w:rPr>
  </w:style>
  <w:style w:type="paragraph" w:customStyle="1" w:styleId="329">
    <w:name w:val="_Style 330"/>
    <w:basedOn w:val="61"/>
    <w:qFormat/>
    <w:uiPriority w:val="0"/>
    <w:pPr>
      <w:widowControl w:val="0"/>
      <w:tabs>
        <w:tab w:val="left" w:pos="1200"/>
      </w:tabs>
      <w:jc w:val="both"/>
    </w:pPr>
    <w:rPr>
      <w:rFonts w:ascii="Times New Roman" w:hAnsi="Times New Roman" w:cs="Times New Roman"/>
      <w:kern w:val="2"/>
      <w:szCs w:val="21"/>
    </w:rPr>
  </w:style>
  <w:style w:type="paragraph" w:customStyle="1" w:styleId="330">
    <w:name w:val="_Style 331"/>
    <w:basedOn w:val="61"/>
    <w:next w:val="1"/>
    <w:qFormat/>
    <w:uiPriority w:val="0"/>
    <w:pPr>
      <w:widowControl w:val="0"/>
      <w:ind w:left="1680" w:leftChars="800"/>
      <w:jc w:val="both"/>
    </w:pPr>
    <w:rPr>
      <w:rFonts w:asciiTheme="minorHAnsi" w:hAnsiTheme="minorHAnsi" w:eastAsiaTheme="minorEastAsia" w:cstheme="minorBidi"/>
      <w:kern w:val="2"/>
      <w:szCs w:val="22"/>
    </w:rPr>
  </w:style>
  <w:style w:type="paragraph" w:customStyle="1" w:styleId="331">
    <w:name w:val="_Style 332"/>
    <w:basedOn w:val="61"/>
    <w:next w:val="1"/>
    <w:qFormat/>
    <w:uiPriority w:val="0"/>
    <w:pPr>
      <w:spacing w:after="100" w:line="276" w:lineRule="auto"/>
      <w:ind w:left="440"/>
    </w:pPr>
    <w:rPr>
      <w:rFonts w:ascii="Calibri" w:hAnsi="Calibri" w:cs="Times New Roman"/>
      <w:sz w:val="22"/>
      <w:szCs w:val="22"/>
    </w:rPr>
  </w:style>
  <w:style w:type="paragraph" w:customStyle="1" w:styleId="332">
    <w:name w:val="_Style 333"/>
    <w:basedOn w:val="61"/>
    <w:next w:val="1"/>
    <w:qFormat/>
    <w:uiPriority w:val="0"/>
    <w:pPr>
      <w:widowControl w:val="0"/>
      <w:ind w:left="2940" w:leftChars="1400"/>
      <w:jc w:val="both"/>
    </w:pPr>
    <w:rPr>
      <w:rFonts w:asciiTheme="minorHAnsi" w:hAnsiTheme="minorHAnsi" w:eastAsiaTheme="minorEastAsia" w:cstheme="minorBidi"/>
      <w:kern w:val="2"/>
      <w:szCs w:val="22"/>
    </w:rPr>
  </w:style>
  <w:style w:type="paragraph" w:customStyle="1" w:styleId="333">
    <w:name w:val="_Style 334"/>
    <w:basedOn w:val="61"/>
    <w:qFormat/>
    <w:uiPriority w:val="0"/>
    <w:pPr>
      <w:snapToGrid w:val="0"/>
    </w:pPr>
  </w:style>
  <w:style w:type="paragraph" w:customStyle="1" w:styleId="334">
    <w:name w:val="_Style 335"/>
    <w:basedOn w:val="61"/>
    <w:qFormat/>
    <w:uiPriority w:val="0"/>
    <w:pPr>
      <w:widowControl w:val="0"/>
      <w:jc w:val="both"/>
    </w:pPr>
    <w:rPr>
      <w:rFonts w:ascii="Calibri" w:hAnsi="Calibri" w:cs="Times New Roman"/>
      <w:kern w:val="2"/>
      <w:sz w:val="18"/>
      <w:szCs w:val="18"/>
    </w:rPr>
  </w:style>
  <w:style w:type="paragraph" w:customStyle="1" w:styleId="335">
    <w:name w:val="_Style 336"/>
    <w:basedOn w:val="61"/>
    <w:qFormat/>
    <w:uiPriority w:val="0"/>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336">
    <w:name w:val="_Style 337"/>
    <w:basedOn w:val="61"/>
    <w:next w:val="1"/>
    <w:qFormat/>
    <w:uiPriority w:val="0"/>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37">
    <w:name w:val="_Style 338"/>
    <w:basedOn w:val="61"/>
    <w:next w:val="1"/>
    <w:qFormat/>
    <w:uiPriority w:val="0"/>
    <w:pPr>
      <w:widowControl w:val="0"/>
      <w:ind w:left="1260" w:leftChars="600"/>
      <w:jc w:val="both"/>
    </w:pPr>
    <w:rPr>
      <w:rFonts w:asciiTheme="minorHAnsi" w:hAnsiTheme="minorHAnsi" w:eastAsiaTheme="minorEastAsia" w:cstheme="minorBidi"/>
      <w:kern w:val="2"/>
      <w:szCs w:val="22"/>
    </w:rPr>
  </w:style>
  <w:style w:type="paragraph" w:customStyle="1" w:styleId="338">
    <w:name w:val="_Style 339"/>
    <w:basedOn w:val="61"/>
    <w:next w:val="1"/>
    <w:qFormat/>
    <w:uiPriority w:val="0"/>
    <w:pPr>
      <w:widowControl w:val="0"/>
      <w:ind w:left="420" w:leftChars="200"/>
      <w:jc w:val="both"/>
    </w:pPr>
    <w:rPr>
      <w:rFonts w:ascii="Times New Roman" w:hAnsi="Times New Roman" w:cs="Times New Roman"/>
      <w:kern w:val="2"/>
      <w:szCs w:val="21"/>
    </w:rPr>
  </w:style>
  <w:style w:type="paragraph" w:customStyle="1" w:styleId="339">
    <w:name w:val="_Style 340"/>
    <w:basedOn w:val="61"/>
    <w:next w:val="1"/>
    <w:qFormat/>
    <w:uiPriority w:val="0"/>
    <w:pPr>
      <w:widowControl w:val="0"/>
      <w:ind w:left="3360" w:leftChars="1600"/>
      <w:jc w:val="both"/>
    </w:pPr>
    <w:rPr>
      <w:rFonts w:asciiTheme="minorHAnsi" w:hAnsiTheme="minorHAnsi" w:eastAsiaTheme="minorEastAsia" w:cstheme="minorBidi"/>
      <w:kern w:val="2"/>
      <w:szCs w:val="22"/>
    </w:rPr>
  </w:style>
  <w:style w:type="paragraph" w:customStyle="1" w:styleId="340">
    <w:name w:val="_Style 341"/>
    <w:basedOn w:val="61"/>
    <w:qFormat/>
    <w:uiPriority w:val="0"/>
    <w:pPr>
      <w:spacing w:before="100" w:beforeAutospacing="1" w:after="100" w:afterAutospacing="1"/>
    </w:pPr>
    <w:rPr>
      <w:sz w:val="24"/>
    </w:rPr>
  </w:style>
  <w:style w:type="paragraph" w:customStyle="1" w:styleId="341">
    <w:name w:val="_Style 342"/>
    <w:basedOn w:val="61"/>
    <w:next w:val="1"/>
    <w:qFormat/>
    <w:uiPriority w:val="0"/>
    <w:pPr>
      <w:ind w:firstLine="420" w:firstLineChars="200"/>
    </w:pPr>
    <w:rPr>
      <w:rFonts w:cs="Times New Roman"/>
      <w:color w:val="000000"/>
      <w:szCs w:val="21"/>
    </w:rPr>
  </w:style>
  <w:style w:type="paragraph" w:customStyle="1" w:styleId="342">
    <w:name w:val="_Style 343"/>
    <w:basedOn w:val="256"/>
    <w:next w:val="9"/>
    <w:qFormat/>
    <w:uiPriority w:val="0"/>
    <w:rPr>
      <w:rFonts w:ascii="Calibri" w:hAnsi="Calibri"/>
      <w:b/>
      <w:bCs/>
      <w:szCs w:val="22"/>
    </w:rPr>
  </w:style>
  <w:style w:type="character" w:customStyle="1" w:styleId="343">
    <w:name w:val="_Style 344"/>
    <w:basedOn w:val="323"/>
    <w:qFormat/>
    <w:uiPriority w:val="0"/>
    <w:rPr>
      <w:vertAlign w:val="superscript"/>
    </w:rPr>
  </w:style>
  <w:style w:type="character" w:customStyle="1" w:styleId="344">
    <w:name w:val="_Style 345"/>
    <w:basedOn w:val="323"/>
    <w:qFormat/>
    <w:uiPriority w:val="0"/>
    <w:rPr>
      <w:rFonts w:cs="Times New Roman"/>
      <w:color w:val="0000FF"/>
      <w:u w:val="single"/>
    </w:rPr>
  </w:style>
  <w:style w:type="character" w:customStyle="1" w:styleId="345">
    <w:name w:val="_Style 346"/>
    <w:basedOn w:val="323"/>
    <w:qFormat/>
    <w:uiPriority w:val="0"/>
    <w:rPr>
      <w:rFonts w:eastAsia="宋体" w:cs="Times New Roman"/>
      <w:kern w:val="2"/>
      <w:sz w:val="21"/>
      <w:szCs w:val="21"/>
      <w:lang w:val="en-US" w:eastAsia="zh-CN" w:bidi="ar-SA"/>
    </w:rPr>
  </w:style>
  <w:style w:type="character" w:customStyle="1" w:styleId="346">
    <w:name w:val="_Style 347"/>
    <w:basedOn w:val="323"/>
    <w:link w:val="14"/>
    <w:qFormat/>
    <w:uiPriority w:val="99"/>
    <w:rPr>
      <w:rFonts w:eastAsia="黑体"/>
      <w:b/>
      <w:bCs/>
      <w:kern w:val="44"/>
      <w:sz w:val="28"/>
      <w:szCs w:val="44"/>
    </w:rPr>
  </w:style>
  <w:style w:type="character" w:customStyle="1" w:styleId="347">
    <w:name w:val="_Style 348"/>
    <w:basedOn w:val="323"/>
    <w:link w:val="20"/>
    <w:qFormat/>
    <w:uiPriority w:val="0"/>
    <w:rPr>
      <w:rFonts w:ascii="Arial" w:hAnsi="Arial"/>
      <w:b/>
      <w:bCs/>
      <w:kern w:val="2"/>
      <w:sz w:val="21"/>
      <w:szCs w:val="21"/>
    </w:rPr>
  </w:style>
  <w:style w:type="character" w:customStyle="1" w:styleId="348">
    <w:name w:val="_Style 349"/>
    <w:basedOn w:val="323"/>
    <w:link w:val="36"/>
    <w:qFormat/>
    <w:uiPriority w:val="9"/>
    <w:rPr>
      <w:b/>
      <w:bCs/>
      <w:kern w:val="2"/>
      <w:sz w:val="21"/>
      <w:szCs w:val="32"/>
    </w:rPr>
  </w:style>
  <w:style w:type="character" w:customStyle="1" w:styleId="349">
    <w:name w:val="_Style 350"/>
    <w:basedOn w:val="323"/>
    <w:link w:val="17"/>
    <w:qFormat/>
    <w:uiPriority w:val="9"/>
    <w:rPr>
      <w:rFonts w:asciiTheme="minorEastAsia" w:hAnsiTheme="minorEastAsia" w:eastAsiaTheme="minorEastAsia"/>
      <w:b/>
      <w:bCs/>
      <w:kern w:val="2"/>
      <w:sz w:val="21"/>
      <w:szCs w:val="28"/>
    </w:rPr>
  </w:style>
  <w:style w:type="character" w:customStyle="1" w:styleId="350">
    <w:name w:val="_Style 351"/>
    <w:basedOn w:val="323"/>
    <w:link w:val="21"/>
    <w:qFormat/>
    <w:uiPriority w:val="9"/>
    <w:rPr>
      <w:b/>
      <w:bCs/>
      <w:kern w:val="2"/>
      <w:sz w:val="21"/>
      <w:szCs w:val="28"/>
    </w:rPr>
  </w:style>
  <w:style w:type="paragraph" w:customStyle="1" w:styleId="351">
    <w:name w:val="_Style 352"/>
    <w:basedOn w:val="246"/>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352">
    <w:name w:val="_Style 353"/>
    <w:basedOn w:val="323"/>
    <w:link w:val="9"/>
    <w:qFormat/>
    <w:uiPriority w:val="0"/>
    <w:rPr>
      <w:rFonts w:ascii="Times New Roman" w:hAnsi="Times New Roman" w:eastAsia="宋体" w:cs="Times New Roman"/>
      <w:szCs w:val="21"/>
    </w:rPr>
  </w:style>
  <w:style w:type="character" w:customStyle="1" w:styleId="353">
    <w:name w:val="_Style 354"/>
    <w:basedOn w:val="323"/>
    <w:link w:val="23"/>
    <w:qFormat/>
    <w:uiPriority w:val="99"/>
    <w:rPr>
      <w:rFonts w:ascii="Calibri" w:hAnsi="Calibri" w:eastAsia="宋体" w:cs="Times New Roman"/>
      <w:sz w:val="18"/>
      <w:szCs w:val="18"/>
    </w:rPr>
  </w:style>
  <w:style w:type="character" w:customStyle="1" w:styleId="354">
    <w:name w:val="_Style 355"/>
    <w:basedOn w:val="323"/>
    <w:link w:val="10"/>
    <w:qFormat/>
    <w:uiPriority w:val="99"/>
    <w:rPr>
      <w:rFonts w:ascii="Times New Roman" w:hAnsi="Times New Roman" w:eastAsia="宋体" w:cs="Times New Roman"/>
      <w:szCs w:val="21"/>
    </w:rPr>
  </w:style>
  <w:style w:type="character" w:customStyle="1" w:styleId="355">
    <w:name w:val="_Style 356"/>
    <w:basedOn w:val="323"/>
    <w:qFormat/>
    <w:uiPriority w:val="99"/>
    <w:rPr>
      <w:rFonts w:eastAsia="宋体" w:cs="Times New Roman"/>
      <w:color w:val="FF0000"/>
      <w:kern w:val="2"/>
      <w:sz w:val="24"/>
      <w:szCs w:val="24"/>
      <w:lang w:val="en-US" w:eastAsia="zh-CN" w:bidi="ar-SA"/>
    </w:rPr>
  </w:style>
  <w:style w:type="paragraph" w:customStyle="1" w:styleId="356">
    <w:name w:val="_Style 357"/>
    <w:basedOn w:val="61"/>
    <w:qFormat/>
    <w:uiPriority w:val="99"/>
    <w:pPr>
      <w:spacing w:before="100" w:after="100"/>
      <w:jc w:val="right"/>
    </w:pPr>
    <w:rPr>
      <w:rFonts w:ascii="Arial Unicode MS" w:hAnsi="Times New Roman" w:eastAsia="Arial Unicode MS" w:cs="Times New Roman"/>
      <w:sz w:val="18"/>
      <w:szCs w:val="18"/>
    </w:rPr>
  </w:style>
  <w:style w:type="paragraph" w:customStyle="1" w:styleId="357">
    <w:name w:val="_Style 358"/>
    <w:basedOn w:val="61"/>
    <w:qFormat/>
    <w:uiPriority w:val="99"/>
    <w:pPr>
      <w:widowControl w:val="0"/>
      <w:ind w:firstLine="420" w:firstLineChars="200"/>
      <w:jc w:val="both"/>
    </w:pPr>
    <w:rPr>
      <w:rFonts w:ascii="Calibri" w:hAnsi="Calibri" w:cs="Times New Roman"/>
      <w:kern w:val="2"/>
      <w:szCs w:val="22"/>
    </w:rPr>
  </w:style>
  <w:style w:type="character" w:customStyle="1" w:styleId="358">
    <w:name w:val="_Style 359"/>
    <w:basedOn w:val="352"/>
    <w:link w:val="34"/>
    <w:qFormat/>
    <w:uiPriority w:val="99"/>
    <w:rPr>
      <w:rFonts w:ascii="Calibri" w:hAnsi="Calibri" w:eastAsia="宋体" w:cs="Times New Roman"/>
      <w:b/>
      <w:bCs/>
      <w:szCs w:val="21"/>
    </w:rPr>
  </w:style>
  <w:style w:type="character" w:customStyle="1" w:styleId="359">
    <w:name w:val="_Style 360"/>
    <w:basedOn w:val="323"/>
    <w:link w:val="25"/>
    <w:qFormat/>
    <w:uiPriority w:val="99"/>
    <w:rPr>
      <w:rFonts w:ascii="Calibri" w:hAnsi="Calibri" w:eastAsia="宋体" w:cs="Times New Roman"/>
      <w:sz w:val="18"/>
      <w:szCs w:val="18"/>
    </w:rPr>
  </w:style>
  <w:style w:type="character" w:customStyle="1" w:styleId="360">
    <w:name w:val="_Style 361"/>
    <w:basedOn w:val="323"/>
    <w:link w:val="24"/>
    <w:qFormat/>
    <w:uiPriority w:val="99"/>
    <w:rPr>
      <w:rFonts w:ascii="Calibri" w:hAnsi="Calibri" w:eastAsia="宋体" w:cs="Times New Roman"/>
      <w:sz w:val="18"/>
      <w:szCs w:val="18"/>
    </w:rPr>
  </w:style>
  <w:style w:type="character" w:customStyle="1" w:styleId="361">
    <w:name w:val="_Style 362"/>
    <w:basedOn w:val="323"/>
    <w:link w:val="16"/>
    <w:qFormat/>
    <w:uiPriority w:val="0"/>
    <w:rPr>
      <w:rFonts w:ascii="宋体" w:hAnsi="Courier New" w:eastAsia="宋体" w:cs="Times New Roman"/>
      <w:szCs w:val="20"/>
    </w:rPr>
  </w:style>
  <w:style w:type="character" w:customStyle="1" w:styleId="362">
    <w:name w:val="_Style 363"/>
    <w:basedOn w:val="323"/>
    <w:qFormat/>
    <w:uiPriority w:val="0"/>
    <w:rPr>
      <w:rFonts w:eastAsia="宋体" w:cs="Times New Roman"/>
      <w:kern w:val="2"/>
      <w:sz w:val="24"/>
      <w:szCs w:val="24"/>
      <w:lang w:val="en-US" w:eastAsia="zh-CN" w:bidi="ar-SA"/>
    </w:rPr>
  </w:style>
  <w:style w:type="character" w:customStyle="1" w:styleId="363">
    <w:name w:val="_Style 364"/>
    <w:basedOn w:val="323"/>
    <w:qFormat/>
    <w:uiPriority w:val="99"/>
    <w:rPr>
      <w:rFonts w:ascii="Times New Roman" w:hAnsi="Times New Roman" w:eastAsia="宋体" w:cs="Times New Roman"/>
      <w:szCs w:val="21"/>
    </w:rPr>
  </w:style>
  <w:style w:type="paragraph" w:customStyle="1" w:styleId="364">
    <w:name w:val="_Style 365"/>
    <w:basedOn w:val="6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365">
    <w:name w:val="_Style 366"/>
    <w:basedOn w:val="323"/>
    <w:link w:val="19"/>
    <w:qFormat/>
    <w:uiPriority w:val="99"/>
    <w:rPr>
      <w:rFonts w:ascii="Times New Roman" w:hAnsi="Times New Roman" w:eastAsia="宋体" w:cs="Times New Roman"/>
      <w:szCs w:val="21"/>
    </w:rPr>
  </w:style>
  <w:style w:type="character" w:customStyle="1" w:styleId="366">
    <w:name w:val="_Style 367"/>
    <w:basedOn w:val="323"/>
    <w:link w:val="5"/>
    <w:qFormat/>
    <w:uiPriority w:val="99"/>
    <w:rPr>
      <w:rFonts w:ascii="Times New Roman" w:hAnsi="Times New Roman" w:eastAsia="宋体" w:cs="Times New Roman"/>
      <w:szCs w:val="21"/>
    </w:rPr>
  </w:style>
  <w:style w:type="paragraph" w:customStyle="1" w:styleId="367">
    <w:name w:val="_Style 368"/>
    <w:basedOn w:val="6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368">
    <w:name w:val="_Style 369"/>
    <w:hidden/>
    <w:semiHidden/>
    <w:qFormat/>
    <w:uiPriority w:val="99"/>
    <w:rPr>
      <w:rFonts w:ascii="Calibri" w:hAnsi="Calibri" w:eastAsia="宋体" w:cs="Times New Roman"/>
      <w:kern w:val="2"/>
      <w:sz w:val="21"/>
      <w:szCs w:val="22"/>
      <w:lang w:val="en-US" w:eastAsia="zh-CN" w:bidi="ar-SA"/>
    </w:rPr>
  </w:style>
  <w:style w:type="character" w:customStyle="1" w:styleId="369">
    <w:name w:val="_Style 370"/>
    <w:basedOn w:val="323"/>
    <w:qFormat/>
    <w:uiPriority w:val="0"/>
    <w:rPr>
      <w:kern w:val="2"/>
      <w:sz w:val="21"/>
      <w:szCs w:val="24"/>
    </w:rPr>
  </w:style>
  <w:style w:type="paragraph" w:customStyle="1" w:styleId="370">
    <w:name w:val="_Style 371"/>
    <w:basedOn w:val="61"/>
    <w:qFormat/>
    <w:uiPriority w:val="0"/>
    <w:pPr>
      <w:widowControl w:val="0"/>
      <w:spacing w:before="100" w:after="100"/>
      <w:jc w:val="both"/>
    </w:pPr>
    <w:rPr>
      <w:rFonts w:ascii="Calibri" w:hAnsi="Calibri" w:cs="Times New Roman"/>
      <w:kern w:val="2"/>
    </w:rPr>
  </w:style>
  <w:style w:type="character" w:customStyle="1" w:styleId="371">
    <w:name w:val="_Style 372"/>
    <w:basedOn w:val="323"/>
    <w:link w:val="7"/>
    <w:semiHidden/>
    <w:qFormat/>
    <w:uiPriority w:val="99"/>
    <w:rPr>
      <w:rFonts w:ascii="宋体"/>
      <w:kern w:val="2"/>
      <w:sz w:val="18"/>
      <w:szCs w:val="18"/>
    </w:rPr>
  </w:style>
  <w:style w:type="character" w:customStyle="1" w:styleId="372">
    <w:name w:val="_Style 373"/>
    <w:basedOn w:val="323"/>
    <w:semiHidden/>
    <w:qFormat/>
    <w:uiPriority w:val="99"/>
    <w:rPr>
      <w:color w:val="auto"/>
    </w:rPr>
  </w:style>
  <w:style w:type="character" w:customStyle="1" w:styleId="373">
    <w:name w:val="_Style 374"/>
    <w:basedOn w:val="323"/>
    <w:link w:val="33"/>
    <w:qFormat/>
    <w:uiPriority w:val="10"/>
    <w:rPr>
      <w:rFonts w:asciiTheme="majorHAnsi" w:hAnsiTheme="majorHAnsi" w:cstheme="majorBidi"/>
      <w:b/>
      <w:bCs/>
      <w:kern w:val="2"/>
      <w:sz w:val="32"/>
      <w:szCs w:val="32"/>
    </w:rPr>
  </w:style>
  <w:style w:type="paragraph" w:customStyle="1" w:styleId="374">
    <w:name w:val="_Style 375"/>
    <w:qFormat/>
    <w:uiPriority w:val="1"/>
    <w:pPr>
      <w:widowControl w:val="0"/>
      <w:jc w:val="both"/>
    </w:pPr>
    <w:rPr>
      <w:rFonts w:ascii="Calibri" w:hAnsi="Calibri" w:eastAsia="宋体" w:cs="Times New Roman"/>
      <w:kern w:val="2"/>
      <w:sz w:val="21"/>
      <w:szCs w:val="22"/>
      <w:lang w:val="en-US" w:eastAsia="zh-CN" w:bidi="ar-SA"/>
    </w:rPr>
  </w:style>
  <w:style w:type="character" w:customStyle="1" w:styleId="375">
    <w:name w:val="_Style 376"/>
    <w:basedOn w:val="323"/>
    <w:link w:val="2"/>
    <w:qFormat/>
    <w:uiPriority w:val="9"/>
    <w:rPr>
      <w:rFonts w:asciiTheme="majorHAnsi" w:hAnsiTheme="majorHAnsi" w:cstheme="majorBidi"/>
      <w:b/>
      <w:bCs/>
      <w:sz w:val="21"/>
      <w:szCs w:val="24"/>
    </w:rPr>
  </w:style>
  <w:style w:type="character" w:customStyle="1" w:styleId="376">
    <w:name w:val="_Style 377"/>
    <w:basedOn w:val="323"/>
    <w:link w:val="22"/>
    <w:semiHidden/>
    <w:qFormat/>
    <w:uiPriority w:val="99"/>
    <w:rPr>
      <w:rFonts w:ascii="宋体" w:hAnsi="宋体" w:cs="宋体"/>
      <w:sz w:val="21"/>
      <w:szCs w:val="24"/>
    </w:rPr>
  </w:style>
  <w:style w:type="character" w:customStyle="1" w:styleId="377">
    <w:name w:val="_Style 378"/>
    <w:basedOn w:val="352"/>
    <w:semiHidden/>
    <w:qFormat/>
    <w:uiPriority w:val="99"/>
    <w:rPr>
      <w:rFonts w:ascii="Times New Roman" w:hAnsi="Times New Roman" w:eastAsia="宋体" w:cs="Times New Roman"/>
      <w:b/>
      <w:bCs/>
      <w:szCs w:val="21"/>
    </w:rPr>
  </w:style>
  <w:style w:type="character" w:customStyle="1" w:styleId="378">
    <w:name w:val="_Style 379"/>
    <w:basedOn w:val="323"/>
    <w:qFormat/>
    <w:uiPriority w:val="0"/>
  </w:style>
  <w:style w:type="character" w:customStyle="1" w:styleId="379">
    <w:name w:val="_Style 380"/>
    <w:basedOn w:val="323"/>
    <w:qFormat/>
    <w:uiPriority w:val="0"/>
    <w:rPr>
      <w:rFonts w:ascii="Times New Roman" w:hAnsi="Times New Roman"/>
      <w:b/>
      <w:kern w:val="2"/>
      <w:sz w:val="21"/>
      <w:szCs w:val="24"/>
    </w:rPr>
  </w:style>
  <w:style w:type="character" w:customStyle="1" w:styleId="380">
    <w:name w:val="_Style 381"/>
    <w:basedOn w:val="323"/>
    <w:link w:val="3"/>
    <w:qFormat/>
    <w:uiPriority w:val="9"/>
    <w:rPr>
      <w:rFonts w:ascii="宋体" w:hAnsi="宋体" w:cs="宋体"/>
      <w:b/>
      <w:bCs/>
      <w:sz w:val="24"/>
      <w:szCs w:val="24"/>
    </w:rPr>
  </w:style>
  <w:style w:type="character" w:customStyle="1" w:styleId="381">
    <w:name w:val="_Style 382"/>
    <w:basedOn w:val="352"/>
    <w:semiHidden/>
    <w:qFormat/>
    <w:uiPriority w:val="99"/>
    <w:rPr>
      <w:rFonts w:ascii="Times New Roman" w:hAnsi="Times New Roman" w:eastAsia="宋体" w:cs="Times New Roman"/>
      <w:b/>
      <w:bCs/>
      <w:szCs w:val="21"/>
    </w:rPr>
  </w:style>
  <w:style w:type="character" w:customStyle="1" w:styleId="382">
    <w:name w:val="_Style 383"/>
    <w:qFormat/>
    <w:uiPriority w:val="9"/>
    <w:rPr>
      <w:rFonts w:ascii="Cambria" w:hAnsi="Cambria"/>
      <w:b/>
      <w:bCs/>
      <w:kern w:val="2"/>
      <w:sz w:val="21"/>
      <w:szCs w:val="28"/>
    </w:rPr>
  </w:style>
  <w:style w:type="paragraph" w:customStyle="1" w:styleId="383">
    <w:name w:val="_Style 384"/>
    <w:basedOn w:val="61"/>
    <w:qFormat/>
    <w:uiPriority w:val="34"/>
    <w:pPr>
      <w:widowControl w:val="0"/>
      <w:ind w:firstLine="420" w:firstLineChars="200"/>
      <w:jc w:val="both"/>
    </w:pPr>
    <w:rPr>
      <w:rFonts w:ascii="Calibri" w:hAnsi="Calibri" w:cs="Times New Roman"/>
      <w:kern w:val="2"/>
      <w:szCs w:val="22"/>
    </w:rPr>
  </w:style>
  <w:style w:type="character" w:customStyle="1" w:styleId="384">
    <w:name w:val="_Style 385"/>
    <w:qFormat/>
    <w:uiPriority w:val="9"/>
    <w:rPr>
      <w:b/>
      <w:bCs/>
      <w:kern w:val="2"/>
      <w:sz w:val="21"/>
      <w:szCs w:val="32"/>
    </w:rPr>
  </w:style>
  <w:style w:type="paragraph" w:customStyle="1" w:styleId="385">
    <w:name w:val="_Style 386"/>
    <w:basedOn w:val="61"/>
    <w:qFormat/>
    <w:uiPriority w:val="34"/>
    <w:pPr>
      <w:widowControl w:val="0"/>
      <w:ind w:firstLine="420" w:firstLineChars="200"/>
      <w:jc w:val="both"/>
    </w:pPr>
    <w:rPr>
      <w:rFonts w:ascii="Calibri" w:hAnsi="Calibri" w:cs="Times New Roman"/>
      <w:kern w:val="2"/>
      <w:szCs w:val="22"/>
    </w:rPr>
  </w:style>
  <w:style w:type="paragraph" w:customStyle="1" w:styleId="386">
    <w:name w:val="_Style 387"/>
    <w:basedOn w:val="6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387">
    <w:name w:val="_Style 388"/>
    <w:qFormat/>
    <w:uiPriority w:val="0"/>
    <w:rPr>
      <w:rFonts w:ascii="Times New Roman" w:hAnsi="Times New Roman"/>
      <w:kern w:val="2"/>
      <w:sz w:val="21"/>
      <w:szCs w:val="21"/>
    </w:rPr>
  </w:style>
  <w:style w:type="character" w:customStyle="1" w:styleId="388">
    <w:name w:val="_Style 389"/>
    <w:qFormat/>
    <w:uiPriority w:val="9"/>
    <w:rPr>
      <w:b/>
      <w:bCs/>
      <w:kern w:val="2"/>
      <w:sz w:val="21"/>
      <w:szCs w:val="32"/>
    </w:rPr>
  </w:style>
  <w:style w:type="character" w:customStyle="1" w:styleId="389">
    <w:name w:val="_Style 390"/>
    <w:qFormat/>
    <w:uiPriority w:val="0"/>
    <w:rPr>
      <w:rFonts w:ascii="Arial" w:hAnsi="Arial"/>
      <w:b/>
      <w:bCs/>
      <w:kern w:val="2"/>
      <w:sz w:val="21"/>
      <w:szCs w:val="21"/>
    </w:rPr>
  </w:style>
  <w:style w:type="character" w:customStyle="1" w:styleId="390">
    <w:name w:val="_Style 391"/>
    <w:qFormat/>
    <w:uiPriority w:val="9"/>
    <w:rPr>
      <w:b/>
      <w:bCs/>
      <w:kern w:val="2"/>
      <w:sz w:val="21"/>
      <w:szCs w:val="28"/>
    </w:rPr>
  </w:style>
  <w:style w:type="paragraph" w:customStyle="1" w:styleId="391">
    <w:name w:val="_Style 392"/>
    <w:basedOn w:val="61"/>
    <w:qFormat/>
    <w:uiPriority w:val="34"/>
    <w:pPr>
      <w:widowControl w:val="0"/>
      <w:ind w:firstLine="420" w:firstLineChars="200"/>
      <w:jc w:val="both"/>
    </w:pPr>
    <w:rPr>
      <w:rFonts w:ascii="Calibri" w:hAnsi="Calibri" w:cs="Times New Roman"/>
      <w:kern w:val="2"/>
      <w:szCs w:val="22"/>
    </w:rPr>
  </w:style>
  <w:style w:type="character" w:customStyle="1" w:styleId="392">
    <w:name w:val="_Style 393"/>
    <w:qFormat/>
    <w:uiPriority w:val="99"/>
    <w:rPr>
      <w:rFonts w:ascii="Times New Roman" w:hAnsi="Times New Roman"/>
      <w:kern w:val="2"/>
      <w:sz w:val="21"/>
      <w:szCs w:val="21"/>
    </w:rPr>
  </w:style>
  <w:style w:type="character" w:customStyle="1" w:styleId="393">
    <w:name w:val="_Style 394"/>
    <w:qFormat/>
    <w:uiPriority w:val="0"/>
    <w:rPr>
      <w:rFonts w:hint="default" w:ascii="FZLTSK--GBK1-0" w:hAnsi="FZLTSK--GBK1-0"/>
      <w:color w:val="000000"/>
      <w:sz w:val="20"/>
      <w:szCs w:val="20"/>
    </w:rPr>
  </w:style>
  <w:style w:type="paragraph" w:customStyle="1" w:styleId="394">
    <w:name w:val="_Style 395"/>
    <w:basedOn w:val="61"/>
    <w:qFormat/>
    <w:uiPriority w:val="34"/>
    <w:pPr>
      <w:widowControl w:val="0"/>
      <w:ind w:firstLine="420" w:firstLineChars="200"/>
      <w:jc w:val="both"/>
    </w:pPr>
    <w:rPr>
      <w:rFonts w:ascii="Calibri" w:hAnsi="Calibri" w:cs="Times New Roman"/>
      <w:kern w:val="2"/>
      <w:szCs w:val="22"/>
    </w:rPr>
  </w:style>
  <w:style w:type="character" w:customStyle="1" w:styleId="395">
    <w:name w:val="_Style 396"/>
    <w:qFormat/>
    <w:uiPriority w:val="99"/>
    <w:rPr>
      <w:rFonts w:ascii="Times New Roman" w:hAnsi="Times New Roman"/>
      <w:kern w:val="2"/>
      <w:sz w:val="21"/>
      <w:szCs w:val="21"/>
    </w:rPr>
  </w:style>
  <w:style w:type="character" w:customStyle="1" w:styleId="396">
    <w:name w:val="_Style 397"/>
    <w:qFormat/>
    <w:uiPriority w:val="9"/>
    <w:rPr>
      <w:b/>
      <w:bCs/>
      <w:kern w:val="2"/>
      <w:sz w:val="21"/>
      <w:szCs w:val="28"/>
    </w:rPr>
  </w:style>
  <w:style w:type="character" w:customStyle="1" w:styleId="397">
    <w:name w:val="_Style 398"/>
    <w:semiHidden/>
    <w:qFormat/>
    <w:locked/>
    <w:uiPriority w:val="99"/>
    <w:rPr>
      <w:rFonts w:ascii="Times New Roman" w:hAnsi="Times New Roman"/>
      <w:kern w:val="2"/>
      <w:sz w:val="21"/>
      <w:szCs w:val="21"/>
    </w:rPr>
  </w:style>
  <w:style w:type="character" w:customStyle="1" w:styleId="398">
    <w:name w:val="_Style 399"/>
    <w:qFormat/>
    <w:uiPriority w:val="0"/>
    <w:rPr>
      <w:rFonts w:ascii="Arial" w:hAnsi="Arial"/>
      <w:b/>
      <w:bCs/>
      <w:kern w:val="2"/>
      <w:sz w:val="21"/>
      <w:szCs w:val="21"/>
    </w:rPr>
  </w:style>
  <w:style w:type="character" w:customStyle="1" w:styleId="399">
    <w:name w:val="_Style 400"/>
    <w:qFormat/>
    <w:uiPriority w:val="99"/>
    <w:rPr>
      <w:rFonts w:ascii="Times New Roman" w:hAnsi="Times New Roman"/>
      <w:kern w:val="2"/>
      <w:sz w:val="21"/>
      <w:szCs w:val="21"/>
    </w:rPr>
  </w:style>
  <w:style w:type="character" w:customStyle="1" w:styleId="400">
    <w:name w:val="_Style 401"/>
    <w:qFormat/>
    <w:uiPriority w:val="9"/>
    <w:rPr>
      <w:b/>
      <w:bCs/>
      <w:kern w:val="2"/>
      <w:sz w:val="21"/>
      <w:szCs w:val="28"/>
    </w:rPr>
  </w:style>
  <w:style w:type="paragraph" w:customStyle="1" w:styleId="401">
    <w:name w:val="_Style 402"/>
    <w:basedOn w:val="61"/>
    <w:qFormat/>
    <w:uiPriority w:val="34"/>
    <w:pPr>
      <w:widowControl w:val="0"/>
      <w:ind w:firstLine="420" w:firstLineChars="200"/>
      <w:jc w:val="both"/>
    </w:pPr>
    <w:rPr>
      <w:rFonts w:ascii="Calibri" w:hAnsi="Calibri" w:cs="Times New Roman"/>
      <w:kern w:val="2"/>
      <w:szCs w:val="22"/>
    </w:rPr>
  </w:style>
  <w:style w:type="character" w:customStyle="1" w:styleId="402">
    <w:name w:val="_Style 403"/>
    <w:qFormat/>
    <w:uiPriority w:val="9"/>
    <w:rPr>
      <w:b/>
      <w:bCs/>
      <w:kern w:val="2"/>
      <w:sz w:val="21"/>
      <w:szCs w:val="32"/>
    </w:rPr>
  </w:style>
  <w:style w:type="character" w:customStyle="1" w:styleId="403">
    <w:name w:val="_Style 404"/>
    <w:qFormat/>
    <w:uiPriority w:val="0"/>
    <w:rPr>
      <w:rFonts w:ascii="Times New Roman" w:hAnsi="Times New Roman"/>
      <w:kern w:val="2"/>
      <w:sz w:val="21"/>
      <w:szCs w:val="21"/>
    </w:rPr>
  </w:style>
  <w:style w:type="paragraph" w:customStyle="1" w:styleId="404">
    <w:name w:val="_Style 405"/>
    <w:qFormat/>
    <w:uiPriority w:val="99"/>
    <w:pPr>
      <w:adjustRightInd w:val="0"/>
      <w:snapToGrid w:val="0"/>
      <w:spacing w:afterLines="50" w:line="360" w:lineRule="auto"/>
      <w:ind w:firstLine="200" w:firstLineChars="200"/>
    </w:pPr>
    <w:rPr>
      <w:rFonts w:ascii="Times New Roman" w:hAnsi="Times New Roman" w:eastAsia="宋体" w:cs="Times New Roman"/>
      <w:kern w:val="2"/>
      <w:sz w:val="21"/>
      <w:lang w:val="en-US" w:eastAsia="zh-CN" w:bidi="ar-SA"/>
    </w:rPr>
  </w:style>
  <w:style w:type="paragraph" w:customStyle="1" w:styleId="405">
    <w:name w:val="_Style 406"/>
    <w:qFormat/>
    <w:uiPriority w:val="0"/>
    <w:pPr>
      <w:adjustRightInd w:val="0"/>
      <w:snapToGrid w:val="0"/>
      <w:spacing w:line="400" w:lineRule="atLeast"/>
      <w:ind w:left="718" w:leftChars="342"/>
    </w:pPr>
    <w:rPr>
      <w:rFonts w:ascii="宋体" w:hAnsi="宋体" w:eastAsia="宋体" w:cs="Times New Roman"/>
      <w:kern w:val="2"/>
      <w:sz w:val="21"/>
      <w:szCs w:val="21"/>
      <w:lang w:val="en-US" w:eastAsia="zh-CN" w:bidi="ar-SA"/>
    </w:rPr>
  </w:style>
  <w:style w:type="paragraph" w:customStyle="1" w:styleId="406">
    <w:name w:val="_Style 407"/>
    <w:qFormat/>
    <w:uiPriority w:val="0"/>
    <w:pPr>
      <w:adjustRightInd w:val="0"/>
      <w:snapToGrid w:val="0"/>
      <w:spacing w:line="400" w:lineRule="atLeast"/>
      <w:ind w:left="1260" w:leftChars="600"/>
    </w:pPr>
    <w:rPr>
      <w:rFonts w:ascii="宋体" w:hAnsi="宋体" w:eastAsia="宋体" w:cs="Times New Roman"/>
      <w:kern w:val="2"/>
      <w:sz w:val="21"/>
      <w:szCs w:val="21"/>
      <w:lang w:val="en-US" w:eastAsia="zh-CN" w:bidi="ar-SA"/>
    </w:rPr>
  </w:style>
  <w:style w:type="table" w:customStyle="1" w:styleId="407">
    <w:name w:val="无格式表格 21"/>
    <w:basedOn w:val="3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408">
    <w:name w:val="font11"/>
    <w:basedOn w:val="39"/>
    <w:qFormat/>
    <w:uiPriority w:val="0"/>
    <w:rPr>
      <w:rFonts w:hint="eastAsia" w:ascii="宋体" w:hAnsi="宋体" w:eastAsia="宋体" w:cs="宋体"/>
      <w:color w:val="000000"/>
      <w:sz w:val="21"/>
      <w:szCs w:val="21"/>
      <w:u w:val="none"/>
    </w:rPr>
  </w:style>
  <w:style w:type="character" w:customStyle="1" w:styleId="409">
    <w:name w:val="font31"/>
    <w:basedOn w:val="39"/>
    <w:qFormat/>
    <w:uiPriority w:val="0"/>
    <w:rPr>
      <w:rFonts w:ascii="Arial Narrow" w:hAnsi="Arial Narrow" w:eastAsia="Arial Narrow" w:cs="Arial Narrow"/>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8.xml"/><Relationship Id="rId16" Type="http://schemas.openxmlformats.org/officeDocument/2006/relationships/customXml" Target="../customXml/item7.xml"/><Relationship Id="rId15" Type="http://schemas.openxmlformats.org/officeDocument/2006/relationships/customXml" Target="../customXml/item6.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JEOUR\AppData\Roaming\Kingsoft\office6\templates\wps\zh_CN\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1F823479-1B2C-4501-A4CD-13FF47B8C52B}"/>
      </w:docPartPr>
      <w:docPartBody>
        <w:p>
          <w:r>
            <w:rPr>
              <w:rStyle w:val="4"/>
              <w:rFonts w:hint="eastAsia"/>
              <w:color w:val="333399"/>
              <w:u w:val="single"/>
            </w:rPr>
            <w:t>　　　</w:t>
          </w:r>
        </w:p>
      </w:docPartBody>
    </w:docPart>
    <w:docPart>
      <w:docPartPr>
        <w:name w:val="{fd34b5bd-6b6b-43a6-a0c9-5b644e33f0d0}"/>
        <w:style w:val=""/>
        <w:category>
          <w:name w:val="常规"/>
          <w:gallery w:val="placeholder"/>
        </w:category>
        <w:types>
          <w:type w:val="bbPlcHdr"/>
        </w:types>
        <w:behaviors>
          <w:behavior w:val="content"/>
        </w:behaviors>
        <w:description w:val=""/>
        <w:guid w:val="{fd34b5bd-6b6b-43a6-a0c9-5b644e33f0d0}"/>
      </w:docPartPr>
      <w:docPartBody>
        <w:p>
          <w:pPr>
            <w:pStyle w:val="5"/>
          </w:pPr>
          <w:r>
            <w:rPr>
              <w:rStyle w:val="4"/>
              <w:rFonts w:hint="eastAsia"/>
              <w:color w:val="333399"/>
              <w:u w:val="single"/>
            </w:rPr>
            <w:t>　　　</w:t>
          </w:r>
        </w:p>
      </w:docPartBody>
    </w:docPart>
    <w:docPart>
      <w:docPartPr>
        <w:name w:val="{20a43d6b-c7d7-4aef-ab52-fd1001acc044}"/>
        <w:style w:val=""/>
        <w:category>
          <w:name w:val="常规"/>
          <w:gallery w:val="placeholder"/>
        </w:category>
        <w:types>
          <w:type w:val="bbPlcHdr"/>
        </w:types>
        <w:behaviors>
          <w:behavior w:val="content"/>
        </w:behaviors>
        <w:description w:val=""/>
        <w:guid w:val="{20a43d6b-c7d7-4aef-ab52-fd1001acc044}"/>
      </w:docPartPr>
      <w:docPartBody>
        <w:p>
          <w:r>
            <w:rPr>
              <w:rStyle w:val="4"/>
              <w:rFonts w:hint="eastAsia"/>
              <w:color w:val="333399"/>
              <w:u w:val="single"/>
            </w:rPr>
            <w:t>　　　</w:t>
          </w:r>
        </w:p>
      </w:docPartBody>
    </w:docPart>
    <w:docPart>
      <w:docPartPr>
        <w:name w:val="{13349e38-51a2-4095-a516-b29aa8a09569}"/>
        <w:style w:val=""/>
        <w:category>
          <w:name w:val="常规"/>
          <w:gallery w:val="placeholder"/>
        </w:category>
        <w:types>
          <w:type w:val="bbPlcHdr"/>
        </w:types>
        <w:behaviors>
          <w:behavior w:val="content"/>
        </w:behaviors>
        <w:description w:val=""/>
        <w:guid w:val="{13349e38-51a2-4095-a516-b29aa8a09569}"/>
      </w:docPartPr>
      <w:docPartBody>
        <w:p>
          <w:r>
            <w:rPr>
              <w:rStyle w:val="4"/>
              <w:rFonts w:hint="eastAsia"/>
              <w:color w:val="333399"/>
              <w:u w:val="single"/>
            </w:rPr>
            <w:t>　　　</w:t>
          </w:r>
        </w:p>
      </w:docPartBody>
    </w:docPart>
    <w:docPart>
      <w:docPartPr>
        <w:name w:val="{cdb11e1e-1698-4ec5-afc9-9cbb9a47fb9a}"/>
        <w:style w:val=""/>
        <w:category>
          <w:name w:val="常规"/>
          <w:gallery w:val="placeholder"/>
        </w:category>
        <w:types>
          <w:type w:val="bbPlcHdr"/>
        </w:types>
        <w:behaviors>
          <w:behavior w:val="content"/>
        </w:behaviors>
        <w:description w:val=""/>
        <w:guid w:val="{cdb11e1e-1698-4ec5-afc9-9cbb9a47fb9a}"/>
      </w:docPartPr>
      <w:docPartBody>
        <w:p>
          <w:r>
            <w:rPr>
              <w:rStyle w:val="4"/>
              <w:rFonts w:hint="eastAsia"/>
              <w:color w:val="333399"/>
              <w:u w:val="single"/>
            </w:rPr>
            <w:t>　　　</w:t>
          </w:r>
        </w:p>
      </w:docPartBody>
    </w:docPart>
    <w:docPart>
      <w:docPartPr>
        <w:name w:val="{53b7ebe8-324a-4236-bfbd-862527598ad6}"/>
        <w:style w:val=""/>
        <w:category>
          <w:name w:val="常规"/>
          <w:gallery w:val="placeholder"/>
        </w:category>
        <w:types>
          <w:type w:val="bbPlcHdr"/>
        </w:types>
        <w:behaviors>
          <w:behavior w:val="content"/>
        </w:behaviors>
        <w:description w:val=""/>
        <w:guid w:val="{53b7ebe8-324a-4236-bfbd-862527598ad6}"/>
      </w:docPartPr>
      <w:docPartBody>
        <w:p>
          <w:r>
            <w:rPr>
              <w:rStyle w:val="4"/>
              <w:rFonts w:hint="eastAsia"/>
            </w:rPr>
            <w:t>　</w:t>
          </w:r>
        </w:p>
      </w:docPartBody>
    </w:docPart>
    <w:docPart>
      <w:docPartPr>
        <w:name w:val="{2ed876f4-4184-457c-bf13-dc25d68bbb9b}"/>
        <w:style w:val=""/>
        <w:category>
          <w:name w:val="常规"/>
          <w:gallery w:val="placeholder"/>
        </w:category>
        <w:types>
          <w:type w:val="bbPlcHdr"/>
        </w:types>
        <w:behaviors>
          <w:behavior w:val="content"/>
        </w:behaviors>
        <w:description w:val=""/>
        <w:guid w:val="{2ed876f4-4184-457c-bf13-dc25d68bbb9b}"/>
      </w:docPartPr>
      <w:docPartBody>
        <w:p>
          <w:r>
            <w:rPr>
              <w:rStyle w:val="4"/>
              <w:rFonts w:hint="eastAsia"/>
              <w:color w:val="333399"/>
              <w:u w:val="single"/>
            </w:rPr>
            <w:t>　　　</w:t>
          </w:r>
        </w:p>
      </w:docPartBody>
    </w:docPart>
    <w:docPart>
      <w:docPartPr>
        <w:name w:val="{200b9ad2-b452-4e0b-b62d-1ad7c720b803}"/>
        <w:style w:val=""/>
        <w:category>
          <w:name w:val="常规"/>
          <w:gallery w:val="placeholder"/>
        </w:category>
        <w:types>
          <w:type w:val="bbPlcHdr"/>
        </w:types>
        <w:behaviors>
          <w:behavior w:val="content"/>
        </w:behaviors>
        <w:description w:val=""/>
        <w:guid w:val="{200b9ad2-b452-4e0b-b62d-1ad7c720b803}"/>
      </w:docPartPr>
      <w:docPartBody>
        <w:p>
          <w:r>
            <w:rPr>
              <w:rStyle w:val="4"/>
              <w:rFonts w:hint="eastAsia"/>
              <w:color w:val="333399"/>
              <w:u w:val="single"/>
            </w:rPr>
            <w:t>　　　</w:t>
          </w:r>
        </w:p>
      </w:docPartBody>
    </w:docPart>
    <w:docPart>
      <w:docPartPr>
        <w:name w:val="{142b8925-845d-4c3d-9c0d-3930872f8b92}"/>
        <w:style w:val=""/>
        <w:category>
          <w:name w:val="常规"/>
          <w:gallery w:val="placeholder"/>
        </w:category>
        <w:types>
          <w:type w:val="bbPlcHdr"/>
        </w:types>
        <w:behaviors>
          <w:behavior w:val="content"/>
        </w:behaviors>
        <w:description w:val=""/>
        <w:guid w:val="{142b8925-845d-4c3d-9c0d-3930872f8b92}"/>
      </w:docPartPr>
      <w:docPartBody>
        <w:p>
          <w:r>
            <w:rPr>
              <w:rStyle w:val="4"/>
              <w:rFonts w:hint="eastAsia"/>
              <w:color w:val="333399"/>
              <w:u w:val="single"/>
            </w:rPr>
            <w:t>　　　</w:t>
          </w:r>
        </w:p>
      </w:docPartBody>
    </w:docPart>
    <w:docPart>
      <w:docPartPr>
        <w:name w:val="{2bc3c27e-63d8-4da1-9589-ef5afbbcff09}"/>
        <w:style w:val=""/>
        <w:category>
          <w:name w:val="常规"/>
          <w:gallery w:val="placeholder"/>
        </w:category>
        <w:types>
          <w:type w:val="bbPlcHdr"/>
        </w:types>
        <w:behaviors>
          <w:behavior w:val="content"/>
        </w:behaviors>
        <w:description w:val=""/>
        <w:guid w:val="{2bc3c27e-63d8-4da1-9589-ef5afbbcff09}"/>
      </w:docPartPr>
      <w:docPartBody>
        <w:p>
          <w:r>
            <w:rPr>
              <w:rStyle w:val="4"/>
              <w:rFonts w:hint="eastAsia"/>
              <w:color w:val="333399"/>
              <w:u w:val="single"/>
            </w:rPr>
            <w:t>　　　</w:t>
          </w:r>
        </w:p>
      </w:docPartBody>
    </w:docPart>
    <w:docPart>
      <w:docPartPr>
        <w:name w:val="{d7559256-89bb-458b-bd49-1ae13e491af6}"/>
        <w:style w:val=""/>
        <w:category>
          <w:name w:val="常规"/>
          <w:gallery w:val="placeholder"/>
        </w:category>
        <w:types>
          <w:type w:val="bbPlcHdr"/>
        </w:types>
        <w:behaviors>
          <w:behavior w:val="content"/>
        </w:behaviors>
        <w:description w:val=""/>
        <w:guid w:val="{d7559256-89bb-458b-bd49-1ae13e491af6}"/>
      </w:docPartPr>
      <w:docPartBody>
        <w:p>
          <w:r>
            <w:rPr>
              <w:rStyle w:val="4"/>
              <w:rFonts w:hint="eastAsia"/>
              <w:color w:val="333399"/>
              <w:u w:val="single"/>
            </w:rPr>
            <w:t>　　　</w:t>
          </w:r>
        </w:p>
      </w:docPartBody>
    </w:docPart>
    <w:docPart>
      <w:docPartPr>
        <w:name w:val="{1b4f9bce-7f02-4e5d-aa2f-1c3e0dbb1de3}"/>
        <w:style w:val=""/>
        <w:category>
          <w:name w:val="常规"/>
          <w:gallery w:val="placeholder"/>
        </w:category>
        <w:types>
          <w:type w:val="bbPlcHdr"/>
        </w:types>
        <w:behaviors>
          <w:behavior w:val="content"/>
        </w:behaviors>
        <w:description w:val=""/>
        <w:guid w:val="{1b4f9bce-7f02-4e5d-aa2f-1c3e0dbb1de3}"/>
      </w:docPartPr>
      <w:docPartBody>
        <w:p>
          <w:r>
            <w:rPr>
              <w:rStyle w:val="4"/>
              <w:rFonts w:hint="eastAsia"/>
              <w:color w:val="333399"/>
              <w:u w:val="single"/>
            </w:rPr>
            <w:t>　　　</w:t>
          </w:r>
        </w:p>
      </w:docPartBody>
    </w:docPart>
    <w:docPart>
      <w:docPartPr>
        <w:name w:val="{9e02f34c-4eb9-4945-a031-54c875352364}"/>
        <w:style w:val=""/>
        <w:category>
          <w:name w:val="常规"/>
          <w:gallery w:val="placeholder"/>
        </w:category>
        <w:types>
          <w:type w:val="bbPlcHdr"/>
        </w:types>
        <w:behaviors>
          <w:behavior w:val="content"/>
        </w:behaviors>
        <w:description w:val=""/>
        <w:guid w:val="{9e02f34c-4eb9-4945-a031-54c875352364}"/>
      </w:docPartPr>
      <w:docPartBody>
        <w:p>
          <w:r>
            <w:rPr>
              <w:rStyle w:val="4"/>
              <w:rFonts w:hint="eastAsia"/>
              <w:color w:val="333399"/>
              <w:u w:val="single"/>
            </w:rPr>
            <w:t>　　　</w:t>
          </w:r>
        </w:p>
      </w:docPartBody>
    </w:docPart>
    <w:docPart>
      <w:docPartPr>
        <w:name w:val="{4641561e-a005-4a7e-96a4-57ce654e7ad0}"/>
        <w:style w:val=""/>
        <w:category>
          <w:name w:val="常规"/>
          <w:gallery w:val="placeholder"/>
        </w:category>
        <w:types>
          <w:type w:val="bbPlcHdr"/>
        </w:types>
        <w:behaviors>
          <w:behavior w:val="content"/>
        </w:behaviors>
        <w:description w:val=""/>
        <w:guid w:val="{4641561e-a005-4a7e-96a4-57ce654e7ad0}"/>
      </w:docPartPr>
      <w:docPartBody>
        <w:p>
          <w:r>
            <w:rPr>
              <w:rStyle w:val="4"/>
              <w:rFonts w:hint="eastAsia"/>
              <w:color w:val="333399"/>
              <w:u w:val="single"/>
            </w:rPr>
            <w:t>　　　</w:t>
          </w:r>
        </w:p>
      </w:docPartBody>
    </w:docPart>
    <w:docPart>
      <w:docPartPr>
        <w:name w:val="{b57298ee-871e-451b-bc4c-3f907ccdf9b8}"/>
        <w:style w:val=""/>
        <w:category>
          <w:name w:val="常规"/>
          <w:gallery w:val="placeholder"/>
        </w:category>
        <w:types>
          <w:type w:val="bbPlcHdr"/>
        </w:types>
        <w:behaviors>
          <w:behavior w:val="content"/>
        </w:behaviors>
        <w:description w:val=""/>
        <w:guid w:val="{b57298ee-871e-451b-bc4c-3f907ccdf9b8}"/>
      </w:docPartPr>
      <w:docPartBody>
        <w:p>
          <w:pPr>
            <w:rPr>
              <w14:ligatures w14:val="none"/>
            </w:rPr>
          </w:pPr>
          <w:r>
            <w:rPr>
              <w:rStyle w:val="4"/>
              <w:rFonts w:hint="eastAsia"/>
              <w:color w:val="333399"/>
              <w:u w:val="single"/>
              <w14:ligatures w14:val="none"/>
            </w:rPr>
            <w:t>　　　</w:t>
          </w:r>
        </w:p>
      </w:docPartBody>
    </w:docPart>
    <w:docPart>
      <w:docPartPr>
        <w:name w:val="{50b96f14-d6ab-4e30-842b-d42adf8be02e}"/>
        <w:style w:val=""/>
        <w:category>
          <w:name w:val="常规"/>
          <w:gallery w:val="placeholder"/>
        </w:category>
        <w:types>
          <w:type w:val="bbPlcHdr"/>
        </w:types>
        <w:behaviors>
          <w:behavior w:val="content"/>
        </w:behaviors>
        <w:description w:val=""/>
        <w:guid w:val="{50b96f14-d6ab-4e30-842b-d42adf8be02e}"/>
      </w:docPartPr>
      <w:docPartBody>
        <w:p>
          <w:r>
            <w:rPr>
              <w:rStyle w:val="4"/>
              <w:rFonts w:hint="eastAsia"/>
              <w:color w:val="333399"/>
              <w:u w:val="single"/>
            </w:rPr>
            <w:t>　　　</w:t>
          </w:r>
        </w:p>
      </w:docPartBody>
    </w:docPart>
    <w:docPart>
      <w:docPartPr>
        <w:name w:val="{44969300-ab6b-4531-9738-ec92373db910}"/>
        <w:style w:val=""/>
        <w:category>
          <w:name w:val="常规"/>
          <w:gallery w:val="placeholder"/>
        </w:category>
        <w:types>
          <w:type w:val="bbPlcHdr"/>
        </w:types>
        <w:behaviors>
          <w:behavior w:val="content"/>
        </w:behaviors>
        <w:description w:val=""/>
        <w:guid w:val="{44969300-ab6b-4531-9738-ec92373db910}"/>
      </w:docPartPr>
      <w:docPartBody>
        <w:p>
          <w:r>
            <w:rPr>
              <w:rStyle w:val="4"/>
              <w:rFonts w:hint="eastAsia"/>
              <w:color w:val="333399"/>
              <w:u w:val="single"/>
            </w:rPr>
            <w:t>　　　</w:t>
          </w:r>
        </w:p>
      </w:docPartBody>
    </w:docPart>
    <w:docPart>
      <w:docPartPr>
        <w:name w:val="{3c396c88-828f-4c1e-b8d1-b2ad5195fd5c}"/>
        <w:style w:val=""/>
        <w:category>
          <w:name w:val="常规"/>
          <w:gallery w:val="placeholder"/>
        </w:category>
        <w:types>
          <w:type w:val="bbPlcHdr"/>
        </w:types>
        <w:behaviors>
          <w:behavior w:val="content"/>
        </w:behaviors>
        <w:description w:val=""/>
        <w:guid w:val="{3c396c88-828f-4c1e-b8d1-b2ad5195fd5c}"/>
      </w:docPartPr>
      <w:docPartBody>
        <w:p>
          <w:r>
            <w:rPr>
              <w:rStyle w:val="4"/>
              <w:rFonts w:hint="eastAsia"/>
              <w:color w:val="333399"/>
              <w:u w:val="single"/>
            </w:rPr>
            <w:t>　　　</w:t>
          </w:r>
        </w:p>
      </w:docPartBody>
    </w:docPart>
    <w:docPart>
      <w:docPartPr>
        <w:name w:val="{460de77b-e022-49d6-8320-c609eb4ba511}"/>
        <w:style w:val=""/>
        <w:category>
          <w:name w:val="常规"/>
          <w:gallery w:val="placeholder"/>
        </w:category>
        <w:types>
          <w:type w:val="bbPlcHdr"/>
        </w:types>
        <w:behaviors>
          <w:behavior w:val="content"/>
        </w:behaviors>
        <w:description w:val=""/>
        <w:guid w:val="{460de77b-e022-49d6-8320-c609eb4ba511}"/>
      </w:docPartPr>
      <w:docPartBody>
        <w:p>
          <w:r>
            <w:rPr>
              <w:rStyle w:val="4"/>
              <w:rFonts w:hint="eastAsia"/>
              <w:color w:val="333399"/>
              <w:u w:val="single"/>
            </w:rPr>
            <w:t>　　　</w:t>
          </w:r>
        </w:p>
      </w:docPartBody>
    </w:docPart>
    <w:docPart>
      <w:docPartPr>
        <w:name w:val="{53b733f4-f038-4d92-b553-c437f94e1bfe}"/>
        <w:style w:val=""/>
        <w:category>
          <w:name w:val="常规"/>
          <w:gallery w:val="placeholder"/>
        </w:category>
        <w:types>
          <w:type w:val="bbPlcHdr"/>
        </w:types>
        <w:behaviors>
          <w:behavior w:val="content"/>
        </w:behaviors>
        <w:description w:val=""/>
        <w:guid w:val="{53b733f4-f038-4d92-b553-c437f94e1bfe}"/>
      </w:docPartPr>
      <w:docPartBody>
        <w:p>
          <w:r>
            <w:rPr>
              <w:rStyle w:val="4"/>
              <w:rFonts w:hint="eastAsia"/>
            </w:rPr>
            <w:t>　</w:t>
          </w:r>
        </w:p>
      </w:docPartBody>
    </w:docPart>
    <w:docPart>
      <w:docPartPr>
        <w:name w:val="{67d01da3-03bc-4fc4-9091-8f597d587c45}"/>
        <w:style w:val=""/>
        <w:category>
          <w:name w:val="常规"/>
          <w:gallery w:val="placeholder"/>
        </w:category>
        <w:types>
          <w:type w:val="bbPlcHdr"/>
        </w:types>
        <w:behaviors>
          <w:behavior w:val="content"/>
        </w:behaviors>
        <w:description w:val=""/>
        <w:guid w:val="{67d01da3-03bc-4fc4-9091-8f597d587c45}"/>
      </w:docPartPr>
      <w:docPartBody>
        <w:p>
          <w:r>
            <w:rPr>
              <w:rStyle w:val="4"/>
              <w:rFonts w:hint="eastAsia"/>
            </w:rPr>
            <w:t>　</w:t>
          </w:r>
        </w:p>
      </w:docPartBody>
    </w:docPart>
    <w:docPart>
      <w:docPartPr>
        <w:name w:val="{069a3587-1de7-4c3b-8419-168d468b0dab}"/>
        <w:style w:val=""/>
        <w:category>
          <w:name w:val="常规"/>
          <w:gallery w:val="placeholder"/>
        </w:category>
        <w:types>
          <w:type w:val="bbPlcHdr"/>
        </w:types>
        <w:behaviors>
          <w:behavior w:val="content"/>
        </w:behaviors>
        <w:description w:val=""/>
        <w:guid w:val="{069a3587-1de7-4c3b-8419-168d468b0dab}"/>
      </w:docPartPr>
      <w:docPartBody>
        <w:p>
          <w:r>
            <w:rPr>
              <w:rStyle w:val="4"/>
              <w:rFonts w:hint="eastAsia"/>
              <w:color w:val="333399"/>
              <w:u w:val="single"/>
            </w:rPr>
            <w:t>　　　</w:t>
          </w:r>
        </w:p>
      </w:docPartBody>
    </w:docPart>
    <w:docPart>
      <w:docPartPr>
        <w:name w:val="{f64598f7-dda8-485d-8931-5b4a879e0940}"/>
        <w:style w:val=""/>
        <w:category>
          <w:name w:val="常规"/>
          <w:gallery w:val="placeholder"/>
        </w:category>
        <w:types>
          <w:type w:val="bbPlcHdr"/>
        </w:types>
        <w:behaviors>
          <w:behavior w:val="content"/>
        </w:behaviors>
        <w:description w:val=""/>
        <w:guid w:val="{f64598f7-dda8-485d-8931-5b4a879e0940}"/>
      </w:docPartPr>
      <w:docPartBody>
        <w:p>
          <w:r>
            <w:rPr>
              <w:rStyle w:val="4"/>
              <w:rFonts w:hint="eastAsia"/>
              <w:color w:val="333399"/>
              <w:u w:val="single"/>
            </w:rPr>
            <w:t>　　　</w:t>
          </w:r>
        </w:p>
      </w:docPartBody>
    </w:docPart>
    <w:docPart>
      <w:docPartPr>
        <w:name w:val="{b0455aa9-4081-4e76-9064-ed02d0d88675}"/>
        <w:style w:val=""/>
        <w:category>
          <w:name w:val="常规"/>
          <w:gallery w:val="placeholder"/>
        </w:category>
        <w:types>
          <w:type w:val="bbPlcHdr"/>
        </w:types>
        <w:behaviors>
          <w:behavior w:val="content"/>
        </w:behaviors>
        <w:description w:val=""/>
        <w:guid w:val="{b0455aa9-4081-4e76-9064-ed02d0d88675}"/>
      </w:docPartPr>
      <w:docPartBody>
        <w:p>
          <w:r>
            <w:rPr>
              <w:rStyle w:val="4"/>
              <w:rFonts w:hint="eastAsia"/>
              <w:color w:val="333399"/>
              <w:u w:val="single"/>
            </w:rPr>
            <w:t>　　　</w:t>
          </w:r>
        </w:p>
      </w:docPartBody>
    </w:docPart>
    <w:docPart>
      <w:docPartPr>
        <w:name w:val="{ae970869-defc-49ea-9ff8-4a7a06e1eb3b}"/>
        <w:style w:val=""/>
        <w:category>
          <w:name w:val="常规"/>
          <w:gallery w:val="placeholder"/>
        </w:category>
        <w:types>
          <w:type w:val="bbPlcHdr"/>
        </w:types>
        <w:behaviors>
          <w:behavior w:val="content"/>
        </w:behaviors>
        <w:description w:val=""/>
        <w:guid w:val="{ae970869-defc-49ea-9ff8-4a7a06e1eb3b}"/>
      </w:docPartPr>
      <w:docPartBody>
        <w:p>
          <w:r>
            <w:rPr>
              <w:rStyle w:val="4"/>
              <w:rFonts w:hint="eastAsia"/>
              <w:color w:val="333399"/>
              <w:u w:val="single"/>
            </w:rPr>
            <w:t>　　　</w:t>
          </w:r>
        </w:p>
      </w:docPartBody>
    </w:docPart>
    <w:docPart>
      <w:docPartPr>
        <w:name w:val="{af6e73c4-dfdc-4e95-bfaf-ea80f1706692}"/>
        <w:style w:val=""/>
        <w:category>
          <w:name w:val="常规"/>
          <w:gallery w:val="placeholder"/>
        </w:category>
        <w:types>
          <w:type w:val="bbPlcHdr"/>
        </w:types>
        <w:behaviors>
          <w:behavior w:val="content"/>
        </w:behaviors>
        <w:description w:val=""/>
        <w:guid w:val="{af6e73c4-dfdc-4e95-bfaf-ea80f1706692}"/>
      </w:docPartPr>
      <w:docPartBody>
        <w:p>
          <w:r>
            <w:rPr>
              <w:rStyle w:val="4"/>
              <w:rFonts w:hint="eastAsia"/>
              <w:color w:val="333399"/>
              <w:u w:val="single"/>
            </w:rPr>
            <w:t>　　　</w:t>
          </w:r>
        </w:p>
      </w:docPartBody>
    </w:docPart>
    <w:docPart>
      <w:docPartPr>
        <w:name w:val="{b98712ce-7864-401e-8465-4fed80835001}"/>
        <w:style w:val=""/>
        <w:category>
          <w:name w:val="常规"/>
          <w:gallery w:val="placeholder"/>
        </w:category>
        <w:types>
          <w:type w:val="bbPlcHdr"/>
        </w:types>
        <w:behaviors>
          <w:behavior w:val="content"/>
        </w:behaviors>
        <w:description w:val=""/>
        <w:guid w:val="{b98712ce-7864-401e-8465-4fed80835001}"/>
      </w:docPartPr>
      <w:docPartBody>
        <w:p>
          <w:r>
            <w:rPr>
              <w:rStyle w:val="4"/>
              <w:rFonts w:hint="eastAsia"/>
            </w:rPr>
            <w:t>　</w:t>
          </w:r>
        </w:p>
      </w:docPartBody>
    </w:docPart>
    <w:docPart>
      <w:docPartPr>
        <w:name w:val="{91ee8b5e-eaee-4946-89b5-95f915f02a94}"/>
        <w:style w:val=""/>
        <w:category>
          <w:name w:val="常规"/>
          <w:gallery w:val="placeholder"/>
        </w:category>
        <w:types>
          <w:type w:val="bbPlcHdr"/>
        </w:types>
        <w:behaviors>
          <w:behavior w:val="content"/>
        </w:behaviors>
        <w:description w:val=""/>
        <w:guid w:val="{91ee8b5e-eaee-4946-89b5-95f915f02a94}"/>
      </w:docPartPr>
      <w:docPartBody>
        <w:p>
          <w:r>
            <w:rPr>
              <w:rStyle w:val="4"/>
              <w:rFonts w:hint="eastAsia"/>
            </w:rPr>
            <w:t>　</w:t>
          </w:r>
        </w:p>
      </w:docPartBody>
    </w:docPart>
    <w:docPart>
      <w:docPartPr>
        <w:name w:val="{fd60111f-324b-4fe6-ab35-a7b903c78e80}"/>
        <w:style w:val=""/>
        <w:category>
          <w:name w:val="常规"/>
          <w:gallery w:val="placeholder"/>
        </w:category>
        <w:types>
          <w:type w:val="bbPlcHdr"/>
        </w:types>
        <w:behaviors>
          <w:behavior w:val="content"/>
        </w:behaviors>
        <w:description w:val=""/>
        <w:guid w:val="{fd60111f-324b-4fe6-ab35-a7b903c78e8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E50E43"/>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F49"/>
    <w:rsid w:val="00044179"/>
    <w:rsid w:val="00044916"/>
    <w:rsid w:val="00045444"/>
    <w:rsid w:val="00047197"/>
    <w:rsid w:val="00051FA4"/>
    <w:rsid w:val="00053ABC"/>
    <w:rsid w:val="00055561"/>
    <w:rsid w:val="00055BDC"/>
    <w:rsid w:val="00061F65"/>
    <w:rsid w:val="00062ED3"/>
    <w:rsid w:val="0006349C"/>
    <w:rsid w:val="00063874"/>
    <w:rsid w:val="00063CC6"/>
    <w:rsid w:val="00064D04"/>
    <w:rsid w:val="0006532F"/>
    <w:rsid w:val="00065B5A"/>
    <w:rsid w:val="000667C2"/>
    <w:rsid w:val="00067105"/>
    <w:rsid w:val="000674E4"/>
    <w:rsid w:val="00067DCC"/>
    <w:rsid w:val="00070ACB"/>
    <w:rsid w:val="00071C74"/>
    <w:rsid w:val="00073371"/>
    <w:rsid w:val="000743A2"/>
    <w:rsid w:val="0007487C"/>
    <w:rsid w:val="00076D57"/>
    <w:rsid w:val="0007717F"/>
    <w:rsid w:val="00082580"/>
    <w:rsid w:val="00083B00"/>
    <w:rsid w:val="00083C63"/>
    <w:rsid w:val="00084E8F"/>
    <w:rsid w:val="00087193"/>
    <w:rsid w:val="0009029E"/>
    <w:rsid w:val="00090B08"/>
    <w:rsid w:val="00091B0E"/>
    <w:rsid w:val="00092CBB"/>
    <w:rsid w:val="00093BE5"/>
    <w:rsid w:val="00093C40"/>
    <w:rsid w:val="000958C3"/>
    <w:rsid w:val="000A07A6"/>
    <w:rsid w:val="000A1ED8"/>
    <w:rsid w:val="000A5079"/>
    <w:rsid w:val="000A632D"/>
    <w:rsid w:val="000A63E1"/>
    <w:rsid w:val="000A6DCF"/>
    <w:rsid w:val="000B1E96"/>
    <w:rsid w:val="000B2987"/>
    <w:rsid w:val="000B3464"/>
    <w:rsid w:val="000B375A"/>
    <w:rsid w:val="000B5C82"/>
    <w:rsid w:val="000B5E0D"/>
    <w:rsid w:val="000B6B1C"/>
    <w:rsid w:val="000B6E5C"/>
    <w:rsid w:val="000B76C0"/>
    <w:rsid w:val="000B7F0A"/>
    <w:rsid w:val="000C11C1"/>
    <w:rsid w:val="000C26DD"/>
    <w:rsid w:val="000C5F2F"/>
    <w:rsid w:val="000C600B"/>
    <w:rsid w:val="000D0276"/>
    <w:rsid w:val="000D1066"/>
    <w:rsid w:val="000D2323"/>
    <w:rsid w:val="000D3D3C"/>
    <w:rsid w:val="000E37AA"/>
    <w:rsid w:val="000E5FF1"/>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41E"/>
    <w:rsid w:val="001279CA"/>
    <w:rsid w:val="00131D2F"/>
    <w:rsid w:val="00132E0F"/>
    <w:rsid w:val="00133739"/>
    <w:rsid w:val="00140824"/>
    <w:rsid w:val="0014233D"/>
    <w:rsid w:val="00142460"/>
    <w:rsid w:val="00142487"/>
    <w:rsid w:val="00142AC6"/>
    <w:rsid w:val="00142BBE"/>
    <w:rsid w:val="00142C80"/>
    <w:rsid w:val="00143C74"/>
    <w:rsid w:val="00144295"/>
    <w:rsid w:val="0014577A"/>
    <w:rsid w:val="001516EC"/>
    <w:rsid w:val="00151EE9"/>
    <w:rsid w:val="00155B0D"/>
    <w:rsid w:val="00155B88"/>
    <w:rsid w:val="00156761"/>
    <w:rsid w:val="00157128"/>
    <w:rsid w:val="00157170"/>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182A"/>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286"/>
    <w:rsid w:val="00245E71"/>
    <w:rsid w:val="00252183"/>
    <w:rsid w:val="00252D04"/>
    <w:rsid w:val="00255510"/>
    <w:rsid w:val="00256FFA"/>
    <w:rsid w:val="00261363"/>
    <w:rsid w:val="00262DE3"/>
    <w:rsid w:val="00263D14"/>
    <w:rsid w:val="00263EBB"/>
    <w:rsid w:val="00267287"/>
    <w:rsid w:val="00267486"/>
    <w:rsid w:val="00267758"/>
    <w:rsid w:val="00272B6A"/>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4A2"/>
    <w:rsid w:val="00296AA3"/>
    <w:rsid w:val="002A133C"/>
    <w:rsid w:val="002A1B3D"/>
    <w:rsid w:val="002A29E2"/>
    <w:rsid w:val="002A3115"/>
    <w:rsid w:val="002A3D43"/>
    <w:rsid w:val="002B0A2C"/>
    <w:rsid w:val="002B4C4B"/>
    <w:rsid w:val="002B51B1"/>
    <w:rsid w:val="002C052B"/>
    <w:rsid w:val="002C1384"/>
    <w:rsid w:val="002C1FA8"/>
    <w:rsid w:val="002C4B91"/>
    <w:rsid w:val="002C4EDD"/>
    <w:rsid w:val="002C60AD"/>
    <w:rsid w:val="002C74B0"/>
    <w:rsid w:val="002C7F45"/>
    <w:rsid w:val="002D0B31"/>
    <w:rsid w:val="002D1456"/>
    <w:rsid w:val="002D2464"/>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1281"/>
    <w:rsid w:val="00312F3E"/>
    <w:rsid w:val="003145A5"/>
    <w:rsid w:val="003161CE"/>
    <w:rsid w:val="0031780B"/>
    <w:rsid w:val="00317AFF"/>
    <w:rsid w:val="00321D6D"/>
    <w:rsid w:val="003262C7"/>
    <w:rsid w:val="00326AAF"/>
    <w:rsid w:val="00326ECB"/>
    <w:rsid w:val="00330444"/>
    <w:rsid w:val="00331404"/>
    <w:rsid w:val="00331507"/>
    <w:rsid w:val="00331BC5"/>
    <w:rsid w:val="003333AF"/>
    <w:rsid w:val="003348B5"/>
    <w:rsid w:val="00334A8D"/>
    <w:rsid w:val="003352A9"/>
    <w:rsid w:val="00335DE6"/>
    <w:rsid w:val="00337CC9"/>
    <w:rsid w:val="003411FF"/>
    <w:rsid w:val="00342071"/>
    <w:rsid w:val="00342477"/>
    <w:rsid w:val="003428DF"/>
    <w:rsid w:val="003435A6"/>
    <w:rsid w:val="00343E54"/>
    <w:rsid w:val="00344700"/>
    <w:rsid w:val="00344D91"/>
    <w:rsid w:val="00345D7B"/>
    <w:rsid w:val="0034636A"/>
    <w:rsid w:val="00350C5B"/>
    <w:rsid w:val="00350EFF"/>
    <w:rsid w:val="00353213"/>
    <w:rsid w:val="00353AE0"/>
    <w:rsid w:val="003564AF"/>
    <w:rsid w:val="00356A92"/>
    <w:rsid w:val="00357296"/>
    <w:rsid w:val="00357A61"/>
    <w:rsid w:val="003630F2"/>
    <w:rsid w:val="003635D3"/>
    <w:rsid w:val="00365D0A"/>
    <w:rsid w:val="00366433"/>
    <w:rsid w:val="00367508"/>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414"/>
    <w:rsid w:val="003A2DE3"/>
    <w:rsid w:val="003A601C"/>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4A8D"/>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90A"/>
    <w:rsid w:val="00412A83"/>
    <w:rsid w:val="004135B4"/>
    <w:rsid w:val="004140D9"/>
    <w:rsid w:val="00414CEC"/>
    <w:rsid w:val="00415531"/>
    <w:rsid w:val="00415A60"/>
    <w:rsid w:val="004211CC"/>
    <w:rsid w:val="00423F2A"/>
    <w:rsid w:val="004244EF"/>
    <w:rsid w:val="00424809"/>
    <w:rsid w:val="00424A0C"/>
    <w:rsid w:val="0043080F"/>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1E8D"/>
    <w:rsid w:val="004533D1"/>
    <w:rsid w:val="00455B73"/>
    <w:rsid w:val="004570B3"/>
    <w:rsid w:val="00457596"/>
    <w:rsid w:val="00457C94"/>
    <w:rsid w:val="0046025C"/>
    <w:rsid w:val="00462366"/>
    <w:rsid w:val="004629D5"/>
    <w:rsid w:val="00463534"/>
    <w:rsid w:val="00464159"/>
    <w:rsid w:val="00466620"/>
    <w:rsid w:val="00470D86"/>
    <w:rsid w:val="00470F61"/>
    <w:rsid w:val="00471691"/>
    <w:rsid w:val="004719CF"/>
    <w:rsid w:val="004724C4"/>
    <w:rsid w:val="0047340A"/>
    <w:rsid w:val="00473804"/>
    <w:rsid w:val="004743EC"/>
    <w:rsid w:val="004748B0"/>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1D38"/>
    <w:rsid w:val="00513606"/>
    <w:rsid w:val="0051385A"/>
    <w:rsid w:val="00513BDD"/>
    <w:rsid w:val="00516D73"/>
    <w:rsid w:val="0052293F"/>
    <w:rsid w:val="00522F6B"/>
    <w:rsid w:val="00523110"/>
    <w:rsid w:val="0052491C"/>
    <w:rsid w:val="005251C1"/>
    <w:rsid w:val="005252E0"/>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FE1"/>
    <w:rsid w:val="00556A44"/>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5D97"/>
    <w:rsid w:val="005762C3"/>
    <w:rsid w:val="005762D8"/>
    <w:rsid w:val="005779AE"/>
    <w:rsid w:val="00580587"/>
    <w:rsid w:val="00581310"/>
    <w:rsid w:val="0058143D"/>
    <w:rsid w:val="005822A8"/>
    <w:rsid w:val="00582E12"/>
    <w:rsid w:val="0058385E"/>
    <w:rsid w:val="00585A72"/>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0BB4"/>
    <w:rsid w:val="005B2A61"/>
    <w:rsid w:val="005B3CB6"/>
    <w:rsid w:val="005B5439"/>
    <w:rsid w:val="005B57A5"/>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6007A2"/>
    <w:rsid w:val="0060301F"/>
    <w:rsid w:val="00605435"/>
    <w:rsid w:val="006076C3"/>
    <w:rsid w:val="006109C1"/>
    <w:rsid w:val="006116F4"/>
    <w:rsid w:val="006144EC"/>
    <w:rsid w:val="00614965"/>
    <w:rsid w:val="00614ADC"/>
    <w:rsid w:val="00616877"/>
    <w:rsid w:val="00617EEA"/>
    <w:rsid w:val="006216E7"/>
    <w:rsid w:val="0062250B"/>
    <w:rsid w:val="00622A95"/>
    <w:rsid w:val="006234DE"/>
    <w:rsid w:val="00623ABC"/>
    <w:rsid w:val="0062477F"/>
    <w:rsid w:val="00624EE3"/>
    <w:rsid w:val="00625224"/>
    <w:rsid w:val="00625796"/>
    <w:rsid w:val="00626F2D"/>
    <w:rsid w:val="00627316"/>
    <w:rsid w:val="006316CF"/>
    <w:rsid w:val="006359D1"/>
    <w:rsid w:val="00635B65"/>
    <w:rsid w:val="00636BC7"/>
    <w:rsid w:val="00640DE1"/>
    <w:rsid w:val="0064157C"/>
    <w:rsid w:val="00642566"/>
    <w:rsid w:val="006433EC"/>
    <w:rsid w:val="006443EA"/>
    <w:rsid w:val="0064473F"/>
    <w:rsid w:val="00644AAA"/>
    <w:rsid w:val="0064745E"/>
    <w:rsid w:val="00650116"/>
    <w:rsid w:val="00650ADB"/>
    <w:rsid w:val="00653904"/>
    <w:rsid w:val="006539B9"/>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1D1B"/>
    <w:rsid w:val="00693167"/>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DE4"/>
    <w:rsid w:val="006C10BC"/>
    <w:rsid w:val="006C1C90"/>
    <w:rsid w:val="006C425B"/>
    <w:rsid w:val="006C4D85"/>
    <w:rsid w:val="006C4D8A"/>
    <w:rsid w:val="006C5037"/>
    <w:rsid w:val="006C593D"/>
    <w:rsid w:val="006C59BD"/>
    <w:rsid w:val="006C6A36"/>
    <w:rsid w:val="006C7EDF"/>
    <w:rsid w:val="006D0081"/>
    <w:rsid w:val="006D0624"/>
    <w:rsid w:val="006D2063"/>
    <w:rsid w:val="006D2E8E"/>
    <w:rsid w:val="006D7649"/>
    <w:rsid w:val="006E035E"/>
    <w:rsid w:val="006E28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27B3A"/>
    <w:rsid w:val="00731723"/>
    <w:rsid w:val="00732BBD"/>
    <w:rsid w:val="00733BB5"/>
    <w:rsid w:val="00734566"/>
    <w:rsid w:val="007355F3"/>
    <w:rsid w:val="007360D9"/>
    <w:rsid w:val="00740175"/>
    <w:rsid w:val="0074099B"/>
    <w:rsid w:val="00743F53"/>
    <w:rsid w:val="007450BA"/>
    <w:rsid w:val="0074600A"/>
    <w:rsid w:val="00752B90"/>
    <w:rsid w:val="00752E78"/>
    <w:rsid w:val="007534BD"/>
    <w:rsid w:val="00756612"/>
    <w:rsid w:val="007571F3"/>
    <w:rsid w:val="00762126"/>
    <w:rsid w:val="00762FF5"/>
    <w:rsid w:val="00763E92"/>
    <w:rsid w:val="007646FE"/>
    <w:rsid w:val="00764A07"/>
    <w:rsid w:val="00765FF6"/>
    <w:rsid w:val="007660C4"/>
    <w:rsid w:val="00766357"/>
    <w:rsid w:val="007737FB"/>
    <w:rsid w:val="00774941"/>
    <w:rsid w:val="00775421"/>
    <w:rsid w:val="00776D56"/>
    <w:rsid w:val="00780475"/>
    <w:rsid w:val="007804E6"/>
    <w:rsid w:val="00780C31"/>
    <w:rsid w:val="0078284E"/>
    <w:rsid w:val="00782C46"/>
    <w:rsid w:val="007833B9"/>
    <w:rsid w:val="00784D7A"/>
    <w:rsid w:val="0078588D"/>
    <w:rsid w:val="00785F79"/>
    <w:rsid w:val="00790D3F"/>
    <w:rsid w:val="00791311"/>
    <w:rsid w:val="0079224A"/>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09C"/>
    <w:rsid w:val="007D735A"/>
    <w:rsid w:val="007E0DDC"/>
    <w:rsid w:val="007E1014"/>
    <w:rsid w:val="007F0584"/>
    <w:rsid w:val="007F093A"/>
    <w:rsid w:val="007F11B8"/>
    <w:rsid w:val="007F3EEA"/>
    <w:rsid w:val="007F65C7"/>
    <w:rsid w:val="008023FD"/>
    <w:rsid w:val="00802845"/>
    <w:rsid w:val="00803299"/>
    <w:rsid w:val="008058CF"/>
    <w:rsid w:val="0081339B"/>
    <w:rsid w:val="008139F4"/>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79B1"/>
    <w:rsid w:val="008424D3"/>
    <w:rsid w:val="00842FF3"/>
    <w:rsid w:val="00843E84"/>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41D"/>
    <w:rsid w:val="0089283A"/>
    <w:rsid w:val="00894204"/>
    <w:rsid w:val="00895A94"/>
    <w:rsid w:val="00896702"/>
    <w:rsid w:val="0089696C"/>
    <w:rsid w:val="00897A46"/>
    <w:rsid w:val="008A12DA"/>
    <w:rsid w:val="008A4677"/>
    <w:rsid w:val="008A5DB2"/>
    <w:rsid w:val="008A6DE5"/>
    <w:rsid w:val="008B092F"/>
    <w:rsid w:val="008B09EE"/>
    <w:rsid w:val="008B0D8A"/>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62E6"/>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5007"/>
    <w:rsid w:val="009550FD"/>
    <w:rsid w:val="00955DFC"/>
    <w:rsid w:val="00960C95"/>
    <w:rsid w:val="0096111A"/>
    <w:rsid w:val="009611A2"/>
    <w:rsid w:val="00963BA6"/>
    <w:rsid w:val="009642B6"/>
    <w:rsid w:val="0097078C"/>
    <w:rsid w:val="00972799"/>
    <w:rsid w:val="00972B18"/>
    <w:rsid w:val="00974899"/>
    <w:rsid w:val="00974A56"/>
    <w:rsid w:val="00976D34"/>
    <w:rsid w:val="00977E8D"/>
    <w:rsid w:val="0098078B"/>
    <w:rsid w:val="00986A33"/>
    <w:rsid w:val="00991F79"/>
    <w:rsid w:val="0099624C"/>
    <w:rsid w:val="0099658A"/>
    <w:rsid w:val="0099687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1F2E"/>
    <w:rsid w:val="00A13335"/>
    <w:rsid w:val="00A15BB3"/>
    <w:rsid w:val="00A16CF2"/>
    <w:rsid w:val="00A24A10"/>
    <w:rsid w:val="00A24FE8"/>
    <w:rsid w:val="00A253B3"/>
    <w:rsid w:val="00A26AB4"/>
    <w:rsid w:val="00A270B9"/>
    <w:rsid w:val="00A30A00"/>
    <w:rsid w:val="00A30C5D"/>
    <w:rsid w:val="00A344EF"/>
    <w:rsid w:val="00A3647B"/>
    <w:rsid w:val="00A368B5"/>
    <w:rsid w:val="00A40ACE"/>
    <w:rsid w:val="00A41AB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1BD5"/>
    <w:rsid w:val="00A7220F"/>
    <w:rsid w:val="00A72B22"/>
    <w:rsid w:val="00A74CBD"/>
    <w:rsid w:val="00A75E22"/>
    <w:rsid w:val="00A76206"/>
    <w:rsid w:val="00A80344"/>
    <w:rsid w:val="00A808C1"/>
    <w:rsid w:val="00A80911"/>
    <w:rsid w:val="00A80D61"/>
    <w:rsid w:val="00A80F35"/>
    <w:rsid w:val="00A811DB"/>
    <w:rsid w:val="00A81C90"/>
    <w:rsid w:val="00A83E9B"/>
    <w:rsid w:val="00A863A7"/>
    <w:rsid w:val="00A875E0"/>
    <w:rsid w:val="00A90637"/>
    <w:rsid w:val="00A93989"/>
    <w:rsid w:val="00A93BF0"/>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2E39"/>
    <w:rsid w:val="00AD4280"/>
    <w:rsid w:val="00AD6C78"/>
    <w:rsid w:val="00AD751F"/>
    <w:rsid w:val="00AD76E8"/>
    <w:rsid w:val="00AE4A24"/>
    <w:rsid w:val="00AF0D8C"/>
    <w:rsid w:val="00AF2026"/>
    <w:rsid w:val="00AF2AA7"/>
    <w:rsid w:val="00AF2F09"/>
    <w:rsid w:val="00AF4E8C"/>
    <w:rsid w:val="00B01BE5"/>
    <w:rsid w:val="00B01D33"/>
    <w:rsid w:val="00B02D4F"/>
    <w:rsid w:val="00B037C8"/>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1A64"/>
    <w:rsid w:val="00BA20CD"/>
    <w:rsid w:val="00BA79D9"/>
    <w:rsid w:val="00BB0F16"/>
    <w:rsid w:val="00BB13D2"/>
    <w:rsid w:val="00BB25D8"/>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0D6A"/>
    <w:rsid w:val="00BE2FB1"/>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128C6"/>
    <w:rsid w:val="00C12A4C"/>
    <w:rsid w:val="00C152E8"/>
    <w:rsid w:val="00C15991"/>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DF8"/>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A08D7"/>
    <w:rsid w:val="00CA0E93"/>
    <w:rsid w:val="00CA2544"/>
    <w:rsid w:val="00CA2B37"/>
    <w:rsid w:val="00CA3008"/>
    <w:rsid w:val="00CA3FF7"/>
    <w:rsid w:val="00CB0F42"/>
    <w:rsid w:val="00CB13D1"/>
    <w:rsid w:val="00CB2CD8"/>
    <w:rsid w:val="00CB2E5E"/>
    <w:rsid w:val="00CB2E7E"/>
    <w:rsid w:val="00CB5A04"/>
    <w:rsid w:val="00CB5BBC"/>
    <w:rsid w:val="00CB7F07"/>
    <w:rsid w:val="00CC0761"/>
    <w:rsid w:val="00CC1E17"/>
    <w:rsid w:val="00CC4326"/>
    <w:rsid w:val="00CC4686"/>
    <w:rsid w:val="00CC47DD"/>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6A40"/>
    <w:rsid w:val="00CE6C5B"/>
    <w:rsid w:val="00CF02B1"/>
    <w:rsid w:val="00CF113C"/>
    <w:rsid w:val="00CF1779"/>
    <w:rsid w:val="00CF1900"/>
    <w:rsid w:val="00CF1B4D"/>
    <w:rsid w:val="00CF4897"/>
    <w:rsid w:val="00CF4AA1"/>
    <w:rsid w:val="00CF52F4"/>
    <w:rsid w:val="00CF5D04"/>
    <w:rsid w:val="00CF5F3A"/>
    <w:rsid w:val="00D00B95"/>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5F08"/>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9649B"/>
    <w:rsid w:val="00DA16AE"/>
    <w:rsid w:val="00DA6308"/>
    <w:rsid w:val="00DA6EC7"/>
    <w:rsid w:val="00DB03AF"/>
    <w:rsid w:val="00DB03F4"/>
    <w:rsid w:val="00DB0983"/>
    <w:rsid w:val="00DB3743"/>
    <w:rsid w:val="00DB5E3A"/>
    <w:rsid w:val="00DB67B6"/>
    <w:rsid w:val="00DB6B9A"/>
    <w:rsid w:val="00DC02E5"/>
    <w:rsid w:val="00DC0A9A"/>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714"/>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5A89"/>
    <w:rsid w:val="00E57AFE"/>
    <w:rsid w:val="00E61729"/>
    <w:rsid w:val="00E632A3"/>
    <w:rsid w:val="00E63583"/>
    <w:rsid w:val="00E63753"/>
    <w:rsid w:val="00E64B66"/>
    <w:rsid w:val="00E64ED2"/>
    <w:rsid w:val="00E66266"/>
    <w:rsid w:val="00E66677"/>
    <w:rsid w:val="00E66C93"/>
    <w:rsid w:val="00E67EDB"/>
    <w:rsid w:val="00E71083"/>
    <w:rsid w:val="00E71DB2"/>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7BCF"/>
    <w:rsid w:val="00EA1325"/>
    <w:rsid w:val="00EA1C75"/>
    <w:rsid w:val="00EA2287"/>
    <w:rsid w:val="00EA2D25"/>
    <w:rsid w:val="00EA35D2"/>
    <w:rsid w:val="00EA37AF"/>
    <w:rsid w:val="00EA3BC2"/>
    <w:rsid w:val="00EA3C19"/>
    <w:rsid w:val="00EA4000"/>
    <w:rsid w:val="00EA4F59"/>
    <w:rsid w:val="00EA5ED9"/>
    <w:rsid w:val="00EA65AC"/>
    <w:rsid w:val="00EA7A10"/>
    <w:rsid w:val="00EB0325"/>
    <w:rsid w:val="00EB03F0"/>
    <w:rsid w:val="00EB1330"/>
    <w:rsid w:val="00EB2097"/>
    <w:rsid w:val="00EB3167"/>
    <w:rsid w:val="00EB58AB"/>
    <w:rsid w:val="00EB6734"/>
    <w:rsid w:val="00EB687E"/>
    <w:rsid w:val="00EB6C14"/>
    <w:rsid w:val="00EC0A37"/>
    <w:rsid w:val="00EC2FB1"/>
    <w:rsid w:val="00EC7F75"/>
    <w:rsid w:val="00ED27AA"/>
    <w:rsid w:val="00ED36A0"/>
    <w:rsid w:val="00ED3BE4"/>
    <w:rsid w:val="00ED4CA9"/>
    <w:rsid w:val="00EE2D6F"/>
    <w:rsid w:val="00EE425E"/>
    <w:rsid w:val="00EF465C"/>
    <w:rsid w:val="00EF5435"/>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4C63"/>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3AD2"/>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2F84"/>
    <w:rsid w:val="00FC30EB"/>
    <w:rsid w:val="00FC3F17"/>
    <w:rsid w:val="00FC500D"/>
    <w:rsid w:val="00FC5034"/>
    <w:rsid w:val="00FC786E"/>
    <w:rsid w:val="00FC7A92"/>
    <w:rsid w:val="00FD02BE"/>
    <w:rsid w:val="00FD25B1"/>
    <w:rsid w:val="00FD2B02"/>
    <w:rsid w:val="00FD347E"/>
    <w:rsid w:val="00FD559E"/>
    <w:rsid w:val="00FD66BF"/>
    <w:rsid w:val="00FE03EB"/>
    <w:rsid w:val="00FE1DA0"/>
    <w:rsid w:val="00FE4396"/>
    <w:rsid w:val="00FE5674"/>
    <w:rsid w:val="00FF064B"/>
    <w:rsid w:val="00FF13C9"/>
    <w:rsid w:val="00FF153D"/>
    <w:rsid w:val="00FF24FC"/>
    <w:rsid w:val="00FF28D2"/>
    <w:rsid w:val="00FF5F1B"/>
    <w:rsid w:val="00FF70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11D01D12C12F4DDCBB025F5C064B18DC"/>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E4A916D567BC4784B0776384AD1EDAB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49F120FC6B54450FB9B2132FF0EC66D0"/>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8">
    <w:name w:val="9BE335D4B0444C76850AE0B74AE22C9D"/>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9">
    <w:name w:val="20199FDC82AD45B7B1F5D7C2095F31D7"/>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sections xmlns:sc="http://mapping.word.org/2014/section/customiz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柳州两面针股份有限公司</clcid-cgi:GongSiFaDingZhongWenMingCheng>
  <clcid-mr:GongSiFuZeRenXingMing xmlns:clcid-mr="clcid-mr"/>
  <clcid-mr:ZhuGuanKuaiJiGongZuoFuZeRenXingMing xmlns:clcid-mr="clcid-mr"/>
  <clcid-mr:KuaiJiJiGouFuZeRenXingMing xmlns:clcid-mr="clcid-mr"/>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4.xml><?xml version="1.0" encoding="utf-8"?>
<sc:sections xmlns:sc="http://mapping.word.org/2014/section/customize"/>
</file>

<file path=customXml/item5.xml><?xml version="1.0" encoding="utf-8"?>
<sc:sections xmlns:sc="http://mapping.word.org/2014/section/customize"/>
</file>

<file path=customXml/item6.xml><?xml version="1.0" encoding="utf-8"?>
<sc:sections xmlns:sc="http://mapping.word.org/2014/section/customize"/>
</file>

<file path=customXml/item7.xml><?xml version="1.0" encoding="utf-8"?>
<m:mapping xmlns:m="http://mapping.word.org/2012/mapping">
  <m:sm4><![CDATA[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]]></m:sm4>
</m:mapping>
</file>

<file path=customXml/item8.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]]></t:sse>
</t:template>
</file>

<file path=customXml/itemProps1.xml><?xml version="1.0" encoding="utf-8"?>
<ds:datastoreItem xmlns:ds="http://schemas.openxmlformats.org/officeDocument/2006/customXml" ds:itemID="{af56e1ac-f92b-4c16-9fd0-be4ddbb79e40}">
  <ds:schemaRefs/>
</ds:datastoreItem>
</file>

<file path=customXml/itemProps2.xml><?xml version="1.0" encoding="utf-8"?>
<ds:datastoreItem xmlns:ds="http://schemas.openxmlformats.org/officeDocument/2006/customXml" ds:itemID="{F0D5C2F1-EE7F-45DC-9BB7-54659DA59878}">
  <ds:schemaRefs/>
</ds:datastoreItem>
</file>

<file path=customXml/itemProps3.xml><?xml version="1.0" encoding="utf-8"?>
<ds:datastoreItem xmlns:ds="http://schemas.openxmlformats.org/officeDocument/2006/customXml" ds:itemID="{89EBAB94-44A0-46A2-B712-30D997D04A6D}">
  <ds:schemaRefs/>
</ds:datastoreItem>
</file>

<file path=customXml/itemProps4.xml><?xml version="1.0" encoding="utf-8"?>
<ds:datastoreItem xmlns:ds="http://schemas.openxmlformats.org/officeDocument/2006/customXml" ds:itemID="{1F37729E-89F6-4D70-BC0B-8EF77515B409}">
  <ds:schemaRefs/>
</ds:datastoreItem>
</file>

<file path=customXml/itemProps5.xml><?xml version="1.0" encoding="utf-8"?>
<ds:datastoreItem xmlns:ds="http://schemas.openxmlformats.org/officeDocument/2006/customXml" ds:itemID="{841f5b68-2c6c-484e-b10e-b75f6ad38ed2}">
  <ds:schemaRefs/>
</ds:datastoreItem>
</file>

<file path=customXml/itemProps6.xml><?xml version="1.0" encoding="utf-8"?>
<ds:datastoreItem xmlns:ds="http://schemas.openxmlformats.org/officeDocument/2006/customXml" ds:itemID="{2c022928-8bb5-49a7-ad2c-335e369daeb7}">
  <ds:schemaRefs/>
</ds:datastoreItem>
</file>

<file path=customXml/itemProps7.xml><?xml version="1.0" encoding="utf-8"?>
<ds:datastoreItem xmlns:ds="http://schemas.openxmlformats.org/officeDocument/2006/customXml" ds:itemID="{ea3fa042-99ea-4fe9-bbf8-64ee25d7fcbf}">
  <ds:schemaRefs/>
</ds:datastoreItem>
</file>

<file path=customXml/itemProps8.xml><?xml version="1.0" encoding="utf-8"?>
<ds:datastoreItem xmlns:ds="http://schemas.openxmlformats.org/officeDocument/2006/customXml" ds:itemID="{bd5201a6-ac6c-40c5-b6c8-7c93b8b9f620}">
  <ds:schemaRefs/>
</ds:datastoreItem>
</file>

<file path=docProps/app.xml><?xml version="1.0" encoding="utf-8"?>
<Properties xmlns="http://schemas.openxmlformats.org/officeDocument/2006/extended-properties" xmlns:vt="http://schemas.openxmlformats.org/officeDocument/2006/docPropsVTypes">
  <Template>SSEReport.dotm</Template>
  <Company>Sky123.Org</Company>
  <Pages>212</Pages>
  <Words>111329</Words>
  <Characters>142426</Characters>
  <Lines>2088</Lines>
  <Paragraphs>588</Paragraphs>
  <TotalTime>4291108920</TotalTime>
  <ScaleCrop>false</ScaleCrop>
  <LinksUpToDate>false</LinksUpToDate>
  <CharactersWithSpaces>146478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2024-03-15T08:04:00Z</dcterms:created>
  <dc:creator>czq</dc:creator>
  <cp:lastModifiedBy>WPS_1698287095</cp:lastModifiedBy>
  <dcterms:modified xsi:type="dcterms:W3CDTF">2024-04-01T01:55:45Z</dcterms:modified>
  <dc:title>股份有限公司</dc:title>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9C29206A8AF5454FAE28C5365347DD3C</vt:lpwstr>
  </property>
</Properties>
</file>